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403225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UNITED STATES</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SECURITIES AND EXCHANGE COMMISSION</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6" w:lineRule="exact"/>
        <w:rPr>
          <w:sz w:val="24"/>
          <w:szCs w:val="24"/>
          <w:color w:val="auto"/>
        </w:rPr>
      </w:pPr>
    </w:p>
    <w:p>
      <w:pPr>
        <w:ind w:left="4680"/>
        <w:spacing w:after="0"/>
        <w:rPr>
          <w:sz w:val="20"/>
          <w:szCs w:val="20"/>
          <w:color w:val="auto"/>
        </w:rPr>
      </w:pPr>
      <w:r>
        <w:rPr>
          <w:rFonts w:ascii="Arial" w:cs="Arial" w:eastAsia="Arial" w:hAnsi="Arial"/>
          <w:sz w:val="8"/>
          <w:szCs w:val="8"/>
          <w:b w:val="1"/>
          <w:bCs w:val="1"/>
          <w:color w:val="auto"/>
        </w:rPr>
        <w:t>_____________________________________________</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FORM 10-K</w:t>
      </w:r>
    </w:p>
    <w:p>
      <w:pPr>
        <w:spacing w:after="0" w:line="23" w:lineRule="exact"/>
        <w:rPr>
          <w:sz w:val="24"/>
          <w:szCs w:val="24"/>
          <w:color w:val="auto"/>
        </w:rPr>
      </w:pPr>
    </w:p>
    <w:p>
      <w:pPr>
        <w:ind w:left="4680"/>
        <w:spacing w:after="0"/>
        <w:rPr>
          <w:sz w:val="20"/>
          <w:szCs w:val="20"/>
          <w:color w:val="auto"/>
        </w:rPr>
      </w:pPr>
      <w:r>
        <w:rPr>
          <w:rFonts w:ascii="Arial" w:cs="Arial" w:eastAsia="Arial" w:hAnsi="Arial"/>
          <w:sz w:val="8"/>
          <w:szCs w:val="8"/>
          <w:color w:val="auto"/>
        </w:rPr>
        <w:t>_____________________________________________</w:t>
      </w:r>
    </w:p>
    <w:p>
      <w:pPr>
        <w:spacing w:after="0" w:line="30"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ectPr>
          <w:pgSz w:w="11900" w:h="16838" w:orient="portrait"/>
          <w:cols w:equalWidth="0" w:num="1">
            <w:col w:w="11220"/>
          </w:cols>
          <w:pgMar w:left="300" w:top="214" w:right="379" w:bottom="1440" w:gutter="0" w:footer="0" w:header="0"/>
        </w:sectPr>
      </w:pPr>
    </w:p>
    <w:p>
      <w:pPr>
        <w:spacing w:after="0" w:line="149" w:lineRule="exact"/>
        <w:rPr>
          <w:sz w:val="24"/>
          <w:szCs w:val="24"/>
          <w:color w:val="auto"/>
        </w:rPr>
      </w:pPr>
    </w:p>
    <w:p>
      <w:pPr>
        <w:ind w:left="20"/>
        <w:spacing w:after="0"/>
        <w:rPr>
          <w:sz w:val="20"/>
          <w:szCs w:val="20"/>
          <w:color w:val="auto"/>
        </w:rPr>
      </w:pPr>
      <w:r>
        <w:rPr>
          <w:rFonts w:ascii="Arial" w:cs="Arial" w:eastAsia="Arial" w:hAnsi="Arial"/>
          <w:sz w:val="11"/>
          <w:szCs w:val="11"/>
          <w:color w:val="auto"/>
        </w:rPr>
        <w:t>x</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ANNUAL REPORT PURSUANT TO SECTION 13 OR 15(d) OF THE SECURITIES EXCHANGE ACT OF 1934</w:t>
      </w:r>
    </w:p>
    <w:p>
      <w:pPr>
        <w:spacing w:after="0" w:line="141" w:lineRule="exact"/>
        <w:rPr>
          <w:sz w:val="24"/>
          <w:szCs w:val="24"/>
          <w:color w:val="auto"/>
        </w:rPr>
      </w:pPr>
    </w:p>
    <w:p>
      <w:pPr>
        <w:sectPr>
          <w:pgSz w:w="11900" w:h="16838" w:orient="portrait"/>
          <w:cols w:equalWidth="0" w:num="2">
            <w:col w:w="80" w:space="240"/>
            <w:col w:w="10900"/>
          </w:cols>
          <w:pgMar w:left="300" w:top="214" w:right="379" w:bottom="1440" w:gutter="0" w:footer="0" w:header="0"/>
          <w:type w:val="continuous"/>
        </w:sectPr>
      </w:pPr>
    </w:p>
    <w:p>
      <w:pPr>
        <w:jc w:val="center"/>
        <w:ind w:right="-79"/>
        <w:spacing w:after="0"/>
        <w:rPr>
          <w:sz w:val="20"/>
          <w:szCs w:val="20"/>
          <w:color w:val="auto"/>
        </w:rPr>
      </w:pPr>
      <w:r>
        <w:rPr>
          <w:rFonts w:ascii="Arial" w:cs="Arial" w:eastAsia="Arial" w:hAnsi="Arial"/>
          <w:sz w:val="12"/>
          <w:szCs w:val="12"/>
          <w:b w:val="1"/>
          <w:bCs w:val="1"/>
          <w:color w:val="auto"/>
        </w:rPr>
        <w:t>For the fiscal year ended December 31, 2022</w:t>
      </w:r>
    </w:p>
    <w:p>
      <w:pPr>
        <w:spacing w:after="0" w:line="7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OR</w:t>
      </w:r>
    </w:p>
    <w:p>
      <w:pPr>
        <w:sectPr>
          <w:pgSz w:w="11900" w:h="16838" w:orient="portrait"/>
          <w:cols w:equalWidth="0" w:num="1">
            <w:col w:w="11220"/>
          </w:cols>
          <w:pgMar w:left="300" w:top="214" w:right="379" w:bottom="1440" w:gutter="0" w:footer="0" w:header="0"/>
          <w:type w:val="continuous"/>
        </w:sectPr>
      </w:pPr>
    </w:p>
    <w:p>
      <w:pPr>
        <w:spacing w:after="0" w:line="115" w:lineRule="exact"/>
        <w:rPr>
          <w:sz w:val="24"/>
          <w:szCs w:val="24"/>
          <w:color w:val="auto"/>
        </w:rPr>
      </w:pPr>
    </w:p>
    <w:p>
      <w:pPr>
        <w:ind w:left="20"/>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TRANSITION REPORT PURSUANT TO SECTION 13 OR 15(d) OF THE SECURITIES EXCHANGE ACT OF 1934 FOR THE TRANSITION PERIOD FROM</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TO</w:t>
      </w:r>
    </w:p>
    <w:p>
      <w:pPr>
        <w:spacing w:after="0" w:line="152" w:lineRule="exact"/>
        <w:rPr>
          <w:sz w:val="24"/>
          <w:szCs w:val="24"/>
          <w:color w:val="auto"/>
        </w:rPr>
      </w:pPr>
    </w:p>
    <w:p>
      <w:pPr>
        <w:sectPr>
          <w:pgSz w:w="11900" w:h="16838" w:orient="portrait"/>
          <w:cols w:equalWidth="0" w:num="3">
            <w:col w:w="120" w:space="220"/>
            <w:col w:w="7880" w:space="620"/>
            <w:col w:w="2380"/>
          </w:cols>
          <w:pgMar w:left="300" w:top="214" w:right="379" w:bottom="1440" w:gutter="0" w:footer="0" w:header="0"/>
          <w:type w:val="continuous"/>
        </w:sectPr>
      </w:pPr>
    </w:p>
    <w:p>
      <w:pPr>
        <w:jc w:val="center"/>
        <w:ind w:right="-59"/>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2"/>
          <w:szCs w:val="12"/>
          <w:b w:val="1"/>
          <w:bCs w:val="1"/>
          <w:color w:val="auto"/>
        </w:rPr>
        <w:t>001-39303</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8"/>
          <w:szCs w:val="8"/>
          <w:color w:val="auto"/>
        </w:rPr>
        <w:t>_____________________________________________</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PLIANT THERAPEUTICS,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45" w:lineRule="exact"/>
        <w:rPr>
          <w:sz w:val="24"/>
          <w:szCs w:val="24"/>
          <w:color w:val="auto"/>
        </w:rPr>
      </w:pPr>
    </w:p>
    <w:p>
      <w:pPr>
        <w:ind w:left="4680"/>
        <w:spacing w:after="0"/>
        <w:rPr>
          <w:sz w:val="20"/>
          <w:szCs w:val="20"/>
          <w:color w:val="auto"/>
        </w:rPr>
      </w:pPr>
      <w:r>
        <w:rPr>
          <w:rFonts w:ascii="Arial" w:cs="Arial" w:eastAsia="Arial" w:hAnsi="Arial"/>
          <w:sz w:val="8"/>
          <w:szCs w:val="8"/>
          <w:color w:val="auto"/>
        </w:rPr>
        <w:t>_____________________________________________</w:t>
      </w:r>
    </w:p>
    <w:p>
      <w:pPr>
        <w:sectPr>
          <w:pgSz w:w="11900" w:h="16838" w:orient="portrait"/>
          <w:cols w:equalWidth="0" w:num="1">
            <w:col w:w="11220"/>
          </w:cols>
          <w:pgMar w:left="300" w:top="214" w:right="379" w:bottom="1440" w:gutter="0" w:footer="0" w:header="0"/>
          <w:type w:val="continuous"/>
        </w:sectPr>
      </w:pPr>
    </w:p>
    <w:p>
      <w:pPr>
        <w:spacing w:after="0" w:line="107" w:lineRule="exact"/>
        <w:rPr>
          <w:sz w:val="24"/>
          <w:szCs w:val="24"/>
          <w:color w:val="auto"/>
        </w:rPr>
      </w:pPr>
    </w:p>
    <w:p>
      <w:pPr>
        <w:ind w:left="290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47-4272481</w:t>
      </w:r>
    </w:p>
    <w:p>
      <w:pPr>
        <w:spacing w:after="0" w:line="76" w:lineRule="exact"/>
        <w:rPr>
          <w:sz w:val="24"/>
          <w:szCs w:val="24"/>
          <w:color w:val="auto"/>
        </w:rPr>
      </w:pPr>
    </w:p>
    <w:p>
      <w:pPr>
        <w:sectPr>
          <w:pgSz w:w="11900" w:h="16838" w:orient="portrait"/>
          <w:cols w:equalWidth="0" w:num="2">
            <w:col w:w="6960" w:space="720"/>
            <w:col w:w="3540"/>
          </w:cols>
          <w:pgMar w:left="300" w:top="214" w:right="379" w:bottom="1440" w:gutter="0" w:footer="0" w:header="0"/>
          <w:type w:val="continuous"/>
        </w:sectPr>
      </w:pPr>
    </w:p>
    <w:p>
      <w:pPr>
        <w:ind w:left="2540"/>
        <w:spacing w:after="0"/>
        <w:rPr>
          <w:sz w:val="20"/>
          <w:szCs w:val="20"/>
          <w:color w:val="auto"/>
        </w:rPr>
      </w:pPr>
      <w:r>
        <w:rPr>
          <w:rFonts w:ascii="Arial" w:cs="Arial" w:eastAsia="Arial" w:hAnsi="Arial"/>
          <w:sz w:val="9"/>
          <w:szCs w:val="9"/>
          <w:b w:val="1"/>
          <w:bCs w:val="1"/>
          <w:color w:val="auto"/>
        </w:rPr>
        <w:t>(State or Other Jurisdiction of</w:t>
      </w:r>
    </w:p>
    <w:p>
      <w:pPr>
        <w:spacing w:after="0" w:line="23" w:lineRule="exact"/>
        <w:rPr>
          <w:sz w:val="24"/>
          <w:szCs w:val="24"/>
          <w:color w:val="auto"/>
        </w:rPr>
      </w:pPr>
    </w:p>
    <w:p>
      <w:pPr>
        <w:ind w:left="2520"/>
        <w:spacing w:after="0"/>
        <w:rPr>
          <w:sz w:val="20"/>
          <w:szCs w:val="20"/>
          <w:color w:val="auto"/>
        </w:rPr>
      </w:pPr>
      <w:r>
        <w:rPr>
          <w:rFonts w:ascii="Arial" w:cs="Arial" w:eastAsia="Arial" w:hAnsi="Arial"/>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9"/>
          <w:szCs w:val="9"/>
          <w:b w:val="1"/>
          <w:bCs w:val="1"/>
          <w:color w:val="auto"/>
        </w:rPr>
        <w:t>(I.R.S. Employer</w:t>
      </w:r>
    </w:p>
    <w:p>
      <w:pPr>
        <w:spacing w:after="0" w:line="23" w:lineRule="exact"/>
        <w:rPr>
          <w:sz w:val="24"/>
          <w:szCs w:val="24"/>
          <w:color w:val="auto"/>
        </w:rPr>
      </w:pPr>
    </w:p>
    <w:p>
      <w:pPr>
        <w:spacing w:after="0"/>
        <w:rPr>
          <w:sz w:val="20"/>
          <w:szCs w:val="20"/>
          <w:color w:val="auto"/>
        </w:rPr>
      </w:pPr>
      <w:r>
        <w:rPr>
          <w:rFonts w:ascii="Arial" w:cs="Arial" w:eastAsia="Arial" w:hAnsi="Arial"/>
          <w:sz w:val="7"/>
          <w:szCs w:val="7"/>
          <w:b w:val="1"/>
          <w:bCs w:val="1"/>
          <w:color w:val="auto"/>
        </w:rPr>
        <w:t>Identification No.)</w:t>
      </w:r>
    </w:p>
    <w:p>
      <w:pPr>
        <w:spacing w:after="0" w:line="71" w:lineRule="exact"/>
        <w:rPr>
          <w:sz w:val="24"/>
          <w:szCs w:val="24"/>
          <w:color w:val="auto"/>
        </w:rPr>
      </w:pPr>
    </w:p>
    <w:p>
      <w:pPr>
        <w:sectPr>
          <w:pgSz w:w="11900" w:h="16838" w:orient="portrait"/>
          <w:cols w:equalWidth="0" w:num="2">
            <w:col w:w="6920" w:space="720"/>
            <w:col w:w="3580"/>
          </w:cols>
          <w:pgMar w:left="300" w:top="214" w:right="379" w:bottom="1440" w:gutter="0" w:footer="0" w:header="0"/>
          <w:type w:val="continuous"/>
        </w:sectPr>
      </w:pPr>
    </w:p>
    <w:p>
      <w:pPr>
        <w:ind w:left="2580"/>
        <w:spacing w:after="0"/>
        <w:rPr>
          <w:sz w:val="20"/>
          <w:szCs w:val="20"/>
          <w:color w:val="auto"/>
        </w:rPr>
      </w:pPr>
      <w:r>
        <w:rPr>
          <w:rFonts w:ascii="Arial" w:cs="Arial" w:eastAsia="Arial" w:hAnsi="Arial"/>
          <w:sz w:val="11"/>
          <w:szCs w:val="11"/>
          <w:b w:val="1"/>
          <w:bCs w:val="1"/>
          <w:color w:val="auto"/>
        </w:rPr>
        <w:t>260 Littlefield Avenue</w:t>
      </w:r>
    </w:p>
    <w:p>
      <w:pPr>
        <w:sectPr>
          <w:pgSz w:w="11900" w:h="16838" w:orient="portrait"/>
          <w:cols w:equalWidth="0" w:num="1">
            <w:col w:w="11220"/>
          </w:cols>
          <w:pgMar w:left="300" w:top="214" w:right="379" w:bottom="1440" w:gutter="0" w:footer="0" w:header="0"/>
          <w:type w:val="continuous"/>
        </w:sectPr>
      </w:pPr>
    </w:p>
    <w:p>
      <w:pPr>
        <w:spacing w:after="0" w:line="86" w:lineRule="exact"/>
        <w:rPr>
          <w:sz w:val="24"/>
          <w:szCs w:val="24"/>
          <w:color w:val="auto"/>
        </w:rPr>
      </w:pPr>
    </w:p>
    <w:p>
      <w:pPr>
        <w:ind w:left="2460"/>
        <w:spacing w:after="0"/>
        <w:rPr>
          <w:sz w:val="20"/>
          <w:szCs w:val="20"/>
          <w:color w:val="auto"/>
        </w:rPr>
      </w:pPr>
      <w:r>
        <w:rPr>
          <w:rFonts w:ascii="Arial" w:cs="Arial" w:eastAsia="Arial" w:hAnsi="Arial"/>
          <w:sz w:val="12"/>
          <w:szCs w:val="12"/>
          <w:b w:val="1"/>
          <w:bCs w:val="1"/>
          <w:color w:val="auto"/>
        </w:rPr>
        <w:t>South San Francisco  ,  CA</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94080</w:t>
      </w:r>
    </w:p>
    <w:p>
      <w:pPr>
        <w:spacing w:after="0" w:line="75" w:lineRule="exact"/>
        <w:rPr>
          <w:sz w:val="24"/>
          <w:szCs w:val="24"/>
          <w:color w:val="auto"/>
        </w:rPr>
      </w:pPr>
    </w:p>
    <w:p>
      <w:pPr>
        <w:sectPr>
          <w:pgSz w:w="11900" w:h="16838" w:orient="portrait"/>
          <w:cols w:equalWidth="0" w:num="2">
            <w:col w:w="7120" w:space="720"/>
            <w:col w:w="3380"/>
          </w:cols>
          <w:pgMar w:left="300" w:top="214" w:right="379" w:bottom="1440" w:gutter="0" w:footer="0" w:header="0"/>
          <w:type w:val="continuous"/>
        </w:sectPr>
      </w:pPr>
    </w:p>
    <w:p>
      <w:pPr>
        <w:ind w:left="2340"/>
        <w:spacing w:after="0"/>
        <w:rPr>
          <w:sz w:val="20"/>
          <w:szCs w:val="20"/>
          <w:color w:val="auto"/>
        </w:rPr>
      </w:pPr>
      <w:r>
        <w:rPr>
          <w:rFonts w:ascii="Arial" w:cs="Arial" w:eastAsia="Arial" w:hAnsi="Arial"/>
          <w:sz w:val="7"/>
          <w:szCs w:val="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(Zip Code)</w:t>
      </w:r>
    </w:p>
    <w:p>
      <w:pPr>
        <w:spacing w:after="0" w:line="150" w:lineRule="exact"/>
        <w:rPr>
          <w:sz w:val="24"/>
          <w:szCs w:val="24"/>
          <w:color w:val="auto"/>
        </w:rPr>
      </w:pPr>
    </w:p>
    <w:p>
      <w:pPr>
        <w:sectPr>
          <w:pgSz w:w="11900" w:h="16838" w:orient="portrait"/>
          <w:cols w:equalWidth="0" w:num="2">
            <w:col w:w="7080" w:space="720"/>
            <w:col w:w="3420"/>
          </w:cols>
          <w:pgMar w:left="300" w:top="214" w:right="379" w:bottom="1440" w:gutter="0" w:footer="0" w:header="0"/>
          <w:type w:val="continuous"/>
        </w:sectPr>
      </w:pPr>
    </w:p>
    <w:p>
      <w:pPr>
        <w:jc w:val="center"/>
        <w:ind w:right="-79"/>
        <w:spacing w:after="0"/>
        <w:rPr>
          <w:sz w:val="20"/>
          <w:szCs w:val="20"/>
          <w:color w:val="auto"/>
        </w:rPr>
      </w:pPr>
      <w:r>
        <w:rPr>
          <w:rFonts w:ascii="Arial" w:cs="Arial" w:eastAsia="Arial" w:hAnsi="Arial"/>
          <w:sz w:val="14"/>
          <w:szCs w:val="14"/>
          <w:b w:val="1"/>
          <w:bCs w:val="1"/>
          <w:color w:val="auto"/>
        </w:rPr>
        <w:t xml:space="preserve">Registrant’s telephone number, including area code: </w:t>
      </w:r>
      <w:r>
        <w:rPr>
          <w:rFonts w:ascii="Arial" w:cs="Arial" w:eastAsia="Arial" w:hAnsi="Arial"/>
          <w:sz w:val="12"/>
          <w:szCs w:val="12"/>
          <w:b w:val="1"/>
          <w:bCs w:val="1"/>
          <w:color w:val="auto"/>
        </w:rPr>
        <w:t>(650) 481-6770</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8"/>
          <w:szCs w:val="8"/>
          <w:color w:val="auto"/>
        </w:rPr>
        <w:t>_____________________________________________</w:t>
      </w:r>
    </w:p>
    <w:p>
      <w:pPr>
        <w:spacing w:after="0" w:line="36"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7164705</wp:posOffset>
            </wp:positionH>
            <wp:positionV relativeFrom="paragraph">
              <wp:posOffset>74295</wp:posOffset>
            </wp:positionV>
            <wp:extent cx="6985" cy="2089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5"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74295</wp:posOffset>
            </wp:positionV>
            <wp:extent cx="6985" cy="208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5" cy="208915"/>
                    </a:xfrm>
                    <a:prstGeom prst="rect">
                      <a:avLst/>
                    </a:prstGeom>
                    <a:noFill/>
                  </pic:spPr>
                </pic:pic>
              </a:graphicData>
            </a:graphic>
          </wp:anchor>
        </w:drawing>
      </w:r>
    </w:p>
    <w:p>
      <w:pPr>
        <w:spacing w:after="0" w:line="97" w:lineRule="exact"/>
        <w:rPr>
          <w:sz w:val="24"/>
          <w:szCs w:val="24"/>
          <w:color w:val="auto"/>
        </w:rPr>
      </w:pPr>
    </w:p>
    <w:tbl>
      <w:tblPr>
        <w:tblLayout w:type="fixed"/>
        <w:tblInd w:w="880" w:type="dxa"/>
        <w:tblCellMar>
          <w:top w:w="0" w:type="dxa"/>
          <w:left w:w="0" w:type="dxa"/>
          <w:bottom w:w="0" w:type="dxa"/>
          <w:right w:w="0" w:type="dxa"/>
        </w:tblCellMar>
      </w:tblPr>
      <w:tr>
        <w:trPr>
          <w:trHeight w:val="165"/>
        </w:trPr>
        <w:tc>
          <w:tcPr>
            <w:tcW w:w="2920" w:type="dxa"/>
            <w:vAlign w:val="bottom"/>
            <w:tcBorders>
              <w:right w:val="single" w:sz="8" w:color="auto"/>
            </w:tcBorders>
          </w:tcPr>
          <w:p>
            <w:pPr>
              <w:jc w:val="center"/>
              <w:ind w:right="843"/>
              <w:spacing w:after="0"/>
              <w:rPr>
                <w:sz w:val="20"/>
                <w:szCs w:val="20"/>
                <w:color w:val="auto"/>
              </w:rPr>
            </w:pPr>
            <w:r>
              <w:rPr>
                <w:rFonts w:ascii="Arial" w:cs="Arial" w:eastAsia="Arial" w:hAnsi="Arial"/>
                <w:sz w:val="11"/>
                <w:szCs w:val="11"/>
                <w:b w:val="1"/>
                <w:bCs w:val="1"/>
                <w:color w:val="auto"/>
                <w:w w:val="91"/>
              </w:rPr>
              <w:t>Title of Each Class</w:t>
            </w:r>
          </w:p>
        </w:tc>
        <w:tc>
          <w:tcPr>
            <w:tcW w:w="36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Trading Symbol(s)</w:t>
            </w:r>
          </w:p>
        </w:tc>
        <w:tc>
          <w:tcPr>
            <w:tcW w:w="3040" w:type="dxa"/>
            <w:vAlign w:val="bottom"/>
          </w:tcPr>
          <w:p>
            <w:pPr>
              <w:jc w:val="center"/>
              <w:ind w:left="783"/>
              <w:spacing w:after="0"/>
              <w:rPr>
                <w:sz w:val="20"/>
                <w:szCs w:val="20"/>
                <w:color w:val="auto"/>
              </w:rPr>
            </w:pPr>
            <w:r>
              <w:rPr>
                <w:rFonts w:ascii="Arial" w:cs="Arial" w:eastAsia="Arial" w:hAnsi="Arial"/>
                <w:sz w:val="11"/>
                <w:szCs w:val="11"/>
                <w:b w:val="1"/>
                <w:bCs w:val="1"/>
                <w:color w:val="auto"/>
                <w:w w:val="92"/>
              </w:rPr>
              <w:t>Name of Each Exchange on which Registered</w:t>
            </w:r>
          </w:p>
        </w:tc>
      </w:tr>
      <w:tr>
        <w:trPr>
          <w:trHeight w:val="164"/>
        </w:trPr>
        <w:tc>
          <w:tcPr>
            <w:tcW w:w="2920" w:type="dxa"/>
            <w:vAlign w:val="bottom"/>
            <w:tcBorders>
              <w:right w:val="single" w:sz="8" w:color="auto"/>
            </w:tcBorders>
          </w:tcPr>
          <w:p>
            <w:pPr>
              <w:jc w:val="center"/>
              <w:ind w:right="843"/>
              <w:spacing w:after="0"/>
              <w:rPr>
                <w:sz w:val="20"/>
                <w:szCs w:val="20"/>
                <w:color w:val="auto"/>
              </w:rPr>
            </w:pPr>
            <w:r>
              <w:rPr>
                <w:rFonts w:ascii="Arial" w:cs="Arial" w:eastAsia="Arial" w:hAnsi="Arial"/>
                <w:sz w:val="11"/>
                <w:szCs w:val="11"/>
                <w:color w:val="auto"/>
                <w:w w:val="92"/>
              </w:rPr>
              <w:t>Common Stock, par value $0.0001 per share</w:t>
            </w:r>
          </w:p>
        </w:tc>
        <w:tc>
          <w:tcPr>
            <w:tcW w:w="36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PLRX</w:t>
            </w:r>
          </w:p>
        </w:tc>
        <w:tc>
          <w:tcPr>
            <w:tcW w:w="3040" w:type="dxa"/>
            <w:vAlign w:val="bottom"/>
          </w:tcPr>
          <w:p>
            <w:pPr>
              <w:jc w:val="center"/>
              <w:ind w:left="783"/>
              <w:spacing w:after="0"/>
              <w:rPr>
                <w:sz w:val="20"/>
                <w:szCs w:val="20"/>
                <w:color w:val="auto"/>
              </w:rPr>
            </w:pPr>
            <w:r>
              <w:rPr>
                <w:rFonts w:ascii="Arial" w:cs="Arial" w:eastAsia="Arial" w:hAnsi="Arial"/>
                <w:sz w:val="11"/>
                <w:szCs w:val="11"/>
                <w:color w:val="auto"/>
                <w:w w:val="95"/>
              </w:rPr>
              <w:t>The Nasdaq Stock Market LLC</w:t>
            </w:r>
          </w:p>
        </w:tc>
      </w:tr>
    </w:tbl>
    <w:p>
      <w:pPr>
        <w:spacing w:after="0" w:line="89" w:lineRule="exact"/>
        <w:rPr>
          <w:sz w:val="24"/>
          <w:szCs w:val="24"/>
          <w:color w:val="auto"/>
        </w:rPr>
      </w:pPr>
    </w:p>
    <w:p>
      <w:pPr>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p>
    <w:p>
      <w:pPr>
        <w:spacing w:after="0" w:line="46" w:lineRule="exact"/>
        <w:rPr>
          <w:sz w:val="24"/>
          <w:szCs w:val="24"/>
          <w:color w:val="auto"/>
        </w:rPr>
      </w:pPr>
    </w:p>
    <w:p>
      <w:pPr>
        <w:ind w:right="5300"/>
        <w:spacing w:after="0" w:line="184"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x Indicate by check mark if the Registrant is not required to file reports pursuant to Section 13 or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x</w:t>
      </w:r>
    </w:p>
    <w:p>
      <w:pPr>
        <w:spacing w:after="0" w:line="25" w:lineRule="exact"/>
        <w:rPr>
          <w:sz w:val="24"/>
          <w:szCs w:val="24"/>
          <w:color w:val="auto"/>
        </w:rPr>
      </w:pPr>
    </w:p>
    <w:p>
      <w:pPr>
        <w:spacing w:after="0" w:line="148"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1"/>
          <w:szCs w:val="11"/>
          <w:color w:val="auto"/>
        </w:rPr>
        <w:t>☐</w:t>
      </w:r>
    </w:p>
    <w:p>
      <w:pPr>
        <w:spacing w:after="0" w:line="24" w:lineRule="exact"/>
        <w:rPr>
          <w:sz w:val="24"/>
          <w:szCs w:val="24"/>
          <w:color w:val="auto"/>
        </w:rPr>
      </w:pPr>
    </w:p>
    <w:p>
      <w:pPr>
        <w:ind w:right="60"/>
        <w:spacing w:after="0" w:line="153"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1"/>
          <w:szCs w:val="11"/>
          <w:color w:val="auto"/>
        </w:rPr>
        <w:t>☐</w:t>
      </w:r>
    </w:p>
    <w:p>
      <w:pPr>
        <w:spacing w:after="0" w:line="24" w:lineRule="exact"/>
        <w:rPr>
          <w:sz w:val="24"/>
          <w:szCs w:val="24"/>
          <w:color w:val="auto"/>
        </w:rPr>
      </w:pPr>
    </w:p>
    <w:p>
      <w:pPr>
        <w:ind w:right="100"/>
        <w:spacing w:after="0" w:line="29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177"/>
        </w:trPr>
        <w:tc>
          <w:tcPr>
            <w:tcW w:w="278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2740" w:type="dxa"/>
            <w:vAlign w:val="bottom"/>
          </w:tcPr>
          <w:p>
            <w:pPr>
              <w:ind w:left="1460"/>
              <w:spacing w:after="0" w:line="111" w:lineRule="exact"/>
              <w:rPr>
                <w:sz w:val="20"/>
                <w:szCs w:val="20"/>
                <w:color w:val="auto"/>
              </w:rPr>
            </w:pPr>
            <w:r>
              <w:rPr>
                <w:rFonts w:ascii="MS PGothic" w:cs="MS PGothic" w:eastAsia="MS PGothic" w:hAnsi="MS PGothic"/>
                <w:sz w:val="11"/>
                <w:szCs w:val="11"/>
                <w:color w:val="auto"/>
              </w:rPr>
              <w:t>☐</w:t>
            </w:r>
          </w:p>
        </w:tc>
        <w:tc>
          <w:tcPr>
            <w:tcW w:w="3980" w:type="dxa"/>
            <w:vAlign w:val="bottom"/>
          </w:tcPr>
          <w:p>
            <w:pPr>
              <w:ind w:left="1200"/>
              <w:spacing w:after="0"/>
              <w:rPr>
                <w:sz w:val="20"/>
                <w:szCs w:val="20"/>
                <w:color w:val="auto"/>
              </w:rPr>
            </w:pPr>
            <w:r>
              <w:rPr>
                <w:rFonts w:ascii="Arial" w:cs="Arial" w:eastAsia="Arial" w:hAnsi="Arial"/>
                <w:sz w:val="12"/>
                <w:szCs w:val="12"/>
                <w:color w:val="auto"/>
              </w:rPr>
              <w:t>Accelerated filer</w:t>
            </w:r>
          </w:p>
        </w:tc>
        <w:tc>
          <w:tcPr>
            <w:tcW w:w="1580" w:type="dxa"/>
            <w:vAlign w:val="bottom"/>
          </w:tcPr>
          <w:p>
            <w:pPr>
              <w:ind w:left="1460"/>
              <w:spacing w:after="0" w:line="111" w:lineRule="exact"/>
              <w:rPr>
                <w:sz w:val="20"/>
                <w:szCs w:val="20"/>
                <w:color w:val="auto"/>
              </w:rPr>
            </w:pPr>
            <w:r>
              <w:rPr>
                <w:rFonts w:ascii="MS PGothic" w:cs="MS PGothic" w:eastAsia="MS PGothic" w:hAnsi="MS PGothic"/>
                <w:sz w:val="11"/>
                <w:szCs w:val="11"/>
                <w:color w:val="auto"/>
                <w:w w:val="90"/>
              </w:rPr>
              <w:t>☐</w:t>
            </w:r>
          </w:p>
        </w:tc>
      </w:tr>
      <w:tr>
        <w:trPr>
          <w:trHeight w:val="308"/>
        </w:trPr>
        <w:tc>
          <w:tcPr>
            <w:tcW w:w="2780" w:type="dxa"/>
            <w:vAlign w:val="bottom"/>
          </w:tcPr>
          <w:p>
            <w:pPr>
              <w:spacing w:after="0"/>
              <w:rPr>
                <w:sz w:val="20"/>
                <w:szCs w:val="20"/>
                <w:color w:val="auto"/>
              </w:rPr>
            </w:pPr>
            <w:r>
              <w:rPr>
                <w:rFonts w:ascii="Arial" w:cs="Arial" w:eastAsia="Arial" w:hAnsi="Arial"/>
                <w:sz w:val="12"/>
                <w:szCs w:val="12"/>
                <w:color w:val="auto"/>
              </w:rPr>
              <w:t>Non-accelerated filer</w:t>
            </w:r>
          </w:p>
        </w:tc>
        <w:tc>
          <w:tcPr>
            <w:tcW w:w="2740" w:type="dxa"/>
            <w:vAlign w:val="bottom"/>
          </w:tcPr>
          <w:p>
            <w:pPr>
              <w:ind w:left="1460"/>
              <w:spacing w:after="0"/>
              <w:rPr>
                <w:sz w:val="20"/>
                <w:szCs w:val="20"/>
                <w:color w:val="auto"/>
              </w:rPr>
            </w:pPr>
            <w:r>
              <w:rPr>
                <w:rFonts w:ascii="Arial" w:cs="Arial" w:eastAsia="Arial" w:hAnsi="Arial"/>
                <w:sz w:val="11"/>
                <w:szCs w:val="11"/>
                <w:color w:val="auto"/>
              </w:rPr>
              <w:t>x</w:t>
            </w:r>
          </w:p>
        </w:tc>
        <w:tc>
          <w:tcPr>
            <w:tcW w:w="3980" w:type="dxa"/>
            <w:vAlign w:val="bottom"/>
          </w:tcPr>
          <w:p>
            <w:pPr>
              <w:ind w:left="1200"/>
              <w:spacing w:after="0"/>
              <w:rPr>
                <w:sz w:val="20"/>
                <w:szCs w:val="20"/>
                <w:color w:val="auto"/>
              </w:rPr>
            </w:pPr>
            <w:r>
              <w:rPr>
                <w:rFonts w:ascii="Arial" w:cs="Arial" w:eastAsia="Arial" w:hAnsi="Arial"/>
                <w:sz w:val="12"/>
                <w:szCs w:val="12"/>
                <w:color w:val="auto"/>
              </w:rPr>
              <w:t>Smaller reporting company</w:t>
            </w:r>
          </w:p>
        </w:tc>
        <w:tc>
          <w:tcPr>
            <w:tcW w:w="1580" w:type="dxa"/>
            <w:vAlign w:val="bottom"/>
          </w:tcPr>
          <w:p>
            <w:pPr>
              <w:ind w:left="1460"/>
              <w:spacing w:after="0"/>
              <w:rPr>
                <w:sz w:val="20"/>
                <w:szCs w:val="20"/>
                <w:color w:val="auto"/>
              </w:rPr>
            </w:pPr>
            <w:r>
              <w:rPr>
                <w:rFonts w:ascii="Arial" w:cs="Arial" w:eastAsia="Arial" w:hAnsi="Arial"/>
                <w:sz w:val="11"/>
                <w:szCs w:val="11"/>
                <w:color w:val="auto"/>
              </w:rPr>
              <w:t>x</w:t>
            </w:r>
          </w:p>
        </w:tc>
      </w:tr>
      <w:tr>
        <w:trPr>
          <w:trHeight w:val="339"/>
        </w:trPr>
        <w:tc>
          <w:tcPr>
            <w:tcW w:w="278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2740" w:type="dxa"/>
            <w:vAlign w:val="bottom"/>
          </w:tcPr>
          <w:p>
            <w:pPr>
              <w:ind w:left="1460"/>
              <w:spacing w:after="0" w:line="111" w:lineRule="exact"/>
              <w:rPr>
                <w:sz w:val="20"/>
                <w:szCs w:val="20"/>
                <w:color w:val="auto"/>
              </w:rPr>
            </w:pPr>
            <w:r>
              <w:rPr>
                <w:rFonts w:ascii="MS PGothic" w:cs="MS PGothic" w:eastAsia="MS PGothic" w:hAnsi="MS PGothic"/>
                <w:sz w:val="11"/>
                <w:szCs w:val="11"/>
                <w:color w:val="auto"/>
              </w:rPr>
              <w:t>☐</w:t>
            </w:r>
          </w:p>
        </w:tc>
        <w:tc>
          <w:tcPr>
            <w:tcW w:w="39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98" w:lineRule="exact"/>
        <w:rPr>
          <w:sz w:val="24"/>
          <w:szCs w:val="24"/>
          <w:color w:val="auto"/>
        </w:rPr>
      </w:pPr>
    </w:p>
    <w:p>
      <w:pPr>
        <w:ind w:right="20"/>
        <w:spacing w:after="0" w:line="153"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4" w:lineRule="exact"/>
        <w:rPr>
          <w:sz w:val="24"/>
          <w:szCs w:val="24"/>
          <w:color w:val="auto"/>
        </w:rPr>
      </w:pPr>
    </w:p>
    <w:p>
      <w:pPr>
        <w:ind w:right="360"/>
        <w:spacing w:after="0" w:line="146"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27" w:lineRule="exact"/>
        <w:rPr>
          <w:sz w:val="20"/>
          <w:szCs w:val="20"/>
          <w:color w:val="auto"/>
        </w:rPr>
      </w:pPr>
      <w:r>
        <w:rPr>
          <w:rFonts w:ascii="Arial" w:cs="Arial" w:eastAsia="Arial" w:hAnsi="Arial"/>
          <w:sz w:val="11"/>
          <w:szCs w:val="11"/>
          <w:color w:val="auto"/>
        </w:rPr>
        <w:t xml:space="preserve">If securities are registered pursuant to Section 12(b) of the Act, indicate by check mark whether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5" w:lineRule="exact"/>
        <w:rPr>
          <w:sz w:val="24"/>
          <w:szCs w:val="24"/>
          <w:color w:val="auto"/>
        </w:rPr>
      </w:pPr>
    </w:p>
    <w:p>
      <w:pPr>
        <w:ind w:right="80"/>
        <w:spacing w:after="0" w:line="138"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3"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x</w:t>
      </w:r>
    </w:p>
    <w:p>
      <w:pPr>
        <w:spacing w:after="0" w:line="74" w:lineRule="exact"/>
        <w:rPr>
          <w:sz w:val="24"/>
          <w:szCs w:val="24"/>
          <w:color w:val="auto"/>
        </w:rPr>
      </w:pPr>
    </w:p>
    <w:p>
      <w:pPr>
        <w:spacing w:after="0"/>
        <w:rPr>
          <w:sz w:val="20"/>
          <w:szCs w:val="20"/>
          <w:color w:val="auto"/>
        </w:rPr>
      </w:pPr>
      <w:r>
        <w:rPr>
          <w:rFonts w:ascii="Arial" w:cs="Arial" w:eastAsia="Arial" w:hAnsi="Arial"/>
          <w:sz w:val="10"/>
          <w:szCs w:val="10"/>
          <w:color w:val="auto"/>
        </w:rPr>
        <w:t>The aggregate market value of the voting and non-voting common equity held by non-affiliates of the Registrant, based on the closing price of the shares of common stock on The NASDAQ Stock Market on June 30, 2022, was $281,511,770.</w:t>
      </w:r>
    </w:p>
    <w:p>
      <w:pPr>
        <w:spacing w:after="0" w:line="55" w:lineRule="exact"/>
        <w:rPr>
          <w:sz w:val="24"/>
          <w:szCs w:val="24"/>
          <w:color w:val="auto"/>
        </w:rPr>
      </w:pPr>
    </w:p>
    <w:p>
      <w:pPr>
        <w:spacing w:after="0"/>
        <w:rPr>
          <w:sz w:val="20"/>
          <w:szCs w:val="20"/>
          <w:color w:val="auto"/>
        </w:rPr>
      </w:pPr>
      <w:r>
        <w:rPr>
          <w:rFonts w:ascii="Arial" w:cs="Arial" w:eastAsia="Arial" w:hAnsi="Arial"/>
          <w:sz w:val="11"/>
          <w:szCs w:val="11"/>
          <w:color w:val="auto"/>
        </w:rPr>
        <w:t>The number of shares of Registrant’s Common Stock outstanding as of March 5, 2023 was 58,939,667.</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1"/>
          <w:szCs w:val="11"/>
          <w:color w:val="auto"/>
        </w:rPr>
        <w:t>DOCUMENTS INCORPORATED BY REFERENCE</w:t>
      </w:r>
    </w:p>
    <w:p>
      <w:pPr>
        <w:spacing w:after="0" w:line="54" w:lineRule="exact"/>
        <w:rPr>
          <w:sz w:val="24"/>
          <w:szCs w:val="24"/>
          <w:color w:val="auto"/>
        </w:rPr>
      </w:pPr>
    </w:p>
    <w:p>
      <w:pPr>
        <w:ind w:right="120"/>
        <w:spacing w:after="0" w:line="296" w:lineRule="auto"/>
        <w:rPr>
          <w:sz w:val="20"/>
          <w:szCs w:val="20"/>
          <w:color w:val="auto"/>
        </w:rPr>
      </w:pPr>
      <w:r>
        <w:rPr>
          <w:rFonts w:ascii="Arial" w:cs="Arial" w:eastAsia="Arial" w:hAnsi="Arial"/>
          <w:sz w:val="11"/>
          <w:szCs w:val="11"/>
          <w:color w:val="auto"/>
        </w:rPr>
        <w:t>Portions of the registrant’s definitive Proxy Statement for the 2023 Annual Meeting of Stockholders to be filed with the U.S. Securities and Exchange Commission pursuant to Regulation 14A not later than 120 days after the end of the fiscal year covered by this Annual Report on Form 10-K are incorporated by reference in Part III, Items 10-14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694690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53975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74295</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20"/>
          </w:cols>
          <w:pgMar w:left="300" w:top="214"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20" w:type="dxa"/>
            <w:vAlign w:val="bottom"/>
            <w:gridSpan w:val="7"/>
          </w:tcPr>
          <w:p>
            <w:pPr>
              <w:spacing w:after="0"/>
              <w:rPr>
                <w:sz w:val="20"/>
                <w:szCs w:val="20"/>
                <w:color w:val="auto"/>
              </w:rPr>
            </w:pPr>
            <w:r>
              <w:rPr>
                <w:rFonts w:ascii="Arial" w:cs="Arial" w:eastAsia="Arial" w:hAnsi="Arial"/>
                <w:sz w:val="14"/>
                <w:szCs w:val="14"/>
                <w:color w:val="0000FF"/>
                <w:w w:val="99"/>
              </w:rPr>
              <w:t>Table of Contents</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648"/>
        </w:trPr>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80" w:type="dxa"/>
            <w:vAlign w:val="bottom"/>
            <w:gridSpan w:val="6"/>
          </w:tcPr>
          <w:p>
            <w:pPr>
              <w:ind w:left="580"/>
              <w:spacing w:after="0"/>
              <w:rPr>
                <w:sz w:val="20"/>
                <w:szCs w:val="20"/>
                <w:color w:val="auto"/>
              </w:rPr>
            </w:pPr>
            <w:r>
              <w:rPr>
                <w:rFonts w:ascii="Arial" w:cs="Arial" w:eastAsia="Arial" w:hAnsi="Arial"/>
                <w:sz w:val="14"/>
                <w:szCs w:val="14"/>
                <w:b w:val="1"/>
                <w:bCs w:val="1"/>
                <w:color w:val="auto"/>
              </w:rPr>
              <w:t>Table of Contents</w:t>
            </w:r>
          </w:p>
        </w:tc>
        <w:tc>
          <w:tcPr>
            <w:tcW w:w="2040" w:type="dxa"/>
            <w:vAlign w:val="bottom"/>
          </w:tcPr>
          <w:p>
            <w:pPr>
              <w:spacing w:after="0"/>
              <w:rPr>
                <w:sz w:val="24"/>
                <w:szCs w:val="24"/>
                <w:color w:val="auto"/>
              </w:rPr>
            </w:pPr>
          </w:p>
        </w:tc>
      </w:tr>
      <w:tr>
        <w:trPr>
          <w:trHeight w:val="276"/>
        </w:trPr>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7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tcBorders>
              <w:bottom w:val="single" w:sz="8" w:color="0000FF"/>
            </w:tcBorders>
            <w:gridSpan w:val="13"/>
          </w:tcPr>
          <w:p>
            <w:pPr>
              <w:spacing w:after="0"/>
              <w:rPr>
                <w:sz w:val="20"/>
                <w:szCs w:val="20"/>
                <w:color w:val="auto"/>
              </w:rPr>
            </w:pPr>
            <w:r>
              <w:rPr>
                <w:rFonts w:ascii="Arial" w:cs="Arial" w:eastAsia="Arial" w:hAnsi="Arial"/>
                <w:sz w:val="14"/>
                <w:szCs w:val="14"/>
                <w:color w:val="0000FF"/>
                <w:w w:val="91"/>
              </w:rPr>
              <w:t>Special Note Regarding Forward-Looking Statements</w:t>
            </w:r>
          </w:p>
        </w:tc>
        <w:tc>
          <w:tcPr>
            <w:tcW w:w="5060" w:type="dxa"/>
            <w:vAlign w:val="bottom"/>
            <w:gridSpan w:val="8"/>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0"/>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100" w:type="dxa"/>
            <w:vAlign w:val="bottom"/>
            <w:gridSpan w:val="21"/>
          </w:tcPr>
          <w:p>
            <w:pPr>
              <w:spacing w:after="0"/>
              <w:rPr>
                <w:sz w:val="20"/>
                <w:szCs w:val="20"/>
                <w:color w:val="auto"/>
              </w:rPr>
            </w:pPr>
            <w:r>
              <w:rPr>
                <w:rFonts w:ascii="Arial" w:cs="Arial" w:eastAsia="Arial" w:hAnsi="Arial"/>
                <w:sz w:val="14"/>
                <w:szCs w:val="14"/>
                <w:color w:val="0000FF"/>
              </w:rPr>
              <w:t>Summary of Risks Associated With Our Business</w:t>
            </w:r>
          </w:p>
        </w:tc>
        <w:tc>
          <w:tcPr>
            <w:tcW w:w="20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88"/>
        </w:trPr>
        <w:tc>
          <w:tcPr>
            <w:tcW w:w="20" w:type="dxa"/>
            <w:vAlign w:val="bottom"/>
          </w:tcPr>
          <w:p>
            <w:pPr>
              <w:spacing w:after="0"/>
              <w:rPr>
                <w:sz w:val="24"/>
                <w:szCs w:val="24"/>
                <w:color w:val="auto"/>
              </w:rPr>
            </w:pPr>
          </w:p>
        </w:tc>
        <w:tc>
          <w:tcPr>
            <w:tcW w:w="460" w:type="dxa"/>
            <w:vAlign w:val="bottom"/>
            <w:tcBorders>
              <w:bottom w:val="single" w:sz="8" w:color="0000FF"/>
            </w:tcBorders>
          </w:tcPr>
          <w:p>
            <w:pPr>
              <w:spacing w:after="0"/>
              <w:rPr>
                <w:sz w:val="20"/>
                <w:szCs w:val="20"/>
                <w:color w:val="auto"/>
              </w:rPr>
            </w:pPr>
            <w:r>
              <w:rPr>
                <w:rFonts w:ascii="Arial" w:cs="Arial" w:eastAsia="Arial" w:hAnsi="Arial"/>
                <w:sz w:val="14"/>
                <w:szCs w:val="14"/>
                <w:b w:val="1"/>
                <w:bCs w:val="1"/>
                <w:color w:val="0000FF"/>
                <w:w w:val="95"/>
              </w:rPr>
              <w:t>PART I</w:t>
            </w:r>
          </w:p>
        </w:tc>
        <w:tc>
          <w:tcPr>
            <w:tcW w:w="640" w:type="dxa"/>
            <w:vAlign w:val="bottom"/>
            <w:gridSpan w:val="5"/>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Arial" w:cs="Arial" w:eastAsia="Arial" w:hAnsi="Arial"/>
                <w:sz w:val="14"/>
                <w:szCs w:val="14"/>
                <w:color w:val="auto"/>
              </w:rPr>
              <w:t>Item 1.</w:t>
            </w:r>
          </w:p>
        </w:tc>
        <w:tc>
          <w:tcPr>
            <w:tcW w:w="50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84"/>
              </w:rPr>
              <w:t>Business</w:t>
            </w:r>
          </w:p>
        </w:tc>
        <w:tc>
          <w:tcPr>
            <w:tcW w:w="7600" w:type="dxa"/>
            <w:vAlign w:val="bottom"/>
            <w:gridSpan w:val="20"/>
          </w:tcPr>
          <w:p>
            <w:pPr>
              <w:spacing w:after="0"/>
              <w:rPr>
                <w:sz w:val="13"/>
                <w:szCs w:val="13"/>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Arial" w:cs="Arial" w:eastAsia="Arial" w:hAnsi="Arial"/>
                <w:sz w:val="14"/>
                <w:szCs w:val="14"/>
                <w:color w:val="auto"/>
              </w:rPr>
              <w:t>Item 1A.</w:t>
            </w:r>
          </w:p>
        </w:tc>
        <w:tc>
          <w:tcPr>
            <w:tcW w:w="8100" w:type="dxa"/>
            <w:vAlign w:val="bottom"/>
            <w:gridSpan w:val="21"/>
          </w:tcPr>
          <w:p>
            <w:pPr>
              <w:spacing w:after="0"/>
              <w:rPr>
                <w:sz w:val="20"/>
                <w:szCs w:val="20"/>
                <w:color w:val="auto"/>
              </w:rPr>
            </w:pPr>
            <w:r>
              <w:rPr>
                <w:rFonts w:ascii="Arial" w:cs="Arial" w:eastAsia="Arial" w:hAnsi="Arial"/>
                <w:sz w:val="14"/>
                <w:szCs w:val="14"/>
                <w:color w:val="0000FF"/>
              </w:rPr>
              <w:t>Risk Factors</w:t>
            </w:r>
          </w:p>
        </w:tc>
        <w:tc>
          <w:tcPr>
            <w:tcW w:w="20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Arial" w:cs="Arial" w:eastAsia="Arial" w:hAnsi="Arial"/>
                <w:sz w:val="14"/>
                <w:szCs w:val="14"/>
                <w:color w:val="auto"/>
              </w:rPr>
              <w:t>Item 1B.</w:t>
            </w:r>
          </w:p>
        </w:tc>
        <w:tc>
          <w:tcPr>
            <w:tcW w:w="160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w w:val="90"/>
              </w:rPr>
              <w:t>Unresolved Staff Comments</w:t>
            </w:r>
          </w:p>
        </w:tc>
        <w:tc>
          <w:tcPr>
            <w:tcW w:w="6500" w:type="dxa"/>
            <w:vAlign w:val="bottom"/>
            <w:gridSpan w:val="13"/>
          </w:tcPr>
          <w:p>
            <w:pPr>
              <w:spacing w:after="0"/>
              <w:rPr>
                <w:sz w:val="13"/>
                <w:szCs w:val="13"/>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Arial" w:cs="Arial" w:eastAsia="Arial" w:hAnsi="Arial"/>
                <w:sz w:val="14"/>
                <w:szCs w:val="14"/>
                <w:color w:val="auto"/>
              </w:rPr>
              <w:t>Item 2.</w:t>
            </w:r>
          </w:p>
        </w:tc>
        <w:tc>
          <w:tcPr>
            <w:tcW w:w="8100" w:type="dxa"/>
            <w:vAlign w:val="bottom"/>
            <w:gridSpan w:val="21"/>
          </w:tcPr>
          <w:p>
            <w:pPr>
              <w:spacing w:after="0"/>
              <w:rPr>
                <w:sz w:val="20"/>
                <w:szCs w:val="20"/>
                <w:color w:val="auto"/>
              </w:rPr>
            </w:pPr>
            <w:r>
              <w:rPr>
                <w:rFonts w:ascii="Arial" w:cs="Arial" w:eastAsia="Arial" w:hAnsi="Arial"/>
                <w:sz w:val="14"/>
                <w:szCs w:val="14"/>
                <w:color w:val="0000FF"/>
              </w:rPr>
              <w:t>Properties</w:t>
            </w:r>
          </w:p>
        </w:tc>
        <w:tc>
          <w:tcPr>
            <w:tcW w:w="204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Arial" w:cs="Arial" w:eastAsia="Arial" w:hAnsi="Arial"/>
                <w:sz w:val="14"/>
                <w:szCs w:val="14"/>
                <w:color w:val="auto"/>
              </w:rPr>
              <w:t>Item 3.</w:t>
            </w:r>
          </w:p>
        </w:tc>
        <w:tc>
          <w:tcPr>
            <w:tcW w:w="8100" w:type="dxa"/>
            <w:vAlign w:val="bottom"/>
            <w:gridSpan w:val="21"/>
          </w:tcPr>
          <w:p>
            <w:pPr>
              <w:spacing w:after="0"/>
              <w:rPr>
                <w:sz w:val="20"/>
                <w:szCs w:val="20"/>
                <w:color w:val="auto"/>
              </w:rPr>
            </w:pPr>
            <w:r>
              <w:rPr>
                <w:rFonts w:ascii="Arial" w:cs="Arial" w:eastAsia="Arial" w:hAnsi="Arial"/>
                <w:sz w:val="14"/>
                <w:szCs w:val="14"/>
                <w:color w:val="0000FF"/>
              </w:rPr>
              <w:t>Legal Proceedings</w:t>
            </w:r>
          </w:p>
        </w:tc>
        <w:tc>
          <w:tcPr>
            <w:tcW w:w="204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Arial" w:cs="Arial" w:eastAsia="Arial" w:hAnsi="Arial"/>
                <w:sz w:val="14"/>
                <w:szCs w:val="14"/>
                <w:color w:val="auto"/>
              </w:rPr>
              <w:t>Item 4.</w:t>
            </w:r>
          </w:p>
        </w:tc>
        <w:tc>
          <w:tcPr>
            <w:tcW w:w="8100" w:type="dxa"/>
            <w:vAlign w:val="bottom"/>
            <w:gridSpan w:val="21"/>
          </w:tcPr>
          <w:p>
            <w:pPr>
              <w:spacing w:after="0"/>
              <w:rPr>
                <w:sz w:val="20"/>
                <w:szCs w:val="20"/>
                <w:color w:val="auto"/>
              </w:rPr>
            </w:pPr>
            <w:r>
              <w:rPr>
                <w:rFonts w:ascii="Arial" w:cs="Arial" w:eastAsia="Arial" w:hAnsi="Arial"/>
                <w:sz w:val="14"/>
                <w:szCs w:val="14"/>
                <w:color w:val="0000FF"/>
              </w:rPr>
              <w:t>Mine Safety Disclosures</w:t>
            </w:r>
          </w:p>
        </w:tc>
        <w:tc>
          <w:tcPr>
            <w:tcW w:w="204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88"/>
        </w:trPr>
        <w:tc>
          <w:tcPr>
            <w:tcW w:w="20" w:type="dxa"/>
            <w:vAlign w:val="bottom"/>
          </w:tcPr>
          <w:p>
            <w:pPr>
              <w:spacing w:after="0"/>
              <w:rPr>
                <w:sz w:val="24"/>
                <w:szCs w:val="24"/>
                <w:color w:val="auto"/>
              </w:rPr>
            </w:pPr>
          </w:p>
        </w:tc>
        <w:tc>
          <w:tcPr>
            <w:tcW w:w="5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b w:val="1"/>
                <w:bCs w:val="1"/>
                <w:color w:val="0000FF"/>
              </w:rPr>
              <w:t>PART II</w:t>
            </w:r>
          </w:p>
        </w:tc>
        <w:tc>
          <w:tcPr>
            <w:tcW w:w="580" w:type="dxa"/>
            <w:vAlign w:val="bottom"/>
            <w:gridSpan w:val="4"/>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Arial" w:cs="Arial" w:eastAsia="Arial" w:hAnsi="Arial"/>
                <w:sz w:val="14"/>
                <w:szCs w:val="14"/>
                <w:color w:val="auto"/>
              </w:rPr>
              <w:t>Item 5.</w:t>
            </w:r>
          </w:p>
        </w:tc>
        <w:tc>
          <w:tcPr>
            <w:tcW w:w="6340" w:type="dxa"/>
            <w:vAlign w:val="bottom"/>
            <w:tcBorders>
              <w:bottom w:val="single" w:sz="8" w:color="0000FF"/>
            </w:tcBorders>
            <w:gridSpan w:val="20"/>
          </w:tcPr>
          <w:p>
            <w:pPr>
              <w:spacing w:after="0"/>
              <w:rPr>
                <w:sz w:val="20"/>
                <w:szCs w:val="20"/>
                <w:color w:val="auto"/>
              </w:rPr>
            </w:pPr>
            <w:r>
              <w:rPr>
                <w:rFonts w:ascii="Arial" w:cs="Arial" w:eastAsia="Arial" w:hAnsi="Arial"/>
                <w:sz w:val="14"/>
                <w:szCs w:val="14"/>
                <w:color w:val="0000FF"/>
                <w:w w:val="91"/>
              </w:rPr>
              <w:t>Market for Registrant’s Common Equity, Related Stockholder Matters and Issuer Purchases of Equity Securities</w:t>
            </w:r>
          </w:p>
        </w:tc>
        <w:tc>
          <w:tcPr>
            <w:tcW w:w="1760" w:type="dxa"/>
            <w:vAlign w:val="bottom"/>
          </w:tcPr>
          <w:p>
            <w:pPr>
              <w:spacing w:after="0"/>
              <w:rPr>
                <w:sz w:val="13"/>
                <w:szCs w:val="13"/>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Arial" w:cs="Arial" w:eastAsia="Arial" w:hAnsi="Arial"/>
                <w:sz w:val="14"/>
                <w:szCs w:val="14"/>
                <w:color w:val="auto"/>
              </w:rPr>
              <w:t>Item 6.</w:t>
            </w:r>
          </w:p>
        </w:tc>
        <w:tc>
          <w:tcPr>
            <w:tcW w:w="56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86"/>
              </w:rPr>
              <w:t>Reserved</w:t>
            </w:r>
          </w:p>
        </w:tc>
        <w:tc>
          <w:tcPr>
            <w:tcW w:w="7540" w:type="dxa"/>
            <w:vAlign w:val="bottom"/>
            <w:gridSpan w:val="19"/>
          </w:tcPr>
          <w:p>
            <w:pPr>
              <w:spacing w:after="0"/>
              <w:rPr>
                <w:sz w:val="13"/>
                <w:szCs w:val="13"/>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Arial" w:cs="Arial" w:eastAsia="Arial" w:hAnsi="Arial"/>
                <w:sz w:val="14"/>
                <w:szCs w:val="14"/>
                <w:color w:val="auto"/>
              </w:rPr>
              <w:t>Item 7.</w:t>
            </w:r>
          </w:p>
        </w:tc>
        <w:tc>
          <w:tcPr>
            <w:tcW w:w="8100" w:type="dxa"/>
            <w:vAlign w:val="bottom"/>
            <w:gridSpan w:val="21"/>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204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Arial" w:cs="Arial" w:eastAsia="Arial" w:hAnsi="Arial"/>
                <w:sz w:val="14"/>
                <w:szCs w:val="14"/>
                <w:color w:val="auto"/>
              </w:rPr>
              <w:t>Item 7A.</w:t>
            </w:r>
          </w:p>
        </w:tc>
        <w:tc>
          <w:tcPr>
            <w:tcW w:w="342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4"/>
                <w:szCs w:val="14"/>
                <w:color w:val="0000FF"/>
                <w:w w:val="92"/>
              </w:rPr>
              <w:t>Quantitative and Qualitative Disclosures About Market Risk</w:t>
            </w:r>
          </w:p>
        </w:tc>
        <w:tc>
          <w:tcPr>
            <w:tcW w:w="1640" w:type="dxa"/>
            <w:vAlign w:val="bottom"/>
            <w:tcBorders>
              <w:top w:val="single" w:sz="8" w:color="0000FF"/>
            </w:tcBorders>
            <w:gridSpan w:val="2"/>
          </w:tcPr>
          <w:p>
            <w:pPr>
              <w:spacing w:after="0"/>
              <w:rPr>
                <w:sz w:val="13"/>
                <w:szCs w:val="13"/>
                <w:color w:val="auto"/>
              </w:rPr>
            </w:pPr>
          </w:p>
        </w:tc>
        <w:tc>
          <w:tcPr>
            <w:tcW w:w="3040" w:type="dxa"/>
            <w:vAlign w:val="bottom"/>
            <w:gridSpan w:val="4"/>
          </w:tcPr>
          <w:p>
            <w:pPr>
              <w:spacing w:after="0"/>
              <w:rPr>
                <w:sz w:val="13"/>
                <w:szCs w:val="13"/>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Arial" w:cs="Arial" w:eastAsia="Arial" w:hAnsi="Arial"/>
                <w:sz w:val="14"/>
                <w:szCs w:val="14"/>
                <w:color w:val="auto"/>
              </w:rPr>
              <w:t>Item 8.</w:t>
            </w:r>
          </w:p>
        </w:tc>
        <w:tc>
          <w:tcPr>
            <w:tcW w:w="8100" w:type="dxa"/>
            <w:vAlign w:val="bottom"/>
            <w:gridSpan w:val="21"/>
          </w:tcPr>
          <w:p>
            <w:pPr>
              <w:spacing w:after="0"/>
              <w:rPr>
                <w:sz w:val="20"/>
                <w:szCs w:val="20"/>
                <w:color w:val="auto"/>
              </w:rPr>
            </w:pPr>
            <w:r>
              <w:rPr>
                <w:rFonts w:ascii="Arial" w:cs="Arial" w:eastAsia="Arial" w:hAnsi="Arial"/>
                <w:sz w:val="14"/>
                <w:szCs w:val="14"/>
                <w:color w:val="0000FF"/>
              </w:rPr>
              <w:t>Financial Statements and Supplementary Data</w:t>
            </w:r>
          </w:p>
        </w:tc>
        <w:tc>
          <w:tcPr>
            <w:tcW w:w="204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0"/>
        </w:trPr>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4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Arial" w:cs="Arial" w:eastAsia="Arial" w:hAnsi="Arial"/>
                <w:sz w:val="14"/>
                <w:szCs w:val="14"/>
                <w:color w:val="auto"/>
              </w:rPr>
              <w:t>Item 9.</w:t>
            </w:r>
          </w:p>
        </w:tc>
        <w:tc>
          <w:tcPr>
            <w:tcW w:w="8100" w:type="dxa"/>
            <w:vAlign w:val="bottom"/>
            <w:gridSpan w:val="21"/>
          </w:tcPr>
          <w:p>
            <w:pPr>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204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Arial" w:cs="Arial" w:eastAsia="Arial" w:hAnsi="Arial"/>
                <w:sz w:val="14"/>
                <w:szCs w:val="14"/>
                <w:color w:val="auto"/>
              </w:rPr>
              <w:t>Item 9A.</w:t>
            </w:r>
          </w:p>
        </w:tc>
        <w:tc>
          <w:tcPr>
            <w:tcW w:w="5100" w:type="dxa"/>
            <w:vAlign w:val="bottom"/>
            <w:tcBorders>
              <w:top w:val="single" w:sz="8" w:color="0000FF"/>
            </w:tcBorders>
            <w:gridSpan w:val="18"/>
          </w:tcPr>
          <w:p>
            <w:pPr>
              <w:spacing w:after="0"/>
              <w:rPr>
                <w:sz w:val="20"/>
                <w:szCs w:val="20"/>
                <w:color w:val="auto"/>
              </w:rPr>
            </w:pPr>
            <w:r>
              <w:rPr>
                <w:rFonts w:ascii="Arial" w:cs="Arial" w:eastAsia="Arial" w:hAnsi="Arial"/>
                <w:sz w:val="14"/>
                <w:szCs w:val="14"/>
                <w:color w:val="0000FF"/>
              </w:rPr>
              <w:t>Controls and Procedures</w:t>
            </w:r>
          </w:p>
        </w:tc>
        <w:tc>
          <w:tcPr>
            <w:tcW w:w="3000" w:type="dxa"/>
            <w:vAlign w:val="bottom"/>
            <w:gridSpan w:val="3"/>
          </w:tcPr>
          <w:p>
            <w:pPr>
              <w:spacing w:after="0"/>
              <w:rPr>
                <w:sz w:val="13"/>
                <w:szCs w:val="13"/>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Arial" w:cs="Arial" w:eastAsia="Arial" w:hAnsi="Arial"/>
                <w:sz w:val="14"/>
                <w:szCs w:val="14"/>
                <w:color w:val="auto"/>
              </w:rPr>
              <w:t>Item 9B.</w:t>
            </w:r>
          </w:p>
        </w:tc>
        <w:tc>
          <w:tcPr>
            <w:tcW w:w="1380" w:type="dxa"/>
            <w:vAlign w:val="bottom"/>
            <w:tcBorders>
              <w:top w:val="single" w:sz="8" w:color="0000FF"/>
            </w:tcBorders>
            <w:gridSpan w:val="6"/>
          </w:tcPr>
          <w:p>
            <w:pPr>
              <w:spacing w:after="0"/>
              <w:rPr>
                <w:sz w:val="20"/>
                <w:szCs w:val="20"/>
                <w:color w:val="auto"/>
              </w:rPr>
            </w:pPr>
            <w:r>
              <w:rPr>
                <w:rFonts w:ascii="Arial" w:cs="Arial" w:eastAsia="Arial" w:hAnsi="Arial"/>
                <w:sz w:val="14"/>
                <w:szCs w:val="14"/>
                <w:color w:val="0000FF"/>
              </w:rPr>
              <w:t>Other Information</w:t>
            </w:r>
          </w:p>
        </w:tc>
        <w:tc>
          <w:tcPr>
            <w:tcW w:w="6720" w:type="dxa"/>
            <w:vAlign w:val="bottom"/>
            <w:gridSpan w:val="15"/>
          </w:tcPr>
          <w:p>
            <w:pPr>
              <w:spacing w:after="0"/>
              <w:rPr>
                <w:sz w:val="13"/>
                <w:szCs w:val="13"/>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288"/>
        </w:trPr>
        <w:tc>
          <w:tcPr>
            <w:tcW w:w="20" w:type="dxa"/>
            <w:vAlign w:val="bottom"/>
          </w:tcPr>
          <w:p>
            <w:pPr>
              <w:spacing w:after="0"/>
              <w:rPr>
                <w:sz w:val="24"/>
                <w:szCs w:val="24"/>
                <w:color w:val="auto"/>
              </w:rPr>
            </w:pPr>
          </w:p>
        </w:tc>
        <w:tc>
          <w:tcPr>
            <w:tcW w:w="58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b w:val="1"/>
                <w:bCs w:val="1"/>
                <w:color w:val="0000FF"/>
              </w:rPr>
              <w:t>PART III</w:t>
            </w:r>
          </w:p>
        </w:tc>
        <w:tc>
          <w:tcPr>
            <w:tcW w:w="520" w:type="dxa"/>
            <w:vAlign w:val="bottom"/>
            <w:gridSpan w:val="2"/>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Arial" w:cs="Arial" w:eastAsia="Arial" w:hAnsi="Arial"/>
                <w:sz w:val="14"/>
                <w:szCs w:val="14"/>
                <w:color w:val="auto"/>
              </w:rPr>
              <w:t>Item 10.</w:t>
            </w:r>
          </w:p>
        </w:tc>
        <w:tc>
          <w:tcPr>
            <w:tcW w:w="8100" w:type="dxa"/>
            <w:vAlign w:val="bottom"/>
            <w:gridSpan w:val="21"/>
          </w:tcPr>
          <w:p>
            <w:pPr>
              <w:spacing w:after="0"/>
              <w:rPr>
                <w:sz w:val="20"/>
                <w:szCs w:val="20"/>
                <w:color w:val="auto"/>
              </w:rPr>
            </w:pPr>
            <w:r>
              <w:rPr>
                <w:rFonts w:ascii="Arial" w:cs="Arial" w:eastAsia="Arial" w:hAnsi="Arial"/>
                <w:sz w:val="14"/>
                <w:szCs w:val="14"/>
                <w:color w:val="0000FF"/>
              </w:rPr>
              <w:t>Directors, Executive Officers and Corporate Governance</w:t>
            </w:r>
          </w:p>
        </w:tc>
        <w:tc>
          <w:tcPr>
            <w:tcW w:w="204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Arial" w:cs="Arial" w:eastAsia="Arial" w:hAnsi="Arial"/>
                <w:sz w:val="14"/>
                <w:szCs w:val="14"/>
                <w:color w:val="auto"/>
              </w:rPr>
              <w:t>Item 11.</w:t>
            </w:r>
          </w:p>
        </w:tc>
        <w:tc>
          <w:tcPr>
            <w:tcW w:w="3200" w:type="dxa"/>
            <w:vAlign w:val="bottom"/>
            <w:tcBorders>
              <w:top w:val="single" w:sz="8" w:color="0000FF"/>
            </w:tcBorders>
            <w:gridSpan w:val="14"/>
          </w:tcPr>
          <w:p>
            <w:pPr>
              <w:spacing w:after="0"/>
              <w:rPr>
                <w:sz w:val="20"/>
                <w:szCs w:val="20"/>
                <w:color w:val="auto"/>
              </w:rPr>
            </w:pPr>
            <w:r>
              <w:rPr>
                <w:rFonts w:ascii="Arial" w:cs="Arial" w:eastAsia="Arial" w:hAnsi="Arial"/>
                <w:sz w:val="14"/>
                <w:szCs w:val="14"/>
                <w:color w:val="0000FF"/>
              </w:rPr>
              <w:t>Executive Compensation</w:t>
            </w:r>
          </w:p>
        </w:tc>
        <w:tc>
          <w:tcPr>
            <w:tcW w:w="4900" w:type="dxa"/>
            <w:vAlign w:val="bottom"/>
            <w:gridSpan w:val="7"/>
          </w:tcPr>
          <w:p>
            <w:pPr>
              <w:spacing w:after="0"/>
              <w:rPr>
                <w:sz w:val="13"/>
                <w:szCs w:val="13"/>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0"/>
        </w:trPr>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Arial" w:cs="Arial" w:eastAsia="Arial" w:hAnsi="Arial"/>
                <w:sz w:val="14"/>
                <w:szCs w:val="14"/>
                <w:color w:val="auto"/>
              </w:rPr>
              <w:t>Item 12.</w:t>
            </w:r>
          </w:p>
        </w:tc>
        <w:tc>
          <w:tcPr>
            <w:tcW w:w="8100" w:type="dxa"/>
            <w:vAlign w:val="bottom"/>
            <w:gridSpan w:val="21"/>
          </w:tcPr>
          <w:p>
            <w:pPr>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204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Arial" w:cs="Arial" w:eastAsia="Arial" w:hAnsi="Arial"/>
                <w:sz w:val="14"/>
                <w:szCs w:val="14"/>
                <w:color w:val="auto"/>
              </w:rPr>
              <w:t>Item 13.</w:t>
            </w:r>
          </w:p>
        </w:tc>
        <w:tc>
          <w:tcPr>
            <w:tcW w:w="428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4"/>
                <w:szCs w:val="14"/>
                <w:color w:val="0000FF"/>
                <w:w w:val="90"/>
              </w:rPr>
              <w:t>Certain Relationships and Related Transactions, and Director Independence</w:t>
            </w:r>
          </w:p>
        </w:tc>
        <w:tc>
          <w:tcPr>
            <w:tcW w:w="1440" w:type="dxa"/>
            <w:vAlign w:val="bottom"/>
            <w:tcBorders>
              <w:top w:val="single" w:sz="8" w:color="0000FF"/>
            </w:tcBorders>
            <w:gridSpan w:val="3"/>
          </w:tcPr>
          <w:p>
            <w:pPr>
              <w:spacing w:after="0"/>
              <w:rPr>
                <w:sz w:val="13"/>
                <w:szCs w:val="13"/>
                <w:color w:val="auto"/>
              </w:rPr>
            </w:pPr>
          </w:p>
        </w:tc>
        <w:tc>
          <w:tcPr>
            <w:tcW w:w="2380" w:type="dxa"/>
            <w:vAlign w:val="bottom"/>
            <w:gridSpan w:val="2"/>
          </w:tcPr>
          <w:p>
            <w:pPr>
              <w:spacing w:after="0"/>
              <w:rPr>
                <w:sz w:val="13"/>
                <w:szCs w:val="13"/>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Arial" w:cs="Arial" w:eastAsia="Arial" w:hAnsi="Arial"/>
                <w:sz w:val="14"/>
                <w:szCs w:val="14"/>
                <w:color w:val="auto"/>
              </w:rPr>
              <w:t>Item 14.</w:t>
            </w:r>
          </w:p>
        </w:tc>
        <w:tc>
          <w:tcPr>
            <w:tcW w:w="8100" w:type="dxa"/>
            <w:vAlign w:val="bottom"/>
            <w:gridSpan w:val="21"/>
          </w:tcPr>
          <w:p>
            <w:pPr>
              <w:spacing w:after="0"/>
              <w:rPr>
                <w:sz w:val="20"/>
                <w:szCs w:val="20"/>
                <w:color w:val="auto"/>
              </w:rPr>
            </w:pPr>
            <w:r>
              <w:rPr>
                <w:rFonts w:ascii="Arial" w:cs="Arial" w:eastAsia="Arial" w:hAnsi="Arial"/>
                <w:sz w:val="14"/>
                <w:szCs w:val="14"/>
                <w:color w:val="0000FF"/>
              </w:rPr>
              <w:t>Principal Accounting Fees and Services</w:t>
            </w:r>
          </w:p>
        </w:tc>
        <w:tc>
          <w:tcPr>
            <w:tcW w:w="204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88"/>
        </w:trPr>
        <w:tc>
          <w:tcPr>
            <w:tcW w:w="20" w:type="dxa"/>
            <w:vAlign w:val="bottom"/>
          </w:tcPr>
          <w:p>
            <w:pPr>
              <w:spacing w:after="0"/>
              <w:rPr>
                <w:sz w:val="24"/>
                <w:szCs w:val="24"/>
                <w:color w:val="auto"/>
              </w:rPr>
            </w:pPr>
          </w:p>
        </w:tc>
        <w:tc>
          <w:tcPr>
            <w:tcW w:w="56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b w:val="1"/>
                <w:bCs w:val="1"/>
                <w:color w:val="0000FF"/>
                <w:w w:val="97"/>
              </w:rPr>
              <w:t>PART IV</w:t>
            </w:r>
          </w:p>
        </w:tc>
        <w:tc>
          <w:tcPr>
            <w:tcW w:w="540" w:type="dxa"/>
            <w:vAlign w:val="bottom"/>
            <w:gridSpan w:val="3"/>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Arial" w:cs="Arial" w:eastAsia="Arial" w:hAnsi="Arial"/>
                <w:sz w:val="14"/>
                <w:szCs w:val="14"/>
                <w:color w:val="auto"/>
              </w:rPr>
              <w:t>Item 15.</w:t>
            </w:r>
          </w:p>
        </w:tc>
        <w:tc>
          <w:tcPr>
            <w:tcW w:w="8100" w:type="dxa"/>
            <w:vAlign w:val="bottom"/>
            <w:gridSpan w:val="21"/>
          </w:tcPr>
          <w:p>
            <w:pPr>
              <w:spacing w:after="0"/>
              <w:rPr>
                <w:sz w:val="20"/>
                <w:szCs w:val="20"/>
                <w:color w:val="auto"/>
              </w:rPr>
            </w:pPr>
            <w:r>
              <w:rPr>
                <w:rFonts w:ascii="Arial" w:cs="Arial" w:eastAsia="Arial" w:hAnsi="Arial"/>
                <w:sz w:val="14"/>
                <w:szCs w:val="14"/>
                <w:color w:val="0000FF"/>
              </w:rPr>
              <w:t>Exhibits, Financial Statement Schedules</w:t>
            </w:r>
          </w:p>
        </w:tc>
        <w:tc>
          <w:tcPr>
            <w:tcW w:w="204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160"/>
        </w:trPr>
        <w:tc>
          <w:tcPr>
            <w:tcW w:w="20" w:type="dxa"/>
            <w:vAlign w:val="bottom"/>
          </w:tcPr>
          <w:p>
            <w:pPr>
              <w:spacing w:after="0"/>
              <w:rPr>
                <w:sz w:val="13"/>
                <w:szCs w:val="13"/>
                <w:color w:val="auto"/>
              </w:rPr>
            </w:pPr>
          </w:p>
        </w:tc>
        <w:tc>
          <w:tcPr>
            <w:tcW w:w="1100" w:type="dxa"/>
            <w:vAlign w:val="bottom"/>
            <w:gridSpan w:val="6"/>
          </w:tcPr>
          <w:p>
            <w:pPr>
              <w:ind w:left="100"/>
              <w:spacing w:after="0"/>
              <w:rPr>
                <w:sz w:val="20"/>
                <w:szCs w:val="20"/>
                <w:color w:val="auto"/>
              </w:rPr>
            </w:pPr>
            <w:r>
              <w:rPr>
                <w:rFonts w:ascii="Arial" w:cs="Arial" w:eastAsia="Arial" w:hAnsi="Arial"/>
                <w:sz w:val="14"/>
                <w:szCs w:val="14"/>
                <w:color w:val="auto"/>
              </w:rPr>
              <w:t>Item 16</w:t>
            </w:r>
          </w:p>
        </w:tc>
        <w:tc>
          <w:tcPr>
            <w:tcW w:w="2260" w:type="dxa"/>
            <w:vAlign w:val="bottom"/>
            <w:tcBorders>
              <w:top w:val="single" w:sz="8" w:color="0000FF"/>
            </w:tcBorders>
            <w:gridSpan w:val="10"/>
          </w:tcPr>
          <w:p>
            <w:pPr>
              <w:spacing w:after="0"/>
              <w:rPr>
                <w:sz w:val="20"/>
                <w:szCs w:val="20"/>
                <w:color w:val="auto"/>
              </w:rPr>
            </w:pPr>
            <w:r>
              <w:rPr>
                <w:rFonts w:ascii="Arial" w:cs="Arial" w:eastAsia="Arial" w:hAnsi="Arial"/>
                <w:sz w:val="14"/>
                <w:szCs w:val="14"/>
                <w:color w:val="0000FF"/>
              </w:rPr>
              <w:t>Form 10-K Summary</w:t>
            </w:r>
          </w:p>
        </w:tc>
        <w:tc>
          <w:tcPr>
            <w:tcW w:w="5840" w:type="dxa"/>
            <w:vAlign w:val="bottom"/>
            <w:gridSpan w:val="11"/>
          </w:tcPr>
          <w:p>
            <w:pPr>
              <w:spacing w:after="0"/>
              <w:rPr>
                <w:sz w:val="13"/>
                <w:szCs w:val="13"/>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118</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23" w:lineRule="exact"/>
        <w:rPr>
          <w:sz w:val="20"/>
          <w:szCs w:val="20"/>
          <w:color w:val="auto"/>
        </w:rPr>
      </w:pPr>
    </w:p>
    <w:p>
      <w:pPr>
        <w:ind w:right="80" w:firstLine="509"/>
        <w:spacing w:after="0" w:line="295" w:lineRule="auto"/>
        <w:rPr>
          <w:sz w:val="20"/>
          <w:szCs w:val="20"/>
          <w:color w:val="auto"/>
        </w:rPr>
      </w:pPr>
      <w:r>
        <w:rPr>
          <w:rFonts w:ascii="Arial" w:cs="Arial" w:eastAsia="Arial" w:hAnsi="Arial"/>
          <w:sz w:val="12"/>
          <w:szCs w:val="12"/>
          <w:color w:val="auto"/>
        </w:rPr>
        <w:t>This Annual Report on Form 10-K, or this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Any statements contained herein that are not statements of historical facts may be deemed to be forward-looking statements. Forward-looking statements in this Report include, but are not limited to, statements about:</w:t>
      </w:r>
    </w:p>
    <w:p>
      <w:pPr>
        <w:spacing w:after="0" w:line="33" w:lineRule="exact"/>
        <w:rPr>
          <w:sz w:val="20"/>
          <w:szCs w:val="20"/>
          <w:color w:val="auto"/>
        </w:rPr>
      </w:pPr>
    </w:p>
    <w:p>
      <w:pPr>
        <w:ind w:left="1780" w:hanging="879"/>
        <w:spacing w:after="0"/>
        <w:tabs>
          <w:tab w:leader="none" w:pos="1780"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estimates regarding expenses, future revenue, capital requirements and needs for additional financing;</w:t>
      </w:r>
    </w:p>
    <w:p>
      <w:pPr>
        <w:spacing w:after="0" w:line="125" w:lineRule="exact"/>
        <w:rPr>
          <w:rFonts w:ascii="Arial" w:cs="Arial" w:eastAsia="Arial" w:hAnsi="Arial"/>
          <w:sz w:val="14"/>
          <w:szCs w:val="14"/>
          <w:color w:val="auto"/>
        </w:rPr>
      </w:pPr>
    </w:p>
    <w:p>
      <w:pPr>
        <w:ind w:left="1800" w:right="140" w:hanging="899"/>
        <w:spacing w:after="0" w:line="235" w:lineRule="auto"/>
        <w:tabs>
          <w:tab w:leader="none" w:pos="1796" w:val="left"/>
        </w:tabs>
        <w:numPr>
          <w:ilvl w:val="0"/>
          <w:numId w:val="1"/>
        </w:numPr>
        <w:rPr>
          <w:rFonts w:ascii="Arial" w:cs="Arial" w:eastAsia="Arial" w:hAnsi="Arial"/>
          <w:sz w:val="17"/>
          <w:szCs w:val="17"/>
          <w:color w:val="auto"/>
        </w:rPr>
      </w:pPr>
      <w:r>
        <w:rPr>
          <w:rFonts w:ascii="Arial" w:cs="Arial" w:eastAsia="Arial" w:hAnsi="Arial"/>
          <w:sz w:val="14"/>
          <w:szCs w:val="14"/>
          <w:color w:val="auto"/>
        </w:rPr>
        <w:t>The success, cost and timing of our product development activities and clinical trials of our lead product candidate, bexotegrast (PLN-74809), as well as PLN-1474 and our other product candidates;</w:t>
      </w:r>
    </w:p>
    <w:p>
      <w:pPr>
        <w:spacing w:after="0" w:line="75" w:lineRule="exact"/>
        <w:rPr>
          <w:rFonts w:ascii="Arial" w:cs="Arial" w:eastAsia="Arial" w:hAnsi="Arial"/>
          <w:sz w:val="17"/>
          <w:szCs w:val="17"/>
          <w:color w:val="auto"/>
        </w:rPr>
      </w:pPr>
    </w:p>
    <w:p>
      <w:pPr>
        <w:ind w:left="1780" w:hanging="879"/>
        <w:spacing w:after="0"/>
        <w:tabs>
          <w:tab w:leader="none" w:pos="1780"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estimates regarding the impact of the COVID-19 pandemic on our business and operations, and our ability to manage such impacts;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or our current or future collaborators plans to initiate, recruit and enroll patients in, and conduct our clinical trials at the pace that we project;</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plans and strategy to obtain and maintain regulatory approvals of our product candidates;</w:t>
      </w:r>
    </w:p>
    <w:p>
      <w:pPr>
        <w:spacing w:after="0" w:line="93" w:lineRule="exact"/>
        <w:rPr>
          <w:rFonts w:ascii="Arial" w:cs="Arial" w:eastAsia="Arial" w:hAnsi="Arial"/>
          <w:sz w:val="14"/>
          <w:szCs w:val="14"/>
          <w:color w:val="auto"/>
        </w:rPr>
      </w:pPr>
    </w:p>
    <w:p>
      <w:pPr>
        <w:ind w:left="1800" w:right="380" w:hanging="899"/>
        <w:spacing w:after="0" w:line="281" w:lineRule="auto"/>
        <w:tabs>
          <w:tab w:leader="none" w:pos="1796"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plans and strategy to obtain funding for our operations, including funding necessary to complete further development and, upon successful development, if approved, commercialize any of our product candidates;</w:t>
      </w:r>
    </w:p>
    <w:p>
      <w:pPr>
        <w:spacing w:after="0" w:line="63" w:lineRule="exact"/>
        <w:rPr>
          <w:rFonts w:ascii="Arial" w:cs="Arial" w:eastAsia="Arial" w:hAnsi="Arial"/>
          <w:sz w:val="14"/>
          <w:szCs w:val="14"/>
          <w:color w:val="auto"/>
        </w:rPr>
      </w:pPr>
    </w:p>
    <w:p>
      <w:pPr>
        <w:ind w:left="1780" w:hanging="879"/>
        <w:spacing w:after="0"/>
        <w:tabs>
          <w:tab w:leader="none" w:pos="1780" w:val="left"/>
        </w:tabs>
        <w:numPr>
          <w:ilvl w:val="0"/>
          <w:numId w:val="1"/>
        </w:numPr>
        <w:rPr>
          <w:rFonts w:ascii="Arial" w:cs="Arial" w:eastAsia="Arial" w:hAnsi="Arial"/>
          <w:sz w:val="17"/>
          <w:szCs w:val="17"/>
          <w:color w:val="auto"/>
        </w:rPr>
      </w:pPr>
      <w:r>
        <w:rPr>
          <w:rFonts w:ascii="Arial" w:cs="Arial" w:eastAsia="Arial" w:hAnsi="Arial"/>
          <w:sz w:val="14"/>
          <w:szCs w:val="14"/>
          <w:color w:val="auto"/>
        </w:rPr>
        <w:t>The potential benefit of orphan drug and fast track designations for bexotegrast;</w:t>
      </w:r>
    </w:p>
    <w:p>
      <w:pPr>
        <w:spacing w:after="0" w:line="85" w:lineRule="exact"/>
        <w:rPr>
          <w:rFonts w:ascii="Arial" w:cs="Arial" w:eastAsia="Arial" w:hAnsi="Arial"/>
          <w:sz w:val="17"/>
          <w:szCs w:val="17"/>
          <w:color w:val="auto"/>
        </w:rPr>
      </w:pPr>
    </w:p>
    <w:p>
      <w:pPr>
        <w:ind w:left="1780" w:hanging="879"/>
        <w:spacing w:after="0"/>
        <w:tabs>
          <w:tab w:leader="none" w:pos="1780"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ability to compete with companies currently marketing or engaged in the development of treatments for fibrosis;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plans and strategy regarding obtaining and maintaining intellectual property protection for our product candidates and the duration of such protection;</w:t>
      </w:r>
    </w:p>
    <w:p>
      <w:pPr>
        <w:spacing w:after="0" w:line="105" w:lineRule="exact"/>
        <w:rPr>
          <w:rFonts w:ascii="Arial" w:cs="Arial" w:eastAsia="Arial" w:hAnsi="Arial"/>
          <w:sz w:val="13"/>
          <w:szCs w:val="13"/>
          <w:color w:val="auto"/>
        </w:rPr>
      </w:pPr>
    </w:p>
    <w:p>
      <w:pPr>
        <w:ind w:left="1780" w:hanging="879"/>
        <w:spacing w:after="0"/>
        <w:tabs>
          <w:tab w:leader="none" w:pos="1780"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plans and strategy regarding the manufacture of our product candidates for clinical trials and for commercial use, if approved;</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dependence on current and future collaborators for developing, obtaining regulatory approval for and commercializing product candidates in the collaboration;</w:t>
      </w:r>
    </w:p>
    <w:p>
      <w:pPr>
        <w:spacing w:after="0" w:line="105" w:lineRule="exact"/>
        <w:rPr>
          <w:rFonts w:ascii="Arial" w:cs="Arial" w:eastAsia="Arial" w:hAnsi="Arial"/>
          <w:sz w:val="13"/>
          <w:szCs w:val="13"/>
          <w:color w:val="auto"/>
        </w:rPr>
      </w:pPr>
    </w:p>
    <w:p>
      <w:pPr>
        <w:ind w:left="1780" w:hanging="879"/>
        <w:spacing w:after="0"/>
        <w:tabs>
          <w:tab w:leader="none" w:pos="1780" w:val="left"/>
        </w:tabs>
        <w:numPr>
          <w:ilvl w:val="0"/>
          <w:numId w:val="1"/>
        </w:numPr>
        <w:rPr>
          <w:rFonts w:ascii="Arial" w:cs="Arial" w:eastAsia="Arial" w:hAnsi="Arial"/>
          <w:sz w:val="13"/>
          <w:szCs w:val="13"/>
          <w:color w:val="auto"/>
        </w:rPr>
      </w:pPr>
      <w:r>
        <w:rPr>
          <w:rFonts w:ascii="Arial" w:cs="Arial" w:eastAsia="Arial" w:hAnsi="Arial"/>
          <w:sz w:val="13"/>
          <w:szCs w:val="13"/>
          <w:color w:val="auto"/>
        </w:rPr>
        <w:t>Our receipt and timing of any milestone payments or royalties under any current or future research collaboration or license agreements or arrangements;</w:t>
      </w:r>
    </w:p>
    <w:p>
      <w:pPr>
        <w:spacing w:after="0" w:line="105" w:lineRule="exact"/>
        <w:rPr>
          <w:rFonts w:ascii="Arial" w:cs="Arial" w:eastAsia="Arial" w:hAnsi="Arial"/>
          <w:sz w:val="13"/>
          <w:szCs w:val="13"/>
          <w:color w:val="auto"/>
        </w:rPr>
      </w:pPr>
    </w:p>
    <w:p>
      <w:pPr>
        <w:ind w:left="1800" w:right="120" w:hanging="899"/>
        <w:spacing w:after="0" w:line="281" w:lineRule="auto"/>
        <w:tabs>
          <w:tab w:leader="none" w:pos="1796"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plans and strategy regarding the commercialization of any products that are approved for marketing and our ability to establish adequate pricing in the U.S. and international markets;</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 size and growth potential of the markets for our product candidates, and our ability to serve those markets, either alone or in combination with others;</w:t>
      </w:r>
    </w:p>
    <w:p>
      <w:pPr>
        <w:spacing w:after="0" w:line="105" w:lineRule="exact"/>
        <w:rPr>
          <w:rFonts w:ascii="Arial" w:cs="Arial" w:eastAsia="Arial" w:hAnsi="Arial"/>
          <w:sz w:val="13"/>
          <w:szCs w:val="13"/>
          <w:color w:val="auto"/>
        </w:rPr>
      </w:pPr>
    </w:p>
    <w:p>
      <w:pPr>
        <w:ind w:left="1780" w:hanging="879"/>
        <w:spacing w:after="0"/>
        <w:tabs>
          <w:tab w:leader="none" w:pos="1780"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ability to attract and retain qualified employees and key personnel; and</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expectations regarding government and third-party payor coverage and reimbursement.</w:t>
      </w:r>
    </w:p>
    <w:p>
      <w:pPr>
        <w:spacing w:after="0" w:line="94" w:lineRule="exact"/>
        <w:rPr>
          <w:sz w:val="20"/>
          <w:szCs w:val="20"/>
          <w:color w:val="auto"/>
        </w:rPr>
      </w:pPr>
    </w:p>
    <w:p>
      <w:pPr>
        <w:ind w:firstLine="891"/>
        <w:spacing w:after="0" w:line="288" w:lineRule="auto"/>
        <w:rPr>
          <w:sz w:val="20"/>
          <w:szCs w:val="20"/>
          <w:color w:val="auto"/>
        </w:rPr>
      </w:pPr>
      <w:r>
        <w:rPr>
          <w:rFonts w:ascii="Arial" w:cs="Arial" w:eastAsia="Arial" w:hAnsi="Arial"/>
          <w:sz w:val="13"/>
          <w:szCs w:val="13"/>
          <w:color w:val="auto"/>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and timing expressed or implied by such forward-looking statements. Factors that could cause or contribute to such differences include, but are not limited to, those discussed in the section entitled “Risk Factors” included under Part I, Item 1A in this Report. Furthermore, such forward-looking statements speak only as of the date of this Report. Except as</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9" w:right="41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color w:val="auto"/>
        </w:rPr>
        <w:t>required by law, we undertake no obligation to update any forward-looking statements to reflect events or circumstances after the date of such statements.</w:t>
      </w:r>
    </w:p>
    <w:p>
      <w:pPr>
        <w:spacing w:after="0" w:line="200" w:lineRule="exact"/>
        <w:rPr>
          <w:sz w:val="20"/>
          <w:szCs w:val="20"/>
          <w:color w:val="auto"/>
        </w:rPr>
      </w:pPr>
    </w:p>
    <w:p>
      <w:pPr>
        <w:spacing w:after="0" w:line="299"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OF RISKS ASSOCIATED WITH OUR BUSINESS</w:t>
      </w:r>
    </w:p>
    <w:p>
      <w:pPr>
        <w:spacing w:after="0" w:line="161"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Our business involves significant risks, some of which are summarized below. The summary risk factors listed below should be read together with the text of the full risk factors discussed in "Part I, Item 1A. Risk Factors" in this Report. You should carefully consider the risks described below, as well as the other information in this Report, including our financial statements and the related notes and “Management’s Discussion and Analysis of Financial Condition and Results of Operations” as well as in other documents that we file with the Securities and Exchange Commission, or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Additional risks and uncertainties not presently known to us or that we currently deem immaterial may also impair our business operations and the market price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Financial Position and Need for Additional Capital</w:t>
      </w:r>
    </w:p>
    <w:p>
      <w:pPr>
        <w:spacing w:after="0" w:line="94" w:lineRule="exact"/>
        <w:rPr>
          <w:sz w:val="20"/>
          <w:szCs w:val="20"/>
          <w:color w:val="auto"/>
        </w:rPr>
      </w:pPr>
    </w:p>
    <w:p>
      <w:pPr>
        <w:ind w:left="1780" w:hanging="879"/>
        <w:spacing w:after="0"/>
        <w:tabs>
          <w:tab w:leader="none" w:pos="178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have incurred significant net losses since inception, and we expect to continue to incur significant net losses for the foreseeable future.</w:t>
      </w:r>
    </w:p>
    <w:p>
      <w:pPr>
        <w:spacing w:after="0" w:line="93" w:lineRule="exact"/>
        <w:rPr>
          <w:rFonts w:ascii="Arial" w:cs="Arial" w:eastAsia="Arial" w:hAnsi="Arial"/>
          <w:sz w:val="14"/>
          <w:szCs w:val="14"/>
          <w:color w:val="auto"/>
        </w:rPr>
      </w:pPr>
    </w:p>
    <w:p>
      <w:pPr>
        <w:ind w:left="1800" w:right="20" w:hanging="899"/>
        <w:spacing w:after="0" w:line="321" w:lineRule="auto"/>
        <w:tabs>
          <w:tab w:leader="none" w:pos="1796" w:val="left"/>
        </w:tabs>
        <w:numPr>
          <w:ilvl w:val="0"/>
          <w:numId w:val="2"/>
        </w:numPr>
        <w:rPr>
          <w:rFonts w:ascii="Arial" w:cs="Arial" w:eastAsia="Arial" w:hAnsi="Arial"/>
          <w:sz w:val="13"/>
          <w:szCs w:val="13"/>
          <w:color w:val="auto"/>
        </w:rPr>
      </w:pPr>
      <w:r>
        <w:rPr>
          <w:rFonts w:ascii="Arial" w:cs="Arial" w:eastAsia="Arial" w:hAnsi="Arial"/>
          <w:sz w:val="13"/>
          <w:szCs w:val="13"/>
          <w:color w:val="auto"/>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Research and Development and the Biopharmaceutical Industry</w:t>
      </w:r>
    </w:p>
    <w:p>
      <w:pPr>
        <w:spacing w:after="0" w:line="94" w:lineRule="exact"/>
        <w:rPr>
          <w:sz w:val="20"/>
          <w:szCs w:val="20"/>
          <w:color w:val="auto"/>
        </w:rPr>
      </w:pPr>
    </w:p>
    <w:p>
      <w:pPr>
        <w:ind w:left="1780" w:hanging="879"/>
        <w:spacing w:after="0"/>
        <w:tabs>
          <w:tab w:leader="none" w:pos="1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a limited operating history, which may make it difficult to evaluate our prospects and likelihood of success.</w:t>
      </w:r>
    </w:p>
    <w:p>
      <w:pPr>
        <w:spacing w:after="0" w:line="125" w:lineRule="exact"/>
        <w:rPr>
          <w:rFonts w:ascii="Arial" w:cs="Arial" w:eastAsia="Arial" w:hAnsi="Arial"/>
          <w:sz w:val="14"/>
          <w:szCs w:val="14"/>
          <w:color w:val="auto"/>
        </w:rPr>
      </w:pPr>
    </w:p>
    <w:p>
      <w:pPr>
        <w:ind w:left="1800" w:right="80" w:hanging="899"/>
        <w:spacing w:after="0" w:line="241" w:lineRule="auto"/>
        <w:tabs>
          <w:tab w:leader="none" w:pos="1796" w:val="left"/>
        </w:tabs>
        <w:numPr>
          <w:ilvl w:val="0"/>
          <w:numId w:val="3"/>
        </w:numPr>
        <w:rPr>
          <w:rFonts w:ascii="Arial" w:cs="Arial" w:eastAsia="Arial" w:hAnsi="Arial"/>
          <w:sz w:val="17"/>
          <w:szCs w:val="17"/>
          <w:color w:val="auto"/>
        </w:rPr>
      </w:pPr>
      <w:r>
        <w:rPr>
          <w:rFonts w:ascii="Arial" w:cs="Arial" w:eastAsia="Arial" w:hAnsi="Arial"/>
          <w:sz w:val="14"/>
          <w:szCs w:val="14"/>
          <w:color w:val="auto"/>
        </w:rPr>
        <w:t>Our business is highly dependent on the success of our lead product candidate, bexotegrast, as well as PLN-1474 and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74" w:lineRule="exact"/>
        <w:rPr>
          <w:rFonts w:ascii="Arial" w:cs="Arial" w:eastAsia="Arial" w:hAnsi="Arial"/>
          <w:sz w:val="17"/>
          <w:szCs w:val="17"/>
          <w:color w:val="auto"/>
        </w:rPr>
      </w:pPr>
    </w:p>
    <w:p>
      <w:pPr>
        <w:ind w:left="1780" w:hanging="879"/>
        <w:spacing w:after="0"/>
        <w:tabs>
          <w:tab w:leader="none" w:pos="1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approach to drug discovery and development in the area of fibrotic diseases is unproven and may not result in marketable products.</w:t>
      </w:r>
    </w:p>
    <w:p>
      <w:pPr>
        <w:spacing w:after="0" w:line="274" w:lineRule="exact"/>
        <w:rPr>
          <w:rFonts w:ascii="Arial" w:cs="Arial" w:eastAsia="Arial" w:hAnsi="Arial"/>
          <w:sz w:val="14"/>
          <w:szCs w:val="14"/>
          <w:color w:val="auto"/>
        </w:rPr>
      </w:pPr>
    </w:p>
    <w:p>
      <w:pPr>
        <w:ind w:left="1800" w:right="220" w:hanging="899"/>
        <w:spacing w:after="0" w:line="265" w:lineRule="auto"/>
        <w:tabs>
          <w:tab w:leader="none" w:pos="1796" w:val="left"/>
        </w:tabs>
        <w:numPr>
          <w:ilvl w:val="0"/>
          <w:numId w:val="3"/>
        </w:numPr>
        <w:rPr>
          <w:rFonts w:ascii="Arial" w:cs="Arial" w:eastAsia="Arial" w:hAnsi="Arial"/>
          <w:sz w:val="14"/>
          <w:szCs w:val="14"/>
          <w:color w:val="auto"/>
        </w:rPr>
      </w:pPr>
      <w:r>
        <w:rPr>
          <w:rFonts w:ascii="Arial" w:cs="Arial" w:eastAsia="Arial" w:hAnsi="Arial"/>
          <w:sz w:val="14"/>
          <w:szCs w:val="14"/>
          <w:color w:val="auto"/>
        </w:rPr>
        <w:t>Clinical development involves a lengthy, complex, and expensive process, with an uncertain outcome to support either a marketing authorization or positive pricing and reimbursement decisions.</w:t>
      </w:r>
    </w:p>
    <w:p>
      <w:pPr>
        <w:spacing w:after="0" w:line="90" w:lineRule="exact"/>
        <w:rPr>
          <w:rFonts w:ascii="Arial" w:cs="Arial" w:eastAsia="Arial" w:hAnsi="Arial"/>
          <w:sz w:val="14"/>
          <w:szCs w:val="14"/>
          <w:color w:val="auto"/>
        </w:rPr>
      </w:pPr>
    </w:p>
    <w:p>
      <w:pPr>
        <w:ind w:left="1800" w:right="120" w:hanging="899"/>
        <w:spacing w:after="0" w:line="229" w:lineRule="auto"/>
        <w:tabs>
          <w:tab w:leader="none" w:pos="1796" w:val="left"/>
        </w:tabs>
        <w:numPr>
          <w:ilvl w:val="0"/>
          <w:numId w:val="3"/>
        </w:numPr>
        <w:rPr>
          <w:rFonts w:ascii="Arial" w:cs="Arial" w:eastAsia="Arial" w:hAnsi="Arial"/>
          <w:sz w:val="17"/>
          <w:szCs w:val="17"/>
          <w:color w:val="auto"/>
        </w:rPr>
      </w:pPr>
      <w:r>
        <w:rPr>
          <w:rFonts w:ascii="Arial" w:cs="Arial" w:eastAsia="Arial" w:hAnsi="Arial"/>
          <w:sz w:val="14"/>
          <w:szCs w:val="14"/>
          <w:color w:val="auto"/>
        </w:rPr>
        <w:t>We may incur additional costs or experience delays in completing, or ultimately be unable to complete, the development and commercialization of bexotegrast or any other product candidates.</w:t>
      </w:r>
    </w:p>
    <w:p>
      <w:pPr>
        <w:ind w:left="1800" w:right="300" w:hanging="899"/>
        <w:spacing w:after="0" w:line="247" w:lineRule="auto"/>
        <w:tabs>
          <w:tab w:leader="none" w:pos="179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fail to obtain and maintain certain regulatory exclusivities and orphan designations in some jurisdictions and therefore fail to secure orphan exclusivity or other exclusivity extensions in those jurisdictions.</w:t>
      </w:r>
    </w:p>
    <w:p>
      <w:pPr>
        <w:spacing w:after="0" w:line="70" w:lineRule="exact"/>
        <w:rPr>
          <w:rFonts w:ascii="Arial" w:cs="Arial" w:eastAsia="Arial" w:hAnsi="Arial"/>
          <w:sz w:val="14"/>
          <w:szCs w:val="14"/>
          <w:color w:val="auto"/>
        </w:rPr>
      </w:pPr>
    </w:p>
    <w:p>
      <w:pPr>
        <w:ind w:left="1800" w:right="60" w:hanging="899"/>
        <w:spacing w:after="0" w:line="281" w:lineRule="auto"/>
        <w:tabs>
          <w:tab w:leader="none" w:pos="179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encounter difficulties enrolling patients in our clinical trials, our clinical development activities could be delayed or otherwise adversely affected.</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substantial competition, which may result in others discovering, developing, or commercializing products before or more successfully than us.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Intellectual Property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1800" w:right="180" w:hanging="899"/>
        <w:spacing w:after="0" w:line="281" w:lineRule="auto"/>
        <w:tabs>
          <w:tab w:leader="none" w:pos="179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success depends in part on our ability to obtain patent term extensions and to protect our intellectual property. It is difficult and costly to protect our proprietary rights and technology, and we may not be able to ensure their protection.</w:t>
      </w:r>
    </w:p>
    <w:p>
      <w:pPr>
        <w:spacing w:after="0" w:line="47" w:lineRule="exact"/>
        <w:rPr>
          <w:rFonts w:ascii="Arial" w:cs="Arial" w:eastAsia="Arial" w:hAnsi="Arial"/>
          <w:sz w:val="14"/>
          <w:szCs w:val="14"/>
          <w:color w:val="auto"/>
        </w:rPr>
      </w:pPr>
    </w:p>
    <w:p>
      <w:pPr>
        <w:ind w:left="1800" w:right="380" w:hanging="899"/>
        <w:spacing w:after="0" w:line="281" w:lineRule="auto"/>
        <w:tabs>
          <w:tab w:leader="none" w:pos="179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Reliance on Third Parties</w:t>
      </w:r>
    </w:p>
    <w:p>
      <w:pPr>
        <w:spacing w:after="0" w:line="94" w:lineRule="exact"/>
        <w:rPr>
          <w:sz w:val="20"/>
          <w:szCs w:val="20"/>
          <w:color w:val="auto"/>
        </w:rPr>
      </w:pPr>
    </w:p>
    <w:p>
      <w:pPr>
        <w:ind w:left="1800" w:hanging="899"/>
        <w:spacing w:after="0" w:line="288" w:lineRule="auto"/>
        <w:tabs>
          <w:tab w:leader="none" w:pos="1796"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have entered into a collaboration agreement, as amended, with Novartis Institutes for Biomedical Research, Inc., or Novartis, for the development of PLN-1474 and may in the future seek to enter into collaborations with third parties for the development and commercialization of other product candidates. If we fail to enter into such collaborations, or if our collaborations are not successful, we may be unable to continue development of such product candidates, we would not receive any contemplated milestone payments or royalties, and we could fail to capitalize on the market potential of such product candidates.</w:t>
      </w:r>
    </w:p>
    <w:p>
      <w:pPr>
        <w:spacing w:after="0" w:line="46" w:lineRule="exact"/>
        <w:rPr>
          <w:rFonts w:ascii="Arial" w:cs="Arial" w:eastAsia="Arial" w:hAnsi="Arial"/>
          <w:sz w:val="13"/>
          <w:szCs w:val="13"/>
          <w:color w:val="auto"/>
        </w:rPr>
      </w:pPr>
    </w:p>
    <w:p>
      <w:pPr>
        <w:ind w:left="1800" w:right="100" w:hanging="899"/>
        <w:spacing w:after="0" w:line="281" w:lineRule="auto"/>
        <w:tabs>
          <w:tab w:leader="none" w:pos="1796"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rely on third parties to conduct certain aspects of our preclinical studies and clinical trials and for tissue samples and other materials required for our research and development activities.</w:t>
      </w:r>
    </w:p>
    <w:p>
      <w:pPr>
        <w:spacing w:after="0" w:line="47" w:lineRule="exact"/>
        <w:rPr>
          <w:rFonts w:ascii="Arial" w:cs="Arial" w:eastAsia="Arial" w:hAnsi="Arial"/>
          <w:sz w:val="14"/>
          <w:szCs w:val="14"/>
          <w:color w:val="auto"/>
        </w:rPr>
      </w:pPr>
    </w:p>
    <w:p>
      <w:pPr>
        <w:ind w:left="1800" w:right="280" w:hanging="899"/>
        <w:spacing w:after="0" w:line="281" w:lineRule="auto"/>
        <w:tabs>
          <w:tab w:leader="none" w:pos="1796"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rely on single-source third party suppliers located in foreign jurisdictions, including China, to manufacture our drug candidates. An interruption in this supply, caused by a business interruption or geopolitical events, could materially disrupt our research and development activities.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Managing Our Business and Operations</w:t>
      </w:r>
    </w:p>
    <w:p>
      <w:pPr>
        <w:spacing w:after="0" w:line="94" w:lineRule="exact"/>
        <w:rPr>
          <w:sz w:val="20"/>
          <w:szCs w:val="20"/>
          <w:color w:val="auto"/>
        </w:rPr>
      </w:pPr>
    </w:p>
    <w:p>
      <w:pPr>
        <w:ind w:left="1780" w:hanging="879"/>
        <w:spacing w:after="0"/>
        <w:tabs>
          <w:tab w:leader="none" w:pos="1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ongoing COVID-19 pandemic could adversely impact our business, including our preclinical studies and clinical trials.</w:t>
      </w:r>
    </w:p>
    <w:p>
      <w:pPr>
        <w:spacing w:after="0" w:line="93" w:lineRule="exact"/>
        <w:rPr>
          <w:rFonts w:ascii="Arial" w:cs="Arial" w:eastAsia="Arial" w:hAnsi="Arial"/>
          <w:sz w:val="14"/>
          <w:szCs w:val="14"/>
          <w:color w:val="auto"/>
        </w:rPr>
      </w:pPr>
    </w:p>
    <w:p>
      <w:pPr>
        <w:ind w:left="1800" w:right="240" w:hanging="899"/>
        <w:spacing w:after="0" w:line="281" w:lineRule="auto"/>
        <w:tabs>
          <w:tab w:leader="none" w:pos="1796"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loss of key management personnel, or our failure to recruit additional highly skilled personnel, will impair our ability to develop current product candidates or identify and develop new product candidates, could result in loss of markets or market share and could make us less competitive.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8" w:lineRule="exact"/>
        <w:rPr>
          <w:sz w:val="20"/>
          <w:szCs w:val="20"/>
          <w:color w:val="auto"/>
        </w:rPr>
      </w:pPr>
    </w:p>
    <w:p>
      <w:pPr>
        <w:ind w:firstLine="828"/>
        <w:spacing w:after="0" w:line="309" w:lineRule="auto"/>
        <w:rPr>
          <w:sz w:val="20"/>
          <w:szCs w:val="20"/>
          <w:color w:val="auto"/>
        </w:rPr>
      </w:pPr>
      <w:r>
        <w:rPr>
          <w:rFonts w:ascii="Arial" w:cs="Arial" w:eastAsia="Arial" w:hAnsi="Arial"/>
          <w:sz w:val="12"/>
          <w:szCs w:val="12"/>
          <w:color w:val="auto"/>
        </w:rPr>
        <w:t>We are a clinical stage biopharmaceutical company focused on discovering and developing novel therapies for the treatment of fibrosis and related diseases. Our initial focus is on treating fibrosis by inhibiting integrin-mediated activation of TGF-β. We have applied our deep understanding of fibrosis biology, along with our medicinal chemistry and translational medicine expertise to develop a set of proprietary tools designed to discover and de-risk product candidates quickly and efficiently. Our wholly-owned lead product candidate, bexotegrast (PLN-74809), is an oral, small molecule, dual selective inhibitor of αvß6 and αvß1 integrins that we are developing for the treatment of idiopathic pulmonary fibrosis, or IPF, and primary sclerosing cholangitis, or PSC. We are currently conducting three Phase 2a trials in our lead indications: two in IPF and one in PSC. We announced positive interim data from our Phase 2a INTEGRIS-IPF trial in July 2022 and January 2023. We expect to release final data from the INTEGRIS-IPF trial in the second quarter of 2023. We expect to release interim data from our Phase 2a trial in PSC in the third quarter of 2023.</w:t>
      </w:r>
    </w:p>
    <w:p>
      <w:pPr>
        <w:spacing w:after="0" w:line="37" w:lineRule="exact"/>
        <w:rPr>
          <w:sz w:val="20"/>
          <w:szCs w:val="20"/>
          <w:color w:val="auto"/>
        </w:rPr>
      </w:pPr>
    </w:p>
    <w:p>
      <w:pPr>
        <w:ind w:right="180" w:firstLine="828"/>
        <w:spacing w:after="0" w:line="262" w:lineRule="auto"/>
        <w:rPr>
          <w:sz w:val="20"/>
          <w:szCs w:val="20"/>
          <w:color w:val="auto"/>
        </w:rPr>
      </w:pPr>
      <w:r>
        <w:rPr>
          <w:rFonts w:ascii="Arial" w:cs="Arial" w:eastAsia="Arial" w:hAnsi="Arial"/>
          <w:sz w:val="14"/>
          <w:szCs w:val="14"/>
          <w:color w:val="auto"/>
        </w:rPr>
        <w:t>We have also developed a second clinical stage product candidate, PLN-1474, an oral, small molecule selective inhibitor of αvß1 for the treatment of liver fibrosis associated with nonalcoholic steatohepatitis, or NASH. PLN-1474 is Phase 2-ready, having shown an excellent safety and pharmacokinetic profile in Phase 1 trials. PLN-1474 was licensed to Novartis in 2019. As part of a broad strategic realignment, Novartis has discontinued clinical development in NASH and, as a result, discontinued development of PLN-1474. In February 2023, Novartis returned global rights to PLN-1474 to Pliant.</w:t>
      </w:r>
    </w:p>
    <w:p>
      <w:pPr>
        <w:spacing w:after="0" w:line="61" w:lineRule="exact"/>
        <w:rPr>
          <w:sz w:val="20"/>
          <w:szCs w:val="20"/>
          <w:color w:val="auto"/>
        </w:rPr>
      </w:pPr>
    </w:p>
    <w:p>
      <w:pPr>
        <w:jc w:val="both"/>
        <w:ind w:right="140" w:firstLine="828"/>
        <w:spacing w:after="0" w:line="321" w:lineRule="auto"/>
        <w:rPr>
          <w:sz w:val="20"/>
          <w:szCs w:val="20"/>
          <w:color w:val="auto"/>
        </w:rPr>
      </w:pPr>
      <w:r>
        <w:rPr>
          <w:rFonts w:ascii="Arial" w:cs="Arial" w:eastAsia="Arial" w:hAnsi="Arial"/>
          <w:sz w:val="13"/>
          <w:szCs w:val="13"/>
          <w:color w:val="auto"/>
        </w:rPr>
        <w:t>In January 2023, we received FDA clearance of investigational new drug application, or IND, for our third clinical program, PLN-101095, a dual inhibitor of integrins αvß8 and αvß1 for the treatment of solid tumors that are resistant to immune checkpoint inhibitors. We expect to initiate a Phase 1 trial of PLN-101095 in the second quarter of 2023.</w:t>
      </w:r>
    </w:p>
    <w:p>
      <w:pPr>
        <w:spacing w:after="0" w:line="2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In addition to our clinical programs, we are currently advancing a preclinical integrin-based program targeting muscular dystrophies.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109220</wp:posOffset>
            </wp:positionV>
            <wp:extent cx="4446270" cy="1906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46270" cy="1906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Lead Candidate - Bexotegrast</w:t>
      </w:r>
    </w:p>
    <w:p>
      <w:pPr>
        <w:spacing w:after="0" w:line="98" w:lineRule="exact"/>
        <w:rPr>
          <w:sz w:val="20"/>
          <w:szCs w:val="20"/>
          <w:color w:val="auto"/>
        </w:rPr>
      </w:pPr>
    </w:p>
    <w:p>
      <w:pPr>
        <w:jc w:val="both"/>
        <w:ind w:right="120" w:firstLine="764"/>
        <w:spacing w:after="0" w:line="288" w:lineRule="auto"/>
        <w:rPr>
          <w:sz w:val="20"/>
          <w:szCs w:val="20"/>
          <w:color w:val="auto"/>
        </w:rPr>
      </w:pPr>
      <w:r>
        <w:rPr>
          <w:rFonts w:ascii="Arial" w:cs="Arial" w:eastAsia="Arial" w:hAnsi="Arial"/>
          <w:sz w:val="13"/>
          <w:szCs w:val="13"/>
          <w:color w:val="231F20"/>
        </w:rPr>
        <w:t>Our lead wholly-owned product candidate, bexotegrast, is an oral, small molecule, dual-selective inhibitor of αvß6 and αvß1 that we are advancing in IPF and PSC. While expressed at very low levels in normal tissues, αvß6 and αvß1 are upregulated in the pulmonary tissues of IPF patients, and in the liver tissues of PSC patients. They both serve as activators of TGF-β, leading to increased collagen production and fibrosis in these tissues. By blocking TGF-β activation by both αvß6 and αvß1, we believe bexotegrast may slow and potentially halt the progression of fibrosis in these patient populations. Bexotegrast has been granted orphan drug designation by the United States Food and Drug Administration, or</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231F20"/>
        </w:rPr>
        <w:t>FDA and the European Medicines Agency, or EMA, for both IPF and PSC. In addition, bexotegrast has been granted Fast Track designation by the FDA for IPF and PSC.</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Bexotegrast for Treatment of IPF</w:t>
      </w:r>
    </w:p>
    <w:p>
      <w:pPr>
        <w:spacing w:after="0" w:line="98" w:lineRule="exact"/>
        <w:rPr>
          <w:sz w:val="20"/>
          <w:szCs w:val="20"/>
          <w:color w:val="auto"/>
        </w:rPr>
      </w:pPr>
    </w:p>
    <w:p>
      <w:pPr>
        <w:ind w:right="20" w:firstLine="764"/>
        <w:spacing w:after="0" w:line="262" w:lineRule="auto"/>
        <w:rPr>
          <w:sz w:val="20"/>
          <w:szCs w:val="20"/>
          <w:color w:val="auto"/>
        </w:rPr>
      </w:pPr>
      <w:r>
        <w:rPr>
          <w:rFonts w:ascii="Arial" w:cs="Arial" w:eastAsia="Arial" w:hAnsi="Arial"/>
          <w:sz w:val="14"/>
          <w:szCs w:val="14"/>
          <w:color w:val="231F20"/>
        </w:rPr>
        <w:t>IPF is the most common and severe form of progressive pulmonary fibrosis, affecting approximately 140,000 patients in the United States and over 3 million patients around the world. While the underlying cause of IPF is unknown, the course of the disease is well documented, with progressive scarring that destroys the structure and function of the lungs over time. The average life expectancy for patients with confirmed IPF is between three and five years. There are currently two FDA-approved therapies for IPF. Both have shown modest slowing of disease progression. However, both therapies have raised significant safety and tolerability concerns.</w:t>
      </w:r>
    </w:p>
    <w:p>
      <w:pPr>
        <w:spacing w:after="0" w:line="61" w:lineRule="exact"/>
        <w:rPr>
          <w:sz w:val="20"/>
          <w:szCs w:val="20"/>
          <w:color w:val="auto"/>
        </w:rPr>
      </w:pPr>
    </w:p>
    <w:p>
      <w:pPr>
        <w:ind w:firstLine="764"/>
        <w:spacing w:after="0" w:line="284" w:lineRule="auto"/>
        <w:rPr>
          <w:sz w:val="20"/>
          <w:szCs w:val="20"/>
          <w:color w:val="auto"/>
        </w:rPr>
      </w:pPr>
      <w:r>
        <w:rPr>
          <w:rFonts w:ascii="Arial" w:cs="Arial" w:eastAsia="Arial" w:hAnsi="Arial"/>
          <w:sz w:val="13"/>
          <w:szCs w:val="13"/>
          <w:color w:val="auto"/>
        </w:rPr>
        <w:t>Bexotegrast is an oral small-molecule that selectively inhibits both αvß6 and αvß1 integrins that we are developing as a potential therapy for IPF and PSC. We have determined that TGF-β activation in fibrosis associated with IPF and PSC involves both αvß6 and αvß1 integrins. It has been shown that expression of both αvß6 on epithelial cells and αvß1 on fibroblasts can lead to excessive activation of TGF-β in fibrosis. Epithelial tissue includes any tissue that lines the surfaces of the body such as alveoli, bile ducts, urinary tract, skin, and gastrointestinal tract. Each of these tissues contains multiple cell types including epithelial cells and fibroblasts. An important secondary effect of the TGF-β cascade is that it promotes upregulation of αvß1 on epithelial cells. The increased expression of these integrins on the cell surface contributes in turn to further TGF-β activation in a TGF-β-driven positive feed-forward loop.</w:t>
      </w:r>
    </w:p>
    <w:p>
      <w:pPr>
        <w:spacing w:after="0" w:line="49" w:lineRule="exact"/>
        <w:rPr>
          <w:sz w:val="20"/>
          <w:szCs w:val="20"/>
          <w:color w:val="auto"/>
        </w:rPr>
      </w:pPr>
    </w:p>
    <w:p>
      <w:pPr>
        <w:ind w:right="220" w:firstLine="828"/>
        <w:spacing w:after="0" w:line="284" w:lineRule="auto"/>
        <w:rPr>
          <w:sz w:val="20"/>
          <w:szCs w:val="20"/>
          <w:color w:val="auto"/>
        </w:rPr>
      </w:pPr>
      <w:r>
        <w:rPr>
          <w:rFonts w:ascii="Arial" w:cs="Arial" w:eastAsia="Arial" w:hAnsi="Arial"/>
          <w:sz w:val="13"/>
          <w:szCs w:val="13"/>
          <w:color w:val="auto"/>
        </w:rPr>
        <w:t>In July 2022, we announced positive interim data from the 40 mg, 80 mg and 160 mg dose groups of INTEGRIS-IPF, a multinational, randomized, double-blind, placebo-controlled Phase 2a clinical trial of bexotegrast in patients with IPF. The trial met its primary and secondary endpoints demonstrating that bexotegrast was well tolerated over a 12-week treatment period and displayed a favorable pharmacokinetic profile. The trial’s exploratory efficacy endpoints assessing changes in forced vital capacity, or FVC, and Quantitative Lung Fibrosis, or QLF, imaging, demonstrated a dose-dependent treatment effect on FVC and QLF versus placebo over 12 weeks in bexotegrast treated patients. Bexotegrast was well tolerated over 12 weeks of treatment with no drug related serious adverse events, or SAEs, and no treatment discontinuations due to adverse events</w:t>
      </w:r>
    </w:p>
    <w:p>
      <w:pPr>
        <w:spacing w:after="0" w:line="49" w:lineRule="exact"/>
        <w:rPr>
          <w:sz w:val="20"/>
          <w:szCs w:val="20"/>
          <w:color w:val="auto"/>
        </w:rPr>
      </w:pPr>
    </w:p>
    <w:p>
      <w:pPr>
        <w:jc w:val="both"/>
        <w:ind w:right="140" w:firstLine="828"/>
        <w:spacing w:after="0" w:line="288" w:lineRule="auto"/>
        <w:rPr>
          <w:sz w:val="20"/>
          <w:szCs w:val="20"/>
          <w:color w:val="auto"/>
        </w:rPr>
      </w:pPr>
      <w:r>
        <w:rPr>
          <w:rFonts w:ascii="Arial" w:cs="Arial" w:eastAsia="Arial" w:hAnsi="Arial"/>
          <w:sz w:val="13"/>
          <w:szCs w:val="13"/>
          <w:color w:val="auto"/>
        </w:rPr>
        <w:t>In January 2023, we announced additional positive 12-week interim data from the 320 mg dose group of INTEGRIS-IPF. The 320 mg group met its primary and secondary endpoints demonstrating that bexotegrast was well tolerated over a 12-week treatment period and displayed a favorable pharmacokinetic profile. Bexotegrast at 320 mg demonstrated a statistically significant mean increase in FVC from baseline at all timepoints, surpassing all lower dose groups, and showed a strong treatment effect on FVC percent predicted, or FVCpp, QLF and profibrotic biomarkers versus placebo at 12 weeks. Bexotegrast was well tolerated over 12 weeks of treatment at 320 mg with no drug-related severe or serious adverse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1626870</wp:posOffset>
            </wp:positionH>
            <wp:positionV relativeFrom="paragraph">
              <wp:posOffset>36195</wp:posOffset>
            </wp:positionV>
            <wp:extent cx="3921125" cy="2088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21125" cy="2088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Change in FVC from Baseline of Bexotegrast 320 mg Over 12 Weeks in INTEGRIS-IPF; Mixed Model Repeat Measures Analysis – Modified Intent to Treat Population</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362585</wp:posOffset>
            </wp:positionV>
            <wp:extent cx="3846830" cy="1946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46830"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Proportion of Participants with FVCpp Decline ≥10% - Intent to Treat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187325</wp:posOffset>
            </wp:positionV>
            <wp:extent cx="4446270" cy="1697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46270"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Circulating PRO-C3 and Integrin beta-6 Biomarker Levels–</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Change from Baseline at 4- and 12-Weeks vs Placebo</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Bexotegrast for Treatment of Primary Sclerosing Cholangitis</w:t>
      </w:r>
    </w:p>
    <w:p>
      <w:pPr>
        <w:spacing w:after="0" w:line="98" w:lineRule="exact"/>
        <w:rPr>
          <w:sz w:val="20"/>
          <w:szCs w:val="20"/>
          <w:color w:val="auto"/>
        </w:rPr>
      </w:pPr>
    </w:p>
    <w:p>
      <w:pPr>
        <w:ind w:right="20" w:firstLine="764"/>
        <w:spacing w:after="0" w:line="267" w:lineRule="auto"/>
        <w:rPr>
          <w:sz w:val="20"/>
          <w:szCs w:val="20"/>
          <w:color w:val="auto"/>
        </w:rPr>
      </w:pPr>
      <w:r>
        <w:rPr>
          <w:rFonts w:ascii="Arial" w:cs="Arial" w:eastAsia="Arial" w:hAnsi="Arial"/>
          <w:sz w:val="14"/>
          <w:szCs w:val="14"/>
          <w:color w:val="231F20"/>
        </w:rPr>
        <w:t>PSC is a progressive liver disorder affecting approximately 30,000 to 45,000 patients in the United States. The disease is characterized by fibrosis originating in the bile ducts that ultimately results in bile flow obstruction or cholestasis, causing liver damage and progressive fibrosis of the liver. Patients have a median survival of 10 to 12 years without intervention and carry high lifetime risk of developing gastrointestinal malignancies. There are currently no FDA-approved therapies for PSC.</w:t>
      </w:r>
    </w:p>
    <w:p>
      <w:pPr>
        <w:spacing w:after="0" w:line="57" w:lineRule="exact"/>
        <w:rPr>
          <w:sz w:val="20"/>
          <w:szCs w:val="20"/>
          <w:color w:val="auto"/>
        </w:rPr>
      </w:pPr>
    </w:p>
    <w:p>
      <w:pPr>
        <w:ind w:firstLine="764"/>
        <w:spacing w:after="0" w:line="331" w:lineRule="auto"/>
        <w:rPr>
          <w:sz w:val="20"/>
          <w:szCs w:val="20"/>
          <w:color w:val="auto"/>
        </w:rPr>
      </w:pPr>
      <w:r>
        <w:rPr>
          <w:rFonts w:ascii="Arial" w:cs="Arial" w:eastAsia="Arial" w:hAnsi="Arial"/>
          <w:sz w:val="12"/>
          <w:szCs w:val="12"/>
          <w:color w:val="231F20"/>
        </w:rPr>
        <w:t>We are currently conducting a Phase 2a trial of bexotegrast in PSC. The trial is a 12-week randomized, double-blind, placebo-controlled trial enrolling approximately 84 PSC patients across four treatment groups consisting of three bexotegrast doses (40 mg, 80 mg and 160 mg) and one placebo group that will evaluate safety, tolerability and PK. We also plan to evaluate exploratory efficacy endpoints including fibrosis biomarkers such as Pro-C3 and ELF, as well as ALP and liver imaging. We expect to announce data from this trial in the third quarter of 2023.</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PLN-1474 for Treatment of Liver Fibrosis Associated with NASH</w:t>
      </w:r>
    </w:p>
    <w:p>
      <w:pPr>
        <w:spacing w:after="0" w:line="98" w:lineRule="exact"/>
        <w:rPr>
          <w:sz w:val="20"/>
          <w:szCs w:val="20"/>
          <w:color w:val="auto"/>
        </w:rPr>
      </w:pPr>
    </w:p>
    <w:p>
      <w:pPr>
        <w:jc w:val="both"/>
        <w:ind w:right="20" w:firstLine="764"/>
        <w:spacing w:after="0" w:line="267" w:lineRule="auto"/>
        <w:rPr>
          <w:sz w:val="20"/>
          <w:szCs w:val="20"/>
          <w:color w:val="auto"/>
        </w:rPr>
      </w:pPr>
      <w:r>
        <w:rPr>
          <w:rFonts w:ascii="Arial" w:cs="Arial" w:eastAsia="Arial" w:hAnsi="Arial"/>
          <w:sz w:val="14"/>
          <w:szCs w:val="14"/>
          <w:color w:val="231F20"/>
        </w:rPr>
        <w:t>NASH is highly prevalent, affecting approximately 16.5 million adults in the United States, including approximately 3.3 million with stage F3/F4 fibrosis. The stage of fibrosis is the strongest predictor of liver-related morbidity and all-cause mortality in NASH. Patients with F3 and F4 fibrosis carry liver-related mortality risk that is 17 times and 42 times greater, respectively, than NASH patients without fibrosis. Therefore, we believe that treating F3/F4</w:t>
      </w:r>
    </w:p>
    <w:p>
      <w:pPr>
        <w:spacing w:after="0" w:line="200" w:lineRule="exact"/>
        <w:rPr>
          <w:sz w:val="20"/>
          <w:szCs w:val="20"/>
          <w:color w:val="auto"/>
        </w:rPr>
      </w:pPr>
    </w:p>
    <w:p>
      <w:pPr>
        <w:spacing w:after="0" w:line="239"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129" w:right="5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color w:val="231F20"/>
        </w:rPr>
        <w:t>liver fibrosis will have an impact on liver-related morbidity and all-cause mortality in NASH. There are currently no approved therapies for NASH and the candidates in development to date have shown only modest antifibrotic effects in published clinical trials.</w:t>
      </w:r>
    </w:p>
    <w:p>
      <w:pPr>
        <w:spacing w:after="0" w:line="47" w:lineRule="exact"/>
        <w:rPr>
          <w:sz w:val="20"/>
          <w:szCs w:val="20"/>
          <w:color w:val="auto"/>
        </w:rPr>
      </w:pPr>
    </w:p>
    <w:p>
      <w:pPr>
        <w:ind w:right="20" w:firstLine="764"/>
        <w:spacing w:after="0" w:line="267" w:lineRule="auto"/>
        <w:rPr>
          <w:sz w:val="20"/>
          <w:szCs w:val="20"/>
          <w:color w:val="auto"/>
        </w:rPr>
      </w:pPr>
      <w:r>
        <w:rPr>
          <w:rFonts w:ascii="Arial" w:cs="Arial" w:eastAsia="Arial" w:hAnsi="Arial"/>
          <w:sz w:val="14"/>
          <w:szCs w:val="14"/>
          <w:color w:val="231F20"/>
        </w:rPr>
        <w:t>We have developed a second clinical stage product candidate, PLN-1474, which is an oral, small molecule, selective inhibitor of TGF-β activation by the integrin αvß1 in development for treatment of advanced liver fibrosis associated with NASH. αvß1 serves as an activator of TGF-β and its expression has been shown to be upregulated in hepatic stellate cells in late-stage NASH-associated liver fibrosis.</w:t>
      </w:r>
    </w:p>
    <w:p>
      <w:pPr>
        <w:spacing w:after="0" w:line="57" w:lineRule="exact"/>
        <w:rPr>
          <w:sz w:val="20"/>
          <w:szCs w:val="20"/>
          <w:color w:val="auto"/>
        </w:rPr>
      </w:pPr>
    </w:p>
    <w:p>
      <w:pPr>
        <w:ind w:right="120" w:firstLine="764"/>
        <w:spacing w:after="0" w:line="267" w:lineRule="auto"/>
        <w:rPr>
          <w:sz w:val="20"/>
          <w:szCs w:val="20"/>
          <w:color w:val="auto"/>
        </w:rPr>
      </w:pPr>
      <w:r>
        <w:rPr>
          <w:rFonts w:ascii="Arial" w:cs="Arial" w:eastAsia="Arial" w:hAnsi="Arial"/>
          <w:sz w:val="14"/>
          <w:szCs w:val="14"/>
          <w:color w:val="231F20"/>
        </w:rPr>
        <w:t>PLN-1474 has completed a first-in-human, randomized, double-blind, placebo-controlled Phase 1 dose escalation trial that enrolled 84 healthy volunteers across single ascending dose and multiple ascending dose groups. Results showed that PLN-1474 was rapidly absorbed and well tolerated with no dose- or treatment-limiting toxicities observed with adverse events that were mostly mild with no severe or serious adverse events observed.</w:t>
      </w:r>
    </w:p>
    <w:p>
      <w:pPr>
        <w:spacing w:after="0" w:line="57" w:lineRule="exact"/>
        <w:rPr>
          <w:sz w:val="20"/>
          <w:szCs w:val="20"/>
          <w:color w:val="auto"/>
        </w:rPr>
      </w:pPr>
    </w:p>
    <w:p>
      <w:pPr>
        <w:ind w:right="60" w:firstLine="764"/>
        <w:spacing w:after="0" w:line="288" w:lineRule="auto"/>
        <w:rPr>
          <w:sz w:val="20"/>
          <w:szCs w:val="20"/>
          <w:color w:val="auto"/>
        </w:rPr>
      </w:pPr>
      <w:r>
        <w:rPr>
          <w:rFonts w:ascii="Arial" w:cs="Arial" w:eastAsia="Arial" w:hAnsi="Arial"/>
          <w:sz w:val="13"/>
          <w:szCs w:val="13"/>
          <w:color w:val="231F20"/>
        </w:rPr>
        <w:t xml:space="preserve">In October 2019, we entered into a collaboration and license agreement with Novartis in which Novartis licensed global rights to PLN-1474. Pursuant to the terms of the agreement, we received an upfront $50.0 million license fee and a $25.0 million contingent payment upon first-patient first-dose in the Phase 1 clinical trial of PLN-1474. </w:t>
      </w:r>
      <w:r>
        <w:rPr>
          <w:rFonts w:ascii="Arial" w:cs="Arial" w:eastAsia="Arial" w:hAnsi="Arial"/>
          <w:sz w:val="13"/>
          <w:szCs w:val="13"/>
          <w:color w:val="000000"/>
        </w:rPr>
        <w:t>As part of a broad strategic realignment,</w:t>
      </w:r>
      <w:r>
        <w:rPr>
          <w:rFonts w:ascii="Arial" w:cs="Arial" w:eastAsia="Arial" w:hAnsi="Arial"/>
          <w:sz w:val="13"/>
          <w:szCs w:val="13"/>
          <w:color w:val="231F20"/>
        </w:rPr>
        <w:t xml:space="preserve"> </w:t>
      </w:r>
      <w:r>
        <w:rPr>
          <w:rFonts w:ascii="Arial" w:cs="Arial" w:eastAsia="Arial" w:hAnsi="Arial"/>
          <w:sz w:val="13"/>
          <w:szCs w:val="13"/>
          <w:color w:val="000000"/>
        </w:rPr>
        <w:t xml:space="preserve">Novartis has discontinued clinical development in NASH and, as a result, discontinued development of PLN-1474. In February 2023, Novartis returned global rights to PLN-1474 to Pliant. </w:t>
      </w:r>
      <w:r>
        <w:rPr>
          <w:rFonts w:ascii="Arial" w:cs="Arial" w:eastAsia="Arial" w:hAnsi="Arial"/>
          <w:sz w:val="13"/>
          <w:szCs w:val="13"/>
          <w:color w:val="231F20"/>
        </w:rPr>
        <w:t>Please</w:t>
      </w:r>
      <w:r>
        <w:rPr>
          <w:rFonts w:ascii="Arial" w:cs="Arial" w:eastAsia="Arial" w:hAnsi="Arial"/>
          <w:sz w:val="13"/>
          <w:szCs w:val="13"/>
          <w:color w:val="000000"/>
        </w:rPr>
        <w:t xml:space="preserve"> </w:t>
      </w:r>
      <w:r>
        <w:rPr>
          <w:rFonts w:ascii="Arial" w:cs="Arial" w:eastAsia="Arial" w:hAnsi="Arial"/>
          <w:sz w:val="13"/>
          <w:szCs w:val="13"/>
          <w:color w:val="231F20"/>
        </w:rPr>
        <w:t xml:space="preserve">refer to Note 8 </w:t>
      </w:r>
      <w:r>
        <w:rPr>
          <w:rFonts w:ascii="Arial" w:cs="Arial" w:eastAsia="Arial" w:hAnsi="Arial"/>
          <w:sz w:val="13"/>
          <w:szCs w:val="13"/>
          <w:color w:val="000000"/>
        </w:rPr>
        <w:t>to our financial statements appearing elsewhere in this Annual Report for further information about the license and collaboration.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PLN-101095 for Treatment of Solid Tumors That are Resistant to Immune Checkpoint Inhibitors</w:t>
      </w:r>
    </w:p>
    <w:p>
      <w:pPr>
        <w:spacing w:after="0" w:line="14" w:lineRule="exact"/>
        <w:rPr>
          <w:sz w:val="20"/>
          <w:szCs w:val="20"/>
          <w:color w:val="auto"/>
        </w:rPr>
      </w:pPr>
    </w:p>
    <w:p>
      <w:pPr>
        <w:ind w:right="80" w:firstLine="764"/>
        <w:spacing w:after="0" w:line="261" w:lineRule="auto"/>
        <w:rPr>
          <w:sz w:val="20"/>
          <w:szCs w:val="20"/>
          <w:color w:val="auto"/>
        </w:rPr>
      </w:pPr>
      <w:r>
        <w:rPr>
          <w:rFonts w:ascii="Arial" w:cs="Arial" w:eastAsia="Arial" w:hAnsi="Arial"/>
          <w:sz w:val="13"/>
          <w:szCs w:val="13"/>
          <w:color w:val="231F20"/>
        </w:rPr>
        <w:t xml:space="preserve">In December 2022, we filed an IND for our third clinical program, PLN-101095 an oral, dual inhibitor of </w:t>
      </w:r>
      <w:r>
        <w:rPr>
          <w:rFonts w:ascii="Arial" w:cs="Arial" w:eastAsia="Arial" w:hAnsi="Arial"/>
          <w:sz w:val="13"/>
          <w:szCs w:val="13"/>
          <w:color w:val="000000"/>
        </w:rPr>
        <w:t>αvß8 and αvß1 integrins</w:t>
      </w:r>
      <w:r>
        <w:rPr>
          <w:rFonts w:ascii="Arial" w:cs="Arial" w:eastAsia="Arial" w:hAnsi="Arial"/>
          <w:sz w:val="13"/>
          <w:szCs w:val="13"/>
          <w:color w:val="231F20"/>
        </w:rPr>
        <w:t xml:space="preserve"> for the treatment of solid tumors with a suboptimal response to immune checkpoint inhibitors, or ICIs. In January 2023 we received clearance from the FDA to begin clinical trials. As TGF-β biology has been elucidated, it has become increasingly understood in the scientific literature that TGF-β plays an important anti-inflammatory role in the tumor micro-environment, preventing T-cell infiltration and inhibiting release of various cytokines. This mechanism is becoming increasingly recognized as a potential cause of the resistance to checkpoint inhibitors such as anti-PD-1 therapies seen in many tumors. We are targeting the TGF-β activating integrins αvβ8 and αvβ1, which are upregulated in certain tumors, with the goal of sensitizing tumors to checkpoint inhibitors. We plan to initiate Phase 1 first-in-human study evaluating PLN-101095 in patients with solid tumors with a suboptimal response to immune checkpoint inhibitors, or ICIs, in the second quarter of 2023.</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PLN-101325 for Treatment of Muscular Dystrophies</w:t>
      </w:r>
    </w:p>
    <w:p>
      <w:pPr>
        <w:spacing w:after="0" w:line="87" w:lineRule="exact"/>
        <w:rPr>
          <w:sz w:val="20"/>
          <w:szCs w:val="20"/>
          <w:color w:val="auto"/>
        </w:rPr>
      </w:pPr>
    </w:p>
    <w:p>
      <w:pPr>
        <w:ind w:right="60" w:firstLine="764"/>
        <w:spacing w:after="0" w:line="284" w:lineRule="auto"/>
        <w:rPr>
          <w:sz w:val="20"/>
          <w:szCs w:val="20"/>
          <w:color w:val="auto"/>
        </w:rPr>
      </w:pPr>
      <w:r>
        <w:rPr>
          <w:rFonts w:ascii="Arial" w:cs="Arial" w:eastAsia="Arial" w:hAnsi="Arial"/>
          <w:sz w:val="13"/>
          <w:szCs w:val="13"/>
          <w:color w:val="231F20"/>
        </w:rPr>
        <w:t>In addition to our clinical programs, we are developing a preclinical allosteric agonistic monoclonal antibody against α7β1 for treatment of muscular dystrophies, including Duchenne Muscular Dystrophy, or DMD. The α7β1 integrin is upregulated on muscle cells in several muscular dystrophy indications, partially compensating for the lack of dystrophin and helping to anchor muscle cells to the extracellular matrix. The program utilizes an allosteric agonistic antibody to activate the target in order to augment the naturally occurring compensatory mechanism. Because the antibody is not mutation specific, it could potentially be effective as a single therapy or in combination with other treatment modalities across multiple muscular dystrophy indications. Our muscular dystrophy candidate is currently undergoing IND enabling studies with submission of an IND expected in 2023.</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Our Team</w:t>
      </w:r>
    </w:p>
    <w:p>
      <w:pPr>
        <w:spacing w:after="0" w:line="98" w:lineRule="exact"/>
        <w:rPr>
          <w:sz w:val="20"/>
          <w:szCs w:val="20"/>
          <w:color w:val="auto"/>
        </w:rPr>
      </w:pPr>
    </w:p>
    <w:p>
      <w:pPr>
        <w:ind w:firstLine="764"/>
        <w:spacing w:after="0" w:line="282" w:lineRule="auto"/>
        <w:rPr>
          <w:sz w:val="20"/>
          <w:szCs w:val="20"/>
          <w:color w:val="auto"/>
        </w:rPr>
      </w:pPr>
      <w:r>
        <w:rPr>
          <w:rFonts w:ascii="Arial" w:cs="Arial" w:eastAsia="Arial" w:hAnsi="Arial"/>
          <w:sz w:val="13"/>
          <w:szCs w:val="13"/>
          <w:color w:val="231F20"/>
        </w:rPr>
        <w:t>We have assembled an executive team with highly relevant experience in fibrosis, small molecule drug discovery and clinical development. Bernard Coulie, M.D., Ph.D., our President and Chief Executive Officer, has over 20 years of experience in drug development, previously serving as Chief Executive Officer and Chief Medical Officer of ActoGeniX, as well as holding senior roles at Johnson &amp; Johnson. Éric Lefebvre, M.D., our Chief Medical Officer, brings deep experience in clinical development in liver disease. He previously served as head of clinical research and development for the NASH program at Allergan. Prior to Allergan, Dr. Lefebvre led HIV and HCV development at Janssen and later served as Chief Medical Officer at Tobira. Our science builds on the research of world-renowned researchers Dean Sheppard, M.D., Rik Derynck, Ph.D., Bill DeGrado, Ph.D. and Hal Chapman, M.D., all from the University of California, San Francisco, who bring broad experience in fibrosis biology and small molecule chemistry among other related disciplines.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Strategy</w:t>
      </w:r>
    </w:p>
    <w:p>
      <w:pPr>
        <w:spacing w:after="0" w:line="87" w:lineRule="exact"/>
        <w:rPr>
          <w:sz w:val="20"/>
          <w:szCs w:val="20"/>
          <w:color w:val="auto"/>
        </w:rPr>
      </w:pPr>
    </w:p>
    <w:p>
      <w:pPr>
        <w:ind w:right="20" w:firstLine="509"/>
        <w:spacing w:after="0" w:line="249" w:lineRule="auto"/>
        <w:rPr>
          <w:sz w:val="20"/>
          <w:szCs w:val="20"/>
          <w:color w:val="auto"/>
        </w:rPr>
      </w:pPr>
      <w:r>
        <w:rPr>
          <w:rFonts w:ascii="Arial" w:cs="Arial" w:eastAsia="Arial" w:hAnsi="Arial"/>
          <w:sz w:val="14"/>
          <w:szCs w:val="14"/>
          <w:color w:val="231F20"/>
        </w:rPr>
        <w:t>Our goal is to become a world-leading fibrosis company, developing and commercializing disease- modifying therapies across a spectrum of fibrotic diseases. To achieve this, we are focused on the following key strategies:</w:t>
      </w:r>
    </w:p>
    <w:p>
      <w:pPr>
        <w:spacing w:after="0" w:line="44" w:lineRule="exact"/>
        <w:rPr>
          <w:sz w:val="20"/>
          <w:szCs w:val="20"/>
          <w:color w:val="auto"/>
        </w:rPr>
      </w:pPr>
    </w:p>
    <w:p>
      <w:pPr>
        <w:ind w:left="1800" w:right="80" w:hanging="899"/>
        <w:spacing w:after="0" w:line="270" w:lineRule="auto"/>
        <w:tabs>
          <w:tab w:leader="none" w:pos="1796"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 xml:space="preserve">Rapidly advance bexotegrast through clinical development and commercialization in IPF and PSC. </w:t>
      </w:r>
      <w:r>
        <w:rPr>
          <w:rFonts w:ascii="Arial" w:cs="Arial" w:eastAsia="Arial" w:hAnsi="Arial"/>
          <w:sz w:val="14"/>
          <w:szCs w:val="14"/>
          <w:color w:val="auto"/>
        </w:rPr>
        <w:t>We are developing our lead oral, small molecule inhibitor of</w:t>
      </w:r>
      <w:r>
        <w:rPr>
          <w:rFonts w:ascii="Arial" w:cs="Arial" w:eastAsia="Arial" w:hAnsi="Arial"/>
          <w:sz w:val="14"/>
          <w:szCs w:val="14"/>
          <w:b w:val="1"/>
          <w:bCs w:val="1"/>
          <w:color w:val="auto"/>
        </w:rPr>
        <w:t xml:space="preserve"> </w:t>
      </w:r>
      <w:r>
        <w:rPr>
          <w:rFonts w:ascii="Arial" w:cs="Arial" w:eastAsia="Arial" w:hAnsi="Arial"/>
          <w:sz w:val="14"/>
          <w:szCs w:val="14"/>
          <w:color w:val="auto"/>
        </w:rPr>
        <w:t>αvß6 and αvß1 as a novel therapy for IPF and PSC, each an area of high unmet medical need. Both IPF and PSC are orphan indications that we believe we can commercialize on our own in key geographies using targeted sales forces.</w:t>
      </w:r>
    </w:p>
    <w:p>
      <w:pPr>
        <w:spacing w:after="0" w:line="50" w:lineRule="exact"/>
        <w:rPr>
          <w:rFonts w:ascii="Arial" w:cs="Arial" w:eastAsia="Arial" w:hAnsi="Arial"/>
          <w:sz w:val="14"/>
          <w:szCs w:val="14"/>
          <w:color w:val="auto"/>
        </w:rPr>
      </w:pPr>
    </w:p>
    <w:p>
      <w:pPr>
        <w:ind w:left="1800" w:right="140" w:hanging="899"/>
        <w:spacing w:after="0" w:line="264" w:lineRule="auto"/>
        <w:tabs>
          <w:tab w:leader="none" w:pos="1796"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 xml:space="preserve">Selectively evaluate additional partnerships in indications and geographies where we believe partners can add significant commercial and/or development capabilities. </w:t>
      </w:r>
      <w:r>
        <w:rPr>
          <w:rFonts w:ascii="Arial" w:cs="Arial" w:eastAsia="Arial" w:hAnsi="Arial"/>
          <w:sz w:val="14"/>
          <w:szCs w:val="14"/>
          <w:color w:val="auto"/>
        </w:rPr>
        <w:t>Fibrotic diseases represent a broad set of disease indications to pursue. Our focus is to commercialize our assets in orphan fibrosis indications and to</w:t>
      </w:r>
      <w:r>
        <w:rPr>
          <w:rFonts w:ascii="Arial" w:cs="Arial" w:eastAsia="Arial" w:hAnsi="Arial"/>
          <w:sz w:val="14"/>
          <w:szCs w:val="14"/>
          <w:b w:val="1"/>
          <w:bCs w:val="1"/>
          <w:color w:val="auto"/>
        </w:rPr>
        <w:t xml:space="preserve"> </w:t>
      </w:r>
      <w:r>
        <w:rPr>
          <w:rFonts w:ascii="Arial" w:cs="Arial" w:eastAsia="Arial" w:hAnsi="Arial"/>
          <w:sz w:val="14"/>
          <w:szCs w:val="14"/>
          <w:color w:val="auto"/>
        </w:rPr>
        <w:t>selectively work with partners in larger indications and in geographies outside of North America. Furthermore, we will evaluate and potentially choose to partner our unpartnered product candidates in indications outside of fibrosis.</w:t>
      </w:r>
    </w:p>
    <w:p>
      <w:pPr>
        <w:spacing w:after="0" w:line="55" w:lineRule="exact"/>
        <w:rPr>
          <w:rFonts w:ascii="Arial" w:cs="Arial" w:eastAsia="Arial" w:hAnsi="Arial"/>
          <w:sz w:val="14"/>
          <w:szCs w:val="14"/>
          <w:color w:val="auto"/>
        </w:rPr>
      </w:pPr>
    </w:p>
    <w:p>
      <w:pPr>
        <w:jc w:val="both"/>
        <w:ind w:left="1800" w:right="220" w:hanging="899"/>
        <w:spacing w:after="0" w:line="270" w:lineRule="auto"/>
        <w:tabs>
          <w:tab w:leader="none" w:pos="1796"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 xml:space="preserve">Explore opportunities for our pipeline assets in additional fibrotic indications. </w:t>
      </w:r>
      <w:r>
        <w:rPr>
          <w:rFonts w:ascii="Arial" w:cs="Arial" w:eastAsia="Arial" w:hAnsi="Arial"/>
          <w:sz w:val="14"/>
          <w:szCs w:val="14"/>
          <w:color w:val="auto"/>
        </w:rPr>
        <w:t>We are evaluating the potential benefit of our product candidates outside of their</w:t>
      </w:r>
      <w:r>
        <w:rPr>
          <w:rFonts w:ascii="Arial" w:cs="Arial" w:eastAsia="Arial" w:hAnsi="Arial"/>
          <w:sz w:val="14"/>
          <w:szCs w:val="14"/>
          <w:b w:val="1"/>
          <w:bCs w:val="1"/>
          <w:color w:val="auto"/>
        </w:rPr>
        <w:t xml:space="preserve"> </w:t>
      </w:r>
      <w:r>
        <w:rPr>
          <w:rFonts w:ascii="Arial" w:cs="Arial" w:eastAsia="Arial" w:hAnsi="Arial"/>
          <w:sz w:val="14"/>
          <w:szCs w:val="14"/>
          <w:color w:val="auto"/>
        </w:rPr>
        <w:t>lead indications. Our product candidates have shown anti-fibrotic activity in multiple animal models as well as human tissue in indications outside of IPF, PSC and NASH. We will continue to evaluate additional indications to maximize the potential of our pipeline.</w:t>
      </w:r>
    </w:p>
    <w:p>
      <w:pPr>
        <w:spacing w:after="0" w:line="50" w:lineRule="exact"/>
        <w:rPr>
          <w:rFonts w:ascii="Arial" w:cs="Arial" w:eastAsia="Arial" w:hAnsi="Arial"/>
          <w:sz w:val="14"/>
          <w:szCs w:val="14"/>
          <w:color w:val="auto"/>
        </w:rPr>
      </w:pPr>
    </w:p>
    <w:p>
      <w:pPr>
        <w:ind w:left="1800" w:hanging="899"/>
        <w:spacing w:after="0" w:line="283" w:lineRule="auto"/>
        <w:tabs>
          <w:tab w:leader="none" w:pos="1796"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auto"/>
        </w:rPr>
        <w:t xml:space="preserve">Leverage our industry leading tools and capabilities to advance our mission of becoming a leading fibrosis company. </w:t>
      </w:r>
      <w:r>
        <w:rPr>
          <w:rFonts w:ascii="Arial" w:cs="Arial" w:eastAsia="Arial" w:hAnsi="Arial"/>
          <w:sz w:val="13"/>
          <w:szCs w:val="13"/>
          <w:color w:val="auto"/>
        </w:rPr>
        <w:t>Since our founding, we have endeavored to</w:t>
      </w:r>
      <w:r>
        <w:rPr>
          <w:rFonts w:ascii="Arial" w:cs="Arial" w:eastAsia="Arial" w:hAnsi="Arial"/>
          <w:sz w:val="13"/>
          <w:szCs w:val="13"/>
          <w:b w:val="1"/>
          <w:bCs w:val="1"/>
          <w:color w:val="auto"/>
        </w:rPr>
        <w:t xml:space="preserve"> </w:t>
      </w:r>
      <w:r>
        <w:rPr>
          <w:rFonts w:ascii="Arial" w:cs="Arial" w:eastAsia="Arial" w:hAnsi="Arial"/>
          <w:sz w:val="13"/>
          <w:szCs w:val="13"/>
          <w:color w:val="auto"/>
        </w:rPr>
        <w:t>advance the understanding of fibrosis biology, uncover new targets and advance novel product candidates. Currently, our proprietary capabilities include a target expression atlas, an expansive library of over 10,000 integrin binding molecules, an integrin screening assay platform, a live fibrotic human tissue program, a PET-ligand imaging program and biomarker assays. We continue to expand our integrin inhibitor library and develop tools such as additional PET-ligands as well as novel disease biomarkers. In addition, we have a library of over 70,000 compounds for non-integrin targets. We intend to leverage these tools and capabilities in a target- and modality-agnostic manner to expand our pipeline with a mission to become a world-leading fibrosis company.</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98" w:lineRule="exact"/>
        <w:rPr>
          <w:sz w:val="20"/>
          <w:szCs w:val="20"/>
          <w:color w:val="auto"/>
        </w:rPr>
      </w:pPr>
    </w:p>
    <w:p>
      <w:pPr>
        <w:ind w:right="40" w:firstLine="764"/>
        <w:spacing w:after="0" w:line="280" w:lineRule="auto"/>
        <w:rPr>
          <w:sz w:val="20"/>
          <w:szCs w:val="20"/>
          <w:color w:val="auto"/>
        </w:rPr>
      </w:pPr>
      <w:r>
        <w:rPr>
          <w:rFonts w:ascii="Arial" w:cs="Arial" w:eastAsia="Arial" w:hAnsi="Arial"/>
          <w:sz w:val="13"/>
          <w:szCs w:val="13"/>
          <w:color w:val="231F20"/>
        </w:rPr>
        <w:t>The biotechnology and biopharmaceutical industries are characterized by rapidly advancing technologies, strong competition and an emphasis on proprietary products. While we believe that our technology, knowledge, experience and scientific personnel provide us with competitive advantages, we face substantial competition from many different sources, including larger pharmaceutical companies with greater resources. Smaller specialty biotechnology and biopharmaceutical companies, academic research institutions, governmental agencies, as well as public and private institutions are also potential sources of competitive products and technologies, including through collaborative arrangements with large and established biopharmaceutical companies. We also face competition in recruiting and retaining qualified scientific and management personnel, establishing clinical trial sites and enrolling patients for clinical trials, and acquiring technologies complementary to, or necessary for, our programs. We believe that the key competitive factors affecting the success of any of our product candidates will include efficacy, safety profile, convenience, method of administration, cost, level of promotional activity and intellectual property protection.</w:t>
      </w:r>
    </w:p>
    <w:p>
      <w:pPr>
        <w:spacing w:after="0" w:line="52" w:lineRule="exact"/>
        <w:rPr>
          <w:sz w:val="20"/>
          <w:szCs w:val="20"/>
          <w:color w:val="auto"/>
        </w:rPr>
      </w:pPr>
    </w:p>
    <w:p>
      <w:pPr>
        <w:ind w:right="140" w:firstLine="764"/>
        <w:spacing w:after="0" w:line="322" w:lineRule="auto"/>
        <w:rPr>
          <w:sz w:val="20"/>
          <w:szCs w:val="20"/>
          <w:color w:val="auto"/>
        </w:rPr>
      </w:pPr>
      <w:r>
        <w:rPr>
          <w:rFonts w:ascii="Arial" w:cs="Arial" w:eastAsia="Arial" w:hAnsi="Arial"/>
          <w:sz w:val="12"/>
          <w:szCs w:val="12"/>
          <w:color w:val="auto"/>
        </w:rPr>
        <w:t>There are a number of biopharmaceutical and biotechnology companies that are currently pursuing the development of products for the treatment of fibrosis. Companies that we are aware of that are targeting the treatment of various fibrosis indications through inhibiting various parts of the TGF-β pathway include companies with significant financial resources such as AbbVie</w:t>
      </w:r>
    </w:p>
    <w:p>
      <w:pPr>
        <w:spacing w:after="0" w:line="1" w:lineRule="exact"/>
        <w:rPr>
          <w:sz w:val="20"/>
          <w:szCs w:val="20"/>
          <w:color w:val="auto"/>
        </w:rPr>
      </w:pPr>
    </w:p>
    <w:p>
      <w:pPr>
        <w:ind w:right="220"/>
        <w:spacing w:after="0" w:line="297" w:lineRule="auto"/>
        <w:rPr>
          <w:sz w:val="20"/>
          <w:szCs w:val="20"/>
          <w:color w:val="auto"/>
        </w:rPr>
      </w:pPr>
      <w:r>
        <w:rPr>
          <w:rFonts w:ascii="Arial" w:cs="Arial" w:eastAsia="Arial" w:hAnsi="Arial"/>
          <w:sz w:val="14"/>
          <w:szCs w:val="14"/>
          <w:color w:val="auto"/>
        </w:rPr>
        <w:t>Inc., AstraZeneca plc, Bristol Myers Squibb Co., Corbus Pharmaceutical, DiCE Therapeutics, Inc., FibroGen, Inc., Merck &amp; Co., Inc., Morphic Therapeutics, Inc., Novartis AG, Scholar Rock and Takeda Pharmaceutical Company.</w:t>
      </w:r>
    </w:p>
    <w:p>
      <w:pPr>
        <w:spacing w:after="0" w:line="37" w:lineRule="exact"/>
        <w:rPr>
          <w:sz w:val="20"/>
          <w:szCs w:val="20"/>
          <w:color w:val="auto"/>
        </w:rPr>
      </w:pPr>
    </w:p>
    <w:p>
      <w:pPr>
        <w:ind w:right="480" w:firstLine="764"/>
        <w:spacing w:after="0" w:line="267" w:lineRule="auto"/>
        <w:rPr>
          <w:sz w:val="20"/>
          <w:szCs w:val="20"/>
          <w:color w:val="auto"/>
        </w:rPr>
      </w:pPr>
      <w:r>
        <w:rPr>
          <w:rFonts w:ascii="Arial" w:cs="Arial" w:eastAsia="Arial" w:hAnsi="Arial"/>
          <w:sz w:val="14"/>
          <w:szCs w:val="14"/>
          <w:color w:val="231F20"/>
        </w:rPr>
        <w:t>Boehringer Ingelheim's PDE4B inhibitor (BI 1015550), FibroGen Inc.'s monoclonal antibody against connective tissue growth factor (pamrevlumab) and United Therapeutics' prostacyclin vasodilator (treprostinil) are the most advanced development candidates for the treatment of IPF. Roche Holding AG recently discontinued its Phase 3 trial of recombinant human pentraxin-2 monoclonal antibody.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40" w:firstLine="764"/>
        <w:spacing w:after="0" w:line="267" w:lineRule="auto"/>
        <w:rPr>
          <w:sz w:val="20"/>
          <w:szCs w:val="20"/>
          <w:color w:val="auto"/>
        </w:rPr>
      </w:pPr>
      <w:r>
        <w:rPr>
          <w:rFonts w:ascii="Arial" w:cs="Arial" w:eastAsia="Arial" w:hAnsi="Arial"/>
          <w:sz w:val="14"/>
          <w:szCs w:val="14"/>
          <w:color w:val="231F20"/>
        </w:rPr>
        <w:t>Although our novel approach is unique from most other existing or investigational therapies across the disease areas where we are focusing our development, we will need to compete with currently approved therapies, and potentially those in currently in development if they are approved. We are aware of several marketed and investigational products in our leading disease areas, including but not limited to:</w:t>
      </w:r>
    </w:p>
    <w:p>
      <w:pPr>
        <w:spacing w:after="0" w:line="57" w:lineRule="exact"/>
        <w:rPr>
          <w:sz w:val="20"/>
          <w:szCs w:val="20"/>
          <w:color w:val="auto"/>
        </w:rPr>
      </w:pPr>
    </w:p>
    <w:p>
      <w:pPr>
        <w:ind w:left="1800" w:right="40" w:hanging="899"/>
        <w:spacing w:after="0" w:line="297" w:lineRule="auto"/>
        <w:tabs>
          <w:tab w:leader="none" w:pos="1796"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IPF</w:t>
      </w:r>
      <w:r>
        <w:rPr>
          <w:rFonts w:ascii="Arial" w:cs="Arial" w:eastAsia="Arial" w:hAnsi="Arial"/>
          <w:sz w:val="13"/>
          <w:szCs w:val="13"/>
          <w:color w:val="auto"/>
        </w:rPr>
        <w:t>: There are currently two approved products for the treatment of IPF; Esbriet, marketed by Roche Holding AG, and Ofev, marketed by Boehringer Ingelheim</w:t>
      </w:r>
      <w:r>
        <w:rPr>
          <w:rFonts w:ascii="Arial" w:cs="Arial" w:eastAsia="Arial" w:hAnsi="Arial"/>
          <w:sz w:val="13"/>
          <w:szCs w:val="13"/>
          <w:i w:val="1"/>
          <w:iCs w:val="1"/>
          <w:color w:val="auto"/>
        </w:rPr>
        <w:t xml:space="preserve"> </w:t>
      </w:r>
      <w:r>
        <w:rPr>
          <w:rFonts w:ascii="Arial" w:cs="Arial" w:eastAsia="Arial" w:hAnsi="Arial"/>
          <w:sz w:val="13"/>
          <w:szCs w:val="13"/>
          <w:color w:val="auto"/>
        </w:rPr>
        <w:t>GmbH. Companies currently developing product candidates in IPF include Boehringer Ingelheim Pharmaceuticals, Inc., FibroGen Inc., Galecto Biotech, Inc., Amgen Inc., Bristol Myers Squibb Co., United Therapeutics Corporation, Vicore Pharma Holding, CSL Behring, and Endeavor BioMedicines, Inc.</w:t>
      </w:r>
    </w:p>
    <w:p>
      <w:pPr>
        <w:spacing w:after="0" w:line="39" w:lineRule="exact"/>
        <w:rPr>
          <w:rFonts w:ascii="Arial" w:cs="Arial" w:eastAsia="Arial" w:hAnsi="Arial"/>
          <w:sz w:val="13"/>
          <w:szCs w:val="13"/>
          <w:color w:val="auto"/>
        </w:rPr>
      </w:pPr>
    </w:p>
    <w:p>
      <w:pPr>
        <w:ind w:left="1800" w:hanging="899"/>
        <w:spacing w:after="0" w:line="281" w:lineRule="auto"/>
        <w:tabs>
          <w:tab w:leader="none" w:pos="1796"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PSC</w:t>
      </w:r>
      <w:r>
        <w:rPr>
          <w:rFonts w:ascii="Arial" w:cs="Arial" w:eastAsia="Arial" w:hAnsi="Arial"/>
          <w:sz w:val="14"/>
          <w:szCs w:val="14"/>
          <w:color w:val="auto"/>
        </w:rPr>
        <w:t>: There are currently no approved therapies for the treatment of PSC. Companies currently developing product candidates in PSC include Dr. Falk Pharma GmbH,</w:t>
      </w:r>
      <w:r>
        <w:rPr>
          <w:rFonts w:ascii="Arial" w:cs="Arial" w:eastAsia="Arial" w:hAnsi="Arial"/>
          <w:sz w:val="14"/>
          <w:szCs w:val="14"/>
          <w:i w:val="1"/>
          <w:iCs w:val="1"/>
          <w:color w:val="auto"/>
        </w:rPr>
        <w:t xml:space="preserve"> </w:t>
      </w:r>
      <w:r>
        <w:rPr>
          <w:rFonts w:ascii="Arial" w:cs="Arial" w:eastAsia="Arial" w:hAnsi="Arial"/>
          <w:sz w:val="14"/>
          <w:szCs w:val="14"/>
          <w:color w:val="auto"/>
        </w:rPr>
        <w:t>Mirum Pharmaceuticals, Inc., Chemomab Therapeutics Ltd., HighTide Therapeutics Inc., and Escient Pharmaceuticals, Inc.</w:t>
      </w:r>
    </w:p>
    <w:p>
      <w:pPr>
        <w:spacing w:after="0" w:line="47" w:lineRule="exact"/>
        <w:rPr>
          <w:rFonts w:ascii="Arial" w:cs="Arial" w:eastAsia="Arial" w:hAnsi="Arial"/>
          <w:sz w:val="14"/>
          <w:szCs w:val="14"/>
          <w:color w:val="auto"/>
        </w:rPr>
      </w:pPr>
    </w:p>
    <w:p>
      <w:pPr>
        <w:ind w:left="1800" w:right="40" w:hanging="899"/>
        <w:spacing w:after="0" w:line="279" w:lineRule="auto"/>
        <w:tabs>
          <w:tab w:leader="none" w:pos="1796"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NASH</w:t>
      </w:r>
      <w:r>
        <w:rPr>
          <w:rFonts w:ascii="Arial" w:cs="Arial" w:eastAsia="Arial" w:hAnsi="Arial"/>
          <w:sz w:val="13"/>
          <w:szCs w:val="13"/>
          <w:color w:val="auto"/>
        </w:rPr>
        <w:t>: There are currently no FDA-approved therapies for the treatment of NASH. There are a number of companies developing product candidates for the treatment</w:t>
      </w:r>
      <w:r>
        <w:rPr>
          <w:rFonts w:ascii="Arial" w:cs="Arial" w:eastAsia="Arial" w:hAnsi="Arial"/>
          <w:sz w:val="13"/>
          <w:szCs w:val="13"/>
          <w:i w:val="1"/>
          <w:iCs w:val="1"/>
          <w:color w:val="auto"/>
        </w:rPr>
        <w:t xml:space="preserve"> </w:t>
      </w:r>
      <w:r>
        <w:rPr>
          <w:rFonts w:ascii="Arial" w:cs="Arial" w:eastAsia="Arial" w:hAnsi="Arial"/>
          <w:sz w:val="13"/>
          <w:szCs w:val="13"/>
          <w:color w:val="auto"/>
        </w:rPr>
        <w:t>of NASH including 89bio, Inc., AbbVie Inc., Akero Therapeutics, Inc., Amgen Inc., AstraZeneca plc, Boehringer Ingelheim, Bristol Myers Squibb Co., Cascade Pharmaceuticals, Inc., Cirius Therapeutics, Inc., Dr. Falk Pharma GmbH, Eli Lilly &amp; Company, Enanta Pharmaceuticals, Inc., Gannex Pharma Co., Ltd., Galectin Therapeutics Inc., Gilead Sciences, Inc., Genfit SA, Genentech, Inc., GlaxoSmithKline plc, Intercept Pharmaceuticals, Inc., Inventiva Pharma, Ionis Pharmaceuticals, Inc., Johnson &amp; Johnson, Madrigal Pharmaceuticals, Inc., Merck &amp; Co., Inc., Metacrine, Inc., NGM Biopharmaceuticals, Inc., NorthSea Therapeutics B.V., Novo Nordisk, Pfizer Inc., Roche Holding AG, Regeneron Pharmaceuticals, Inc., Sanofi S.A., Takeda Pharmaceutical Company, Terns Pharmaceuticals, Inc., Viking Therapeutics, Inc. and Zydus Therapeutics Inc. Most of the drugs currently in development for NASH are focused on decreasing liver fat or improving liver inflammation as opposed to direct liver anti-fibrotic approaches.</w:t>
      </w:r>
    </w:p>
    <w:p>
      <w:pPr>
        <w:spacing w:after="0" w:line="53" w:lineRule="exact"/>
        <w:rPr>
          <w:sz w:val="20"/>
          <w:szCs w:val="20"/>
          <w:color w:val="auto"/>
        </w:rPr>
      </w:pPr>
    </w:p>
    <w:p>
      <w:pPr>
        <w:jc w:val="both"/>
        <w:ind w:right="40" w:firstLine="764"/>
        <w:spacing w:after="0" w:line="267" w:lineRule="auto"/>
        <w:rPr>
          <w:sz w:val="20"/>
          <w:szCs w:val="20"/>
          <w:color w:val="auto"/>
        </w:rPr>
      </w:pPr>
      <w:r>
        <w:rPr>
          <w:rFonts w:ascii="Arial" w:cs="Arial" w:eastAsia="Arial" w:hAnsi="Arial"/>
          <w:sz w:val="14"/>
          <w:szCs w:val="14"/>
          <w:color w:val="231F20"/>
        </w:rPr>
        <w:t>The availability of reimbursement from government and other third-party payors will also significantly affect the pricing and competitiveness of our product candidates, if approved for marketing. Our competitors also may obtain FDA or other regulatory approval for their products more rapidly than we do, which could result in our competitors establishing a strong market position before we are able to enter the market.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47" w:lineRule="exact"/>
        <w:rPr>
          <w:sz w:val="20"/>
          <w:szCs w:val="20"/>
          <w:color w:val="auto"/>
        </w:rPr>
      </w:pPr>
    </w:p>
    <w:p>
      <w:pPr>
        <w:ind w:right="80" w:firstLine="509"/>
        <w:spacing w:after="0" w:line="288" w:lineRule="auto"/>
        <w:rPr>
          <w:sz w:val="20"/>
          <w:szCs w:val="20"/>
          <w:color w:val="auto"/>
        </w:rPr>
      </w:pPr>
      <w:r>
        <w:rPr>
          <w:rFonts w:ascii="Arial" w:cs="Arial" w:eastAsia="Arial" w:hAnsi="Arial"/>
          <w:sz w:val="13"/>
          <w:szCs w:val="13"/>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also rely on trade secrets relating to our proprietary technology platform and on know-how, continuing technological innovation and in-licensing opportunities to develop, strengthen, and maintain our proprietary position in the field of fibrosis that may be important for the development of our business. We additionally may rely on regulatory protection afforded through data exclusivity, market exclusivity, and patent term extensions, where available.</w:t>
      </w:r>
    </w:p>
    <w:p>
      <w:pPr>
        <w:spacing w:after="0" w:line="110" w:lineRule="exact"/>
        <w:rPr>
          <w:sz w:val="20"/>
          <w:szCs w:val="20"/>
          <w:color w:val="auto"/>
        </w:rPr>
      </w:pPr>
    </w:p>
    <w:p>
      <w:pPr>
        <w:ind w:firstLine="509"/>
        <w:spacing w:after="0" w:line="309" w:lineRule="auto"/>
        <w:rPr>
          <w:sz w:val="20"/>
          <w:szCs w:val="20"/>
          <w:color w:val="auto"/>
        </w:rPr>
      </w:pPr>
      <w:r>
        <w:rPr>
          <w:rFonts w:ascii="Arial" w:cs="Arial" w:eastAsia="Arial" w:hAnsi="Arial"/>
          <w:sz w:val="12"/>
          <w:szCs w:val="12"/>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stop third parties from making, using, selling, offering to sell, or importing our products may depend on the extent to which we have rights under valid and enforceable licenses, patents, or trade secrets that cover these activities. In some cases, enforcement of these rights may depend on third 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As of March 5, 2023, we own, co-own or license over 250 pending patent applications worldwide in over 26 patent families, including United States and corresponding foreign patent applications. As of March 5, 2023, nine U.S. patents and four foreign patents have been issued or allowed. Our patents and any patents that may issue from our pending patent applications are generally expected to expire between the years 2037 to 2044, subject to possible patent term adjustment and/or extension. Our policy is to file patent applications to protect technology, inventions and improvements to inventions that are commercially important to the development of our business. We seek United States and foreign patent protection for a variety of technologies, including, research compounds and methods, candidate compounds and antibodies for modulating the activity of integrins, methods for treating diseases of interest, and methods for manufacturing our products. We also intend to seek patent protection or rely upon trade secret rights to protect other technologies that may be used to discover and validate targets and that may be used to identify and develop novel products. We seek protection, in part, through confidentiality and proprietary information agreements. We are a party to various other license agreements that give us rights to use specific technologies in our research and development.</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Company Owned IP</w:t>
      </w:r>
    </w:p>
    <w:p>
      <w:pPr>
        <w:spacing w:after="0" w:line="147"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We own multiple families of patent applications that are directed to small-molecule compositions capable of modulating integrins and methods for treating or preventing diseases associated with integrins. Certain applications in these families relate to our bexotegrast and PLN-1474 small-molecule product candidates, backup compounds and structural analogs, various unit dosages, dosing regimens, and routes of administration. We are also pursuing innovative ways to modulate integrin function using antibodies and have 36 pending patent applications to that technology in the United States and foreign jurisdictions. Patents that may issue from these company owned applications are generally expected to expire between the years 2040 to 2043, subject to possible patent term adjustment and/or extension.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Trademark Protection</w:t>
      </w:r>
    </w:p>
    <w:p>
      <w:pPr>
        <w:spacing w:after="0" w:line="157" w:lineRule="exact"/>
        <w:rPr>
          <w:sz w:val="20"/>
          <w:szCs w:val="20"/>
          <w:color w:val="auto"/>
        </w:rPr>
      </w:pPr>
    </w:p>
    <w:p>
      <w:pPr>
        <w:ind w:right="1560" w:firstLine="509"/>
        <w:spacing w:after="0" w:line="458" w:lineRule="auto"/>
        <w:rPr>
          <w:sz w:val="20"/>
          <w:szCs w:val="20"/>
          <w:color w:val="auto"/>
        </w:rPr>
      </w:pPr>
      <w:r>
        <w:rPr>
          <w:rFonts w:ascii="Arial" w:cs="Arial" w:eastAsia="Arial" w:hAnsi="Arial"/>
          <w:sz w:val="14"/>
          <w:szCs w:val="14"/>
          <w:color w:val="auto"/>
        </w:rPr>
        <w:t xml:space="preserve">We have two registered U.S. trademarks for use in connection with our products. We may pursue additional registrations for future products in markets of interest. </w:t>
      </w:r>
      <w:r>
        <w:rPr>
          <w:rFonts w:ascii="Arial" w:cs="Arial" w:eastAsia="Arial" w:hAnsi="Arial"/>
          <w:sz w:val="14"/>
          <w:szCs w:val="14"/>
          <w:b w:val="1"/>
          <w:bCs w:val="1"/>
          <w:i w:val="1"/>
          <w:iCs w:val="1"/>
          <w:color w:val="auto"/>
        </w:rPr>
        <w:t>Trade Secret Protection</w:t>
      </w:r>
    </w:p>
    <w:p>
      <w:pPr>
        <w:spacing w:after="0" w:line="1" w:lineRule="exact"/>
        <w:rPr>
          <w:sz w:val="20"/>
          <w:szCs w:val="20"/>
          <w:color w:val="auto"/>
        </w:rPr>
      </w:pPr>
    </w:p>
    <w:p>
      <w:pPr>
        <w:ind w:right="420" w:firstLine="509"/>
        <w:spacing w:after="0" w:line="267" w:lineRule="auto"/>
        <w:rPr>
          <w:sz w:val="20"/>
          <w:szCs w:val="20"/>
          <w:color w:val="auto"/>
        </w:rPr>
      </w:pPr>
      <w:r>
        <w:rPr>
          <w:rFonts w:ascii="Arial" w:cs="Arial" w:eastAsia="Arial" w:hAnsi="Arial"/>
          <w:sz w:val="14"/>
          <w:szCs w:val="14"/>
          <w:color w:val="auto"/>
        </w:rPr>
        <w:t>We may rely, in some circumstances, on trade secrets to protect our technology.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20"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In addition to the above, we have established expertise and development capabilities focused in the areas of preclinical research and development, manufacturing and manufacturing process development, quality control, quality assurance, regulatory affairs, and clinical trial design and implementation. We believe that our focus and expertise will help us develop products based on our proprietary intellectual property.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License Agreements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Novartis Collaboration and License Agreement</w:t>
      </w:r>
    </w:p>
    <w:p>
      <w:pPr>
        <w:spacing w:after="0" w:line="157" w:lineRule="exact"/>
        <w:rPr>
          <w:sz w:val="20"/>
          <w:szCs w:val="20"/>
          <w:color w:val="auto"/>
        </w:rPr>
      </w:pPr>
    </w:p>
    <w:p>
      <w:pPr>
        <w:ind w:right="40" w:firstLine="509"/>
        <w:spacing w:after="0" w:line="288" w:lineRule="auto"/>
        <w:rPr>
          <w:sz w:val="20"/>
          <w:szCs w:val="20"/>
          <w:color w:val="auto"/>
        </w:rPr>
      </w:pPr>
      <w:r>
        <w:rPr>
          <w:rFonts w:ascii="Arial" w:cs="Arial" w:eastAsia="Arial" w:hAnsi="Arial"/>
          <w:sz w:val="13"/>
          <w:szCs w:val="13"/>
          <w:color w:val="auto"/>
        </w:rPr>
        <w:t>In October 2019, we entered into a collaboration and license agreement, or the Novartis Agreement, with Novartis Institutes for Biomedical Research, Inc., or Novartis, for the research, development, and commercialization of PLN-1474. Pursuant to the terms of the Novartis Agreement, t</w:t>
      </w:r>
      <w:r>
        <w:rPr>
          <w:rFonts w:ascii="Arial" w:cs="Arial" w:eastAsia="Arial" w:hAnsi="Arial"/>
          <w:sz w:val="13"/>
          <w:szCs w:val="13"/>
          <w:color w:val="231F20"/>
        </w:rPr>
        <w:t>he PLN-1474 IND was transferred to Novartis in the first quarter of 2021 following completion</w:t>
      </w:r>
      <w:r>
        <w:rPr>
          <w:rFonts w:ascii="Arial" w:cs="Arial" w:eastAsia="Arial" w:hAnsi="Arial"/>
          <w:sz w:val="13"/>
          <w:szCs w:val="13"/>
          <w:color w:val="auto"/>
        </w:rPr>
        <w:t xml:space="preserve"> </w:t>
      </w:r>
      <w:r>
        <w:rPr>
          <w:rFonts w:ascii="Arial" w:cs="Arial" w:eastAsia="Arial" w:hAnsi="Arial"/>
          <w:sz w:val="13"/>
          <w:szCs w:val="13"/>
          <w:color w:val="231F20"/>
        </w:rPr>
        <w:t xml:space="preserve">of </w:t>
      </w:r>
      <w:r>
        <w:rPr>
          <w:rFonts w:ascii="Arial" w:cs="Arial" w:eastAsia="Arial" w:hAnsi="Arial"/>
          <w:sz w:val="13"/>
          <w:szCs w:val="13"/>
          <w:color w:val="000000"/>
        </w:rPr>
        <w:t>our first-in-human Phase 1 clinical trial. Upon transfer of the IND, Novartis assumed responsibility for all future development, manufacturing, and commercialization</w:t>
      </w:r>
      <w:r>
        <w:rPr>
          <w:rFonts w:ascii="Arial" w:cs="Arial" w:eastAsia="Arial" w:hAnsi="Arial"/>
          <w:sz w:val="13"/>
          <w:szCs w:val="13"/>
          <w:color w:val="231F20"/>
        </w:rPr>
        <w:t xml:space="preserve"> and we earned research and development services revenues in performing certain activities outlined in the Novartis Agreement. All such services were substantially complete as of December 31, 2022.</w:t>
      </w:r>
    </w:p>
    <w:p>
      <w:pPr>
        <w:spacing w:after="0" w:line="99"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In addition, the Novartis Agreement provided for an early research program for up to three additional integrin targets, or the Research Targets. The research term, as amended in 2022, concludes in the first quarter of 2023. During the research term, we collaborate with Novartis to biologically validate certain potential Research Targets and identify and synthesize potential research compounds for each Research Target in accordance with the applicable research plan. In the second quarter of 2022 we validated one of the Research Targets and began synthesizing potential research compounds.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60" w:firstLine="509"/>
        <w:spacing w:after="0" w:line="368" w:lineRule="auto"/>
        <w:rPr>
          <w:sz w:val="20"/>
          <w:szCs w:val="20"/>
          <w:color w:val="auto"/>
        </w:rPr>
      </w:pPr>
      <w:r>
        <w:rPr>
          <w:rFonts w:ascii="Arial" w:cs="Arial" w:eastAsia="Arial" w:hAnsi="Arial"/>
          <w:sz w:val="12"/>
          <w:szCs w:val="12"/>
          <w:color w:val="auto"/>
        </w:rPr>
        <w:t>As part of a broad strategic realignment, Novartis has discontinued clinical development in NASH and, as a result, discontinued development of PLN-1474. In February 2023, Novartis issued a termination notice for the collaboration and license agreement, and returned global rights to Pliant for PLN-1474 as well as the early research targets and associated compounds.</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4"/>
          <w:szCs w:val="14"/>
          <w:color w:val="231F20"/>
        </w:rPr>
        <w:t xml:space="preserve">Please refer to Note 8 to our financial statements appearing elsewhere </w:t>
      </w:r>
      <w:r>
        <w:rPr>
          <w:rFonts w:ascii="Arial" w:cs="Arial" w:eastAsia="Arial" w:hAnsi="Arial"/>
          <w:sz w:val="14"/>
          <w:szCs w:val="14"/>
          <w:color w:val="000000"/>
        </w:rPr>
        <w:t>in this Annual Report for further information about the license and collaboration.</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w:t>
      </w:r>
    </w:p>
    <w:p>
      <w:pPr>
        <w:spacing w:after="0" w:line="151" w:lineRule="exact"/>
        <w:rPr>
          <w:sz w:val="20"/>
          <w:szCs w:val="20"/>
          <w:color w:val="auto"/>
        </w:rPr>
      </w:pPr>
    </w:p>
    <w:p>
      <w:pPr>
        <w:jc w:val="both"/>
        <w:ind w:right="80" w:firstLine="509"/>
        <w:spacing w:after="0" w:line="331" w:lineRule="auto"/>
        <w:rPr>
          <w:sz w:val="20"/>
          <w:szCs w:val="20"/>
          <w:color w:val="auto"/>
        </w:rPr>
      </w:pPr>
      <w:r>
        <w:rPr>
          <w:rFonts w:ascii="Arial" w:cs="Arial" w:eastAsia="Arial" w:hAnsi="Arial"/>
          <w:sz w:val="12"/>
          <w:szCs w:val="12"/>
          <w:color w:val="auto"/>
        </w:rPr>
        <w:t>Our product candidates, bexotegrast and PLN-1474, are small molecule inhibitors amenable to standard formulation technologies. We have confirmed the utility of the synthetic process and manufactured multi-kilogram quantities sufficient to provide drug product for our clinical trials. The manufacturing process of the drug substance for such product candidates is robust and accessed from readily available starting materials. The synthetic route is amenable to large-scale production and does not require unusual equipment or handling during the manufacturing process.</w:t>
      </w:r>
    </w:p>
    <w:p>
      <w:pPr>
        <w:spacing w:after="0" w:line="87" w:lineRule="exact"/>
        <w:rPr>
          <w:sz w:val="20"/>
          <w:szCs w:val="20"/>
          <w:color w:val="auto"/>
        </w:rPr>
      </w:pPr>
    </w:p>
    <w:p>
      <w:pPr>
        <w:ind w:right="100" w:firstLine="509"/>
        <w:spacing w:after="0" w:line="297" w:lineRule="auto"/>
        <w:rPr>
          <w:sz w:val="20"/>
          <w:szCs w:val="20"/>
          <w:color w:val="auto"/>
        </w:rPr>
      </w:pPr>
      <w:r>
        <w:rPr>
          <w:rFonts w:ascii="Arial" w:cs="Arial" w:eastAsia="Arial" w:hAnsi="Arial"/>
          <w:sz w:val="13"/>
          <w:szCs w:val="13"/>
          <w:color w:val="auto"/>
        </w:rPr>
        <w:t>We do not own or operate facilities for clinical drug manufacturing, storage, distribution, or quality testing. All of our clinical manufacturing is outsourced to third-party manufacturers. Our agreements with third-party manufacturers include confidentiality and intellectual property provisions as well as routine quality audits. We also rely on internal personnel with extensive cGMP manufacturing experience in order to ensure effective technology transfer and to manage the manufacturing and development processes conducted by third-party manufacturers.</w:t>
      </w:r>
    </w:p>
    <w:p>
      <w:pPr>
        <w:spacing w:after="0" w:line="92" w:lineRule="exact"/>
        <w:rPr>
          <w:sz w:val="20"/>
          <w:szCs w:val="20"/>
          <w:color w:val="auto"/>
        </w:rPr>
      </w:pPr>
    </w:p>
    <w:p>
      <w:pPr>
        <w:ind w:right="300" w:firstLine="509"/>
        <w:spacing w:after="0" w:line="281" w:lineRule="auto"/>
        <w:rPr>
          <w:sz w:val="20"/>
          <w:szCs w:val="20"/>
          <w:color w:val="auto"/>
        </w:rPr>
      </w:pPr>
      <w:r>
        <w:rPr>
          <w:rFonts w:ascii="Arial" w:cs="Arial" w:eastAsia="Arial" w:hAnsi="Arial"/>
          <w:sz w:val="14"/>
          <w:szCs w:val="14"/>
          <w:color w:val="auto"/>
        </w:rPr>
        <w:t>We have established an adequate supply of the drug substance for bexotegrast from our Asian contract manufacturing organizations, or CMOs, to satisfy both our clinical and preclinical requirements and have evaluated additional suppliers in North America and Europe to mitigate supply chain risk and maximize flexibility.</w:t>
      </w:r>
    </w:p>
    <w:p>
      <w:pPr>
        <w:spacing w:after="0" w:line="100"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As our development programs expand and we build new process efficiencies, we expect to continually evaluate this strategy with the objective of satisfying demand for our clinical trials and, if approved, the manufacture, sale, and distribution of commercial products.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51" w:lineRule="exact"/>
        <w:rPr>
          <w:sz w:val="20"/>
          <w:szCs w:val="20"/>
          <w:color w:val="auto"/>
        </w:rPr>
      </w:pPr>
    </w:p>
    <w:p>
      <w:pPr>
        <w:ind w:right="140" w:firstLine="509"/>
        <w:spacing w:after="0" w:line="262" w:lineRule="auto"/>
        <w:rPr>
          <w:sz w:val="20"/>
          <w:szCs w:val="20"/>
          <w:color w:val="auto"/>
        </w:rPr>
      </w:pPr>
      <w:r>
        <w:rPr>
          <w:rFonts w:ascii="Arial" w:cs="Arial" w:eastAsia="Arial" w:hAnsi="Arial"/>
          <w:sz w:val="14"/>
          <w:szCs w:val="14"/>
          <w:color w:val="auto"/>
        </w:rPr>
        <w:t>The FDA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government regulation of drug products</w:t>
      </w:r>
    </w:p>
    <w:p>
      <w:pPr>
        <w:spacing w:after="0" w:line="157" w:lineRule="exact"/>
        <w:rPr>
          <w:sz w:val="20"/>
          <w:szCs w:val="20"/>
          <w:color w:val="auto"/>
        </w:rPr>
      </w:pPr>
    </w:p>
    <w:p>
      <w:pPr>
        <w:ind w:right="300" w:firstLine="509"/>
        <w:spacing w:after="0" w:line="280" w:lineRule="auto"/>
        <w:rPr>
          <w:sz w:val="20"/>
          <w:szCs w:val="20"/>
          <w:color w:val="auto"/>
        </w:rPr>
      </w:pPr>
      <w:r>
        <w:rPr>
          <w:rFonts w:ascii="Arial" w:cs="Arial" w:eastAsia="Arial" w:hAnsi="Arial"/>
          <w:sz w:val="13"/>
          <w:szCs w:val="13"/>
          <w:color w:val="auto"/>
        </w:rPr>
        <w:t>In the United States, the FDA regulates drugs under the Federal Food, Drug, and Cosmetic Act, or FDCA, and its implementing regulations. The FDA also regulates biological products under the FDCA and the Public Health Service Act, or PHSA. If we advance clinical development of a biological product candidate in the future, these development activities will be subject to additional regulatory requirements specific to biological products.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New Drug Applications, or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process required by the FDA before a drug may be marketed in the United States generally involves the following:</w:t>
      </w:r>
    </w:p>
    <w:p>
      <w:pPr>
        <w:spacing w:after="0" w:line="147" w:lineRule="exact"/>
        <w:rPr>
          <w:sz w:val="20"/>
          <w:szCs w:val="20"/>
          <w:color w:val="auto"/>
        </w:rPr>
      </w:pPr>
    </w:p>
    <w:p>
      <w:pPr>
        <w:ind w:left="1020" w:hanging="506"/>
        <w:spacing w:after="0"/>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Completion of preclinical laboratory tests, animal studies and formulation studies in compliance with the FDA’s good laboratory practice, or GLP, regulations;</w:t>
      </w:r>
    </w:p>
    <w:p>
      <w:pPr>
        <w:spacing w:after="0" w:line="157" w:lineRule="exact"/>
        <w:rPr>
          <w:rFonts w:ascii="Arial" w:cs="Arial" w:eastAsia="Arial" w:hAnsi="Arial"/>
          <w:sz w:val="14"/>
          <w:szCs w:val="14"/>
          <w:color w:val="auto"/>
        </w:rPr>
      </w:pPr>
    </w:p>
    <w:p>
      <w:pPr>
        <w:ind w:left="1020" w:hanging="506"/>
        <w:spacing w:after="0"/>
        <w:tabs>
          <w:tab w:leader="none" w:pos="1020" w:val="left"/>
        </w:tabs>
        <w:numPr>
          <w:ilvl w:val="0"/>
          <w:numId w:val="9"/>
        </w:numPr>
        <w:rPr>
          <w:rFonts w:ascii="Arial" w:cs="Arial" w:eastAsia="Arial" w:hAnsi="Arial"/>
          <w:sz w:val="14"/>
          <w:szCs w:val="14"/>
          <w:color w:val="auto"/>
        </w:rPr>
      </w:pPr>
      <w:r>
        <w:rPr>
          <w:rFonts w:ascii="Arial" w:cs="Arial" w:eastAsia="Arial" w:hAnsi="Arial"/>
          <w:sz w:val="14"/>
          <w:szCs w:val="14"/>
          <w:color w:val="auto"/>
        </w:rPr>
        <w:t>Submission to the FDA of an investigational new drug application, or IND, which must become effective before human clinical trials may begin;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20" w:hanging="506"/>
        <w:spacing w:after="0"/>
        <w:tabs>
          <w:tab w:leader="none" w:pos="10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Approval by an independent institutional review board, or IRB, at each clinical site before each trial may be initiated;</w:t>
      </w:r>
    </w:p>
    <w:p>
      <w:pPr>
        <w:spacing w:after="0" w:line="157" w:lineRule="exact"/>
        <w:rPr>
          <w:rFonts w:ascii="Arial" w:cs="Arial" w:eastAsia="Arial" w:hAnsi="Arial"/>
          <w:sz w:val="14"/>
          <w:szCs w:val="14"/>
          <w:color w:val="auto"/>
        </w:rPr>
      </w:pPr>
    </w:p>
    <w:p>
      <w:pPr>
        <w:ind w:left="1020" w:right="500" w:hanging="506"/>
        <w:spacing w:after="0" w:line="281" w:lineRule="auto"/>
        <w:tabs>
          <w:tab w:leader="none" w:pos="10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Performance of adequate and well-controlled human clinical trials in accordance with good clinical practice, or GCP, requirements to establish the safety and efficacy of the proposed drug product for each indication;</w:t>
      </w:r>
    </w:p>
    <w:p>
      <w:pPr>
        <w:spacing w:after="0" w:line="100" w:lineRule="exact"/>
        <w:rPr>
          <w:rFonts w:ascii="Arial" w:cs="Arial" w:eastAsia="Arial" w:hAnsi="Arial"/>
          <w:sz w:val="14"/>
          <w:szCs w:val="14"/>
          <w:color w:val="auto"/>
        </w:rPr>
      </w:pPr>
    </w:p>
    <w:p>
      <w:pPr>
        <w:ind w:left="1020" w:hanging="506"/>
        <w:spacing w:after="0"/>
        <w:tabs>
          <w:tab w:leader="none" w:pos="10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Submission to the FDA of an NDA;</w:t>
      </w:r>
    </w:p>
    <w:p>
      <w:pPr>
        <w:spacing w:after="0" w:line="146" w:lineRule="exact"/>
        <w:rPr>
          <w:rFonts w:ascii="Arial" w:cs="Arial" w:eastAsia="Arial" w:hAnsi="Arial"/>
          <w:sz w:val="14"/>
          <w:szCs w:val="14"/>
          <w:color w:val="auto"/>
        </w:rPr>
      </w:pPr>
    </w:p>
    <w:p>
      <w:pPr>
        <w:ind w:left="1020" w:hanging="506"/>
        <w:spacing w:after="0"/>
        <w:tabs>
          <w:tab w:leader="none" w:pos="10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Satisfactory completion of an FDA advisory committee review, if applicable;</w:t>
      </w:r>
    </w:p>
    <w:p>
      <w:pPr>
        <w:spacing w:after="0" w:line="157" w:lineRule="exact"/>
        <w:rPr>
          <w:rFonts w:ascii="Arial" w:cs="Arial" w:eastAsia="Arial" w:hAnsi="Arial"/>
          <w:sz w:val="14"/>
          <w:szCs w:val="14"/>
          <w:color w:val="auto"/>
        </w:rPr>
      </w:pPr>
    </w:p>
    <w:p>
      <w:pPr>
        <w:ind w:left="1020" w:right="300" w:hanging="506"/>
        <w:spacing w:after="0" w:line="321" w:lineRule="auto"/>
        <w:tabs>
          <w:tab w:leader="none" w:pos="1016" w:val="left"/>
        </w:tabs>
        <w:numPr>
          <w:ilvl w:val="0"/>
          <w:numId w:val="10"/>
        </w:numPr>
        <w:rPr>
          <w:rFonts w:ascii="Arial" w:cs="Arial" w:eastAsia="Arial" w:hAnsi="Arial"/>
          <w:sz w:val="13"/>
          <w:szCs w:val="13"/>
          <w:color w:val="auto"/>
        </w:rPr>
      </w:pPr>
      <w:r>
        <w:rPr>
          <w:rFonts w:ascii="Arial" w:cs="Arial" w:eastAsia="Arial" w:hAnsi="Arial"/>
          <w:sz w:val="13"/>
          <w:szCs w:val="13"/>
          <w:color w:val="auto"/>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drug’s identity, strength, quality and purity;</w:t>
      </w:r>
    </w:p>
    <w:p>
      <w:pPr>
        <w:spacing w:after="0" w:line="77" w:lineRule="exact"/>
        <w:rPr>
          <w:rFonts w:ascii="Arial" w:cs="Arial" w:eastAsia="Arial" w:hAnsi="Arial"/>
          <w:sz w:val="13"/>
          <w:szCs w:val="13"/>
          <w:color w:val="auto"/>
        </w:rPr>
      </w:pPr>
    </w:p>
    <w:p>
      <w:pPr>
        <w:ind w:left="1020" w:hanging="506"/>
        <w:spacing w:after="0"/>
        <w:tabs>
          <w:tab w:leader="none" w:pos="10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Satisfactory completion of FDA audits of clinical trial sites to assure compliance with GCPs and the integrity of the clinical data;</w:t>
      </w:r>
    </w:p>
    <w:p>
      <w:pPr>
        <w:spacing w:after="0" w:line="146" w:lineRule="exact"/>
        <w:rPr>
          <w:rFonts w:ascii="Arial" w:cs="Arial" w:eastAsia="Arial" w:hAnsi="Arial"/>
          <w:sz w:val="14"/>
          <w:szCs w:val="14"/>
          <w:color w:val="auto"/>
        </w:rPr>
      </w:pPr>
    </w:p>
    <w:p>
      <w:pPr>
        <w:ind w:left="1020" w:hanging="506"/>
        <w:spacing w:after="0"/>
        <w:tabs>
          <w:tab w:leader="none" w:pos="10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Payment of user fees and securing FDA approval of the NDA; and</w:t>
      </w:r>
    </w:p>
    <w:p>
      <w:pPr>
        <w:spacing w:after="0" w:line="157" w:lineRule="exact"/>
        <w:rPr>
          <w:rFonts w:ascii="Arial" w:cs="Arial" w:eastAsia="Arial" w:hAnsi="Arial"/>
          <w:sz w:val="14"/>
          <w:szCs w:val="14"/>
          <w:color w:val="auto"/>
        </w:rPr>
      </w:pPr>
    </w:p>
    <w:p>
      <w:pPr>
        <w:ind w:left="1020" w:right="560" w:hanging="506"/>
        <w:spacing w:after="0" w:line="281" w:lineRule="auto"/>
        <w:tabs>
          <w:tab w:leader="none" w:pos="10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Compliance with any post-approval requirements, including the potential requirement to implement a Risk Evaluation and Mitigation Strategy, or REMS, and the potential requirement to conduct post-approval studies.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Preclinical studies</w:t>
      </w:r>
    </w:p>
    <w:p>
      <w:pPr>
        <w:spacing w:after="0" w:line="147"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initiate.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Clinical trials</w:t>
      </w:r>
    </w:p>
    <w:p>
      <w:pPr>
        <w:spacing w:after="0" w:line="147" w:lineRule="exact"/>
        <w:rPr>
          <w:sz w:val="20"/>
          <w:szCs w:val="20"/>
          <w:color w:val="auto"/>
        </w:rPr>
      </w:pPr>
    </w:p>
    <w:p>
      <w:pPr>
        <w:ind w:right="100" w:firstLine="509"/>
        <w:spacing w:after="0" w:line="258" w:lineRule="auto"/>
        <w:rPr>
          <w:sz w:val="20"/>
          <w:szCs w:val="20"/>
          <w:color w:val="auto"/>
        </w:rPr>
      </w:pPr>
      <w:r>
        <w:rPr>
          <w:rFonts w:ascii="Arial" w:cs="Arial" w:eastAsia="Arial" w:hAnsi="Arial"/>
          <w:sz w:val="14"/>
          <w:szCs w:val="14"/>
          <w:color w:val="auto"/>
        </w:rPr>
        <w:t>Clinical trials involve the administration of the investigational new drug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initiates at that institution. Information about certain clinical trials must be submitted within specific timeframes to the National Institutes of Health, or NIH, for public dissemination on their www.clinicaltrials.gov website.</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Human clinical trials are typically conducted in three sequential phases, which may overlap or be combined:</w:t>
      </w:r>
    </w:p>
    <w:p>
      <w:pPr>
        <w:spacing w:after="0" w:line="157" w:lineRule="exact"/>
        <w:rPr>
          <w:sz w:val="20"/>
          <w:szCs w:val="20"/>
          <w:color w:val="auto"/>
        </w:rPr>
      </w:pPr>
    </w:p>
    <w:p>
      <w:pPr>
        <w:ind w:left="1020" w:right="80" w:hanging="506"/>
        <w:spacing w:after="0" w:line="281" w:lineRule="auto"/>
        <w:tabs>
          <w:tab w:leader="none" w:pos="10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Phase 1: The drug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00" w:lineRule="exact"/>
        <w:rPr>
          <w:rFonts w:ascii="Arial" w:cs="Arial" w:eastAsia="Arial" w:hAnsi="Arial"/>
          <w:sz w:val="14"/>
          <w:szCs w:val="14"/>
          <w:color w:val="auto"/>
        </w:rPr>
      </w:pPr>
    </w:p>
    <w:p>
      <w:pPr>
        <w:ind w:left="1020" w:hanging="506"/>
        <w:spacing w:after="0" w:line="281" w:lineRule="auto"/>
        <w:tabs>
          <w:tab w:leader="none" w:pos="10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00" w:lineRule="exact"/>
        <w:rPr>
          <w:rFonts w:ascii="Arial" w:cs="Arial" w:eastAsia="Arial" w:hAnsi="Arial"/>
          <w:sz w:val="14"/>
          <w:szCs w:val="14"/>
          <w:color w:val="auto"/>
        </w:rPr>
      </w:pPr>
    </w:p>
    <w:p>
      <w:pPr>
        <w:ind w:left="1020" w:right="220" w:hanging="506"/>
        <w:spacing w:after="0" w:line="281" w:lineRule="auto"/>
        <w:tabs>
          <w:tab w:leader="none" w:pos="10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Phase 3: The drug is administered to an expanded patient population, generally at geographically dispersed clinical trial sites, in well-controlled clinical trials to generate enough data to statistically</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20" w:right="260"/>
        <w:spacing w:after="0" w:line="281" w:lineRule="auto"/>
        <w:rPr>
          <w:sz w:val="20"/>
          <w:szCs w:val="20"/>
          <w:color w:val="auto"/>
        </w:rPr>
      </w:pPr>
      <w:r>
        <w:rPr>
          <w:rFonts w:ascii="Arial" w:cs="Arial" w:eastAsia="Arial" w:hAnsi="Arial"/>
          <w:sz w:val="14"/>
          <w:szCs w:val="14"/>
          <w:color w:val="auto"/>
        </w:rPr>
        <w:t>evaluate the efficacy and safety of the product for approval, to establish the overall risk-benefit profile of the product, and to provide adequate information for the labeling of the product.</w:t>
      </w:r>
    </w:p>
    <w:p>
      <w:pPr>
        <w:spacing w:after="0" w:line="111"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Progress reports detailing the results of the clinical trials must be submitted at least annually to the FDA and more frequently if serious adverse events occur. Phase 1, Phase 2 and Phase 3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Marketing approval</w:t>
      </w:r>
    </w:p>
    <w:p>
      <w:pPr>
        <w:spacing w:after="0" w:line="147"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p>
    <w:p>
      <w:pPr>
        <w:spacing w:after="0" w:line="125"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In addition, under the Pediatric Research Equity Act of 2003, or PREA,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An Agreed Initial Pediatric Study Plan requesting a waiver from the requirement to conduct clinical studies has been submitted to the FDA.</w:t>
      </w:r>
    </w:p>
    <w:p>
      <w:pPr>
        <w:spacing w:after="0" w:line="115" w:lineRule="exact"/>
        <w:rPr>
          <w:sz w:val="20"/>
          <w:szCs w:val="20"/>
          <w:color w:val="auto"/>
        </w:rPr>
      </w:pPr>
    </w:p>
    <w:p>
      <w:pPr>
        <w:jc w:val="both"/>
        <w:ind w:right="200" w:firstLine="509"/>
        <w:spacing w:after="0" w:line="368" w:lineRule="auto"/>
        <w:rPr>
          <w:sz w:val="20"/>
          <w:szCs w:val="20"/>
          <w:color w:val="auto"/>
        </w:rPr>
      </w:pPr>
      <w:r>
        <w:rPr>
          <w:rFonts w:ascii="Arial" w:cs="Arial" w:eastAsia="Arial" w:hAnsi="Arial"/>
          <w:sz w:val="12"/>
          <w:szCs w:val="12"/>
          <w:color w:val="auto"/>
        </w:rPr>
        <w:t>The FDA also may require submission of a risk evaluation and mitigation strategy, or REMS, plan to ensure that the benefits of the drug outweigh its risks. The REMS plan could include medication guides, physician communication plans, assessment plans, and/or elements to assure safe use, such as restricted distribution methods, patient registries, or other risk minimization tools.</w:t>
      </w:r>
    </w:p>
    <w:p>
      <w:pPr>
        <w:spacing w:after="0" w:line="54"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25"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10" w:lineRule="exact"/>
        <w:rPr>
          <w:sz w:val="20"/>
          <w:szCs w:val="20"/>
          <w:color w:val="auto"/>
        </w:rPr>
      </w:pPr>
    </w:p>
    <w:p>
      <w:pPr>
        <w:ind w:right="140" w:firstLine="509"/>
        <w:spacing w:after="0" w:line="267" w:lineRule="auto"/>
        <w:rPr>
          <w:sz w:val="20"/>
          <w:szCs w:val="20"/>
          <w:color w:val="auto"/>
        </w:rPr>
      </w:pPr>
      <w:r>
        <w:rPr>
          <w:rFonts w:ascii="Arial" w:cs="Arial" w:eastAsia="Arial" w:hAnsi="Arial"/>
          <w:sz w:val="14"/>
          <w:szCs w:val="14"/>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110"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20"/>
        <w:spacing w:after="0" w:line="281" w:lineRule="auto"/>
        <w:rPr>
          <w:sz w:val="20"/>
          <w:szCs w:val="20"/>
          <w:color w:val="auto"/>
        </w:rPr>
      </w:pPr>
      <w:r>
        <w:rPr>
          <w:rFonts w:ascii="Arial" w:cs="Arial" w:eastAsia="Arial" w:hAnsi="Arial"/>
          <w:sz w:val="14"/>
          <w:szCs w:val="14"/>
          <w:color w:val="auto"/>
        </w:rPr>
        <w:t>have been met to the FDA’s satisfaction, the FDA will typically issue an approval letter. An approval letter authorizes commercial marketing of the drug with specific prescribing information for specific indications.</w:t>
      </w:r>
    </w:p>
    <w:p>
      <w:pPr>
        <w:spacing w:after="0" w:line="111" w:lineRule="exact"/>
        <w:rPr>
          <w:sz w:val="20"/>
          <w:szCs w:val="20"/>
          <w:color w:val="auto"/>
        </w:rPr>
      </w:pPr>
    </w:p>
    <w:p>
      <w:pPr>
        <w:ind w:right="80" w:firstLine="509"/>
        <w:spacing w:after="0" w:line="313" w:lineRule="auto"/>
        <w:rPr>
          <w:sz w:val="20"/>
          <w:szCs w:val="20"/>
          <w:color w:val="auto"/>
        </w:rPr>
      </w:pPr>
      <w:r>
        <w:rPr>
          <w:rFonts w:ascii="Arial" w:cs="Arial" w:eastAsia="Arial" w:hAnsi="Arial"/>
          <w:sz w:val="12"/>
          <w:szCs w:val="12"/>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Fast Track designation</w:t>
      </w:r>
    </w:p>
    <w:p>
      <w:pPr>
        <w:spacing w:after="0" w:line="189" w:lineRule="exact"/>
        <w:rPr>
          <w:sz w:val="20"/>
          <w:szCs w:val="20"/>
          <w:color w:val="auto"/>
        </w:rPr>
      </w:pPr>
    </w:p>
    <w:p>
      <w:pPr>
        <w:ind w:right="40" w:firstLine="347"/>
        <w:spacing w:after="0" w:line="246" w:lineRule="auto"/>
        <w:rPr>
          <w:sz w:val="20"/>
          <w:szCs w:val="20"/>
          <w:color w:val="auto"/>
        </w:rPr>
      </w:pPr>
      <w:r>
        <w:rPr>
          <w:rFonts w:ascii="Arial" w:cs="Arial" w:eastAsia="Arial" w:hAnsi="Arial"/>
          <w:sz w:val="14"/>
          <w:szCs w:val="14"/>
          <w:color w:val="auto"/>
        </w:rPr>
        <w:t>The FDA is authorized to designate certain products for expedited review if they are intended to address an unmet medical need in the treatment of a serious or life-threatening disease or condition. Among these programs is Fast Track designation. In May 2014, the FDA published a final Guidance for Industry titled “Expedited Programs for Serious Conditions Drugs and Biologics,” which provides guidance on the FDA programs that are intended to facilitate and expedite development and review of new drug or biological product candidates as well as threshold criteria generally applicable to concluding that a product candidate is a candidate for these expedited development and review programs.</w:t>
      </w:r>
    </w:p>
    <w:p>
      <w:pPr>
        <w:spacing w:after="0" w:line="178"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The FDA may designate a product for Fast Track review if it is intended, whether alone or in combination with one or more other products, for the treatment of a serious or life-threatening disease or condition, and nonclinical or clinical data demonstrate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review clock for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Orphan drug designation and exclusivity</w:t>
      </w:r>
    </w:p>
    <w:p>
      <w:pPr>
        <w:spacing w:after="0" w:line="147" w:lineRule="exact"/>
        <w:rPr>
          <w:sz w:val="20"/>
          <w:szCs w:val="20"/>
          <w:color w:val="auto"/>
        </w:rPr>
      </w:pPr>
    </w:p>
    <w:p>
      <w:pPr>
        <w:ind w:right="120" w:firstLine="509"/>
        <w:spacing w:after="0" w:line="260" w:lineRule="auto"/>
        <w:rPr>
          <w:sz w:val="20"/>
          <w:szCs w:val="20"/>
          <w:color w:val="auto"/>
        </w:rPr>
      </w:pPr>
      <w:r>
        <w:rPr>
          <w:rFonts w:ascii="Arial" w:cs="Arial" w:eastAsia="Arial" w:hAnsi="Arial"/>
          <w:sz w:val="14"/>
          <w:szCs w:val="14"/>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25" w:lineRule="exact"/>
        <w:rPr>
          <w:sz w:val="20"/>
          <w:szCs w:val="20"/>
          <w:color w:val="auto"/>
        </w:rPr>
      </w:pPr>
    </w:p>
    <w:p>
      <w:pPr>
        <w:ind w:right="100" w:firstLine="509"/>
        <w:spacing w:after="0" w:line="256" w:lineRule="auto"/>
        <w:rPr>
          <w:sz w:val="20"/>
          <w:szCs w:val="20"/>
          <w:color w:val="auto"/>
        </w:rPr>
      </w:pPr>
      <w:r>
        <w:rPr>
          <w:rFonts w:ascii="Arial" w:cs="Arial" w:eastAsia="Arial" w:hAnsi="Arial"/>
          <w:sz w:val="14"/>
          <w:szCs w:val="14"/>
          <w:color w:val="auto"/>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The first active moiety to be approved to treat a disease with FDA's Orphan Drug designation is entitled to a seven-year period of marketing exclusivity in the United States for that product indication, except in certain limited circumstances. If a drug or drug product designated as an orphan product ultimately receives marketing approval for an indication broader than what was designated in its orphan 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color w:val="auto"/>
        </w:rPr>
        <w:t>In addition, Congress is considering updates to the orphan drug provisions of the FDCA in response to a recent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marketing exclusivity</w:t>
      </w:r>
    </w:p>
    <w:p>
      <w:pPr>
        <w:spacing w:after="0" w:line="147" w:lineRule="exact"/>
        <w:rPr>
          <w:sz w:val="20"/>
          <w:szCs w:val="20"/>
          <w:color w:val="auto"/>
        </w:rPr>
      </w:pPr>
    </w:p>
    <w:p>
      <w:pPr>
        <w:ind w:right="20" w:firstLine="509"/>
        <w:spacing w:after="0" w:line="277" w:lineRule="auto"/>
        <w:rPr>
          <w:sz w:val="20"/>
          <w:szCs w:val="20"/>
          <w:color w:val="auto"/>
        </w:rPr>
      </w:pPr>
      <w:r>
        <w:rPr>
          <w:rFonts w:ascii="Arial" w:cs="Arial" w:eastAsia="Arial" w:hAnsi="Arial"/>
          <w:sz w:val="13"/>
          <w:szCs w:val="13"/>
          <w:color w:val="auto"/>
        </w:rPr>
        <w:t>Market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the original non-modified version of the drug.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10" w:lineRule="exact"/>
        <w:rPr>
          <w:sz w:val="20"/>
          <w:szCs w:val="20"/>
          <w:color w:val="auto"/>
        </w:rPr>
      </w:pPr>
    </w:p>
    <w:p>
      <w:pPr>
        <w:ind w:firstLine="509"/>
        <w:spacing w:after="0" w:line="281" w:lineRule="auto"/>
        <w:rPr>
          <w:sz w:val="20"/>
          <w:szCs w:val="20"/>
          <w:color w:val="auto"/>
        </w:rPr>
      </w:pPr>
      <w:r>
        <w:rPr>
          <w:rFonts w:ascii="Arial" w:cs="Arial" w:eastAsia="Arial" w:hAnsi="Arial"/>
          <w:sz w:val="14"/>
          <w:szCs w:val="14"/>
          <w:color w:val="auto"/>
        </w:rPr>
        <w:t>Pediatric exclusivity is another type of regulatory market exclusivity in the United States. Pediatric exclusivity, if granted, adds six months to existing regulatory exclusivity periods. This six-month exclusivity may be granted based on the voluntary completion of a pediatric trial in accordance with an FDA-issued “Written Request” for such a trial.</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Post-approval requirements</w:t>
      </w:r>
    </w:p>
    <w:p>
      <w:pPr>
        <w:spacing w:after="0" w:line="147" w:lineRule="exact"/>
        <w:rPr>
          <w:sz w:val="20"/>
          <w:szCs w:val="20"/>
          <w:color w:val="auto"/>
        </w:rPr>
      </w:pPr>
    </w:p>
    <w:p>
      <w:pPr>
        <w:ind w:right="100" w:firstLine="509"/>
        <w:spacing w:after="0" w:line="288" w:lineRule="auto"/>
        <w:rPr>
          <w:sz w:val="20"/>
          <w:szCs w:val="20"/>
          <w:color w:val="auto"/>
        </w:rPr>
      </w:pPr>
      <w:r>
        <w:rPr>
          <w:rFonts w:ascii="Arial" w:cs="Arial" w:eastAsia="Arial" w:hAnsi="Arial"/>
          <w:sz w:val="13"/>
          <w:szCs w:val="13"/>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are continuing, annual user fee requirements for any marketed products and the establishments where such products are manufactured, as well as new application fees for supplemental applications with clinical data.</w:t>
      </w:r>
    </w:p>
    <w:p>
      <w:pPr>
        <w:spacing w:after="0" w:line="99" w:lineRule="exact"/>
        <w:rPr>
          <w:sz w:val="20"/>
          <w:szCs w:val="20"/>
          <w:color w:val="auto"/>
        </w:rPr>
      </w:pPr>
    </w:p>
    <w:p>
      <w:pPr>
        <w:ind w:right="140" w:firstLine="509"/>
        <w:spacing w:after="0" w:line="281" w:lineRule="auto"/>
        <w:rPr>
          <w:sz w:val="20"/>
          <w:szCs w:val="20"/>
          <w:color w:val="auto"/>
        </w:rPr>
      </w:pPr>
      <w:r>
        <w:rPr>
          <w:rFonts w:ascii="Arial" w:cs="Arial" w:eastAsia="Arial" w:hAnsi="Arial"/>
          <w:sz w:val="14"/>
          <w:szCs w:val="14"/>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111"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15"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Once an approval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99" w:lineRule="exact"/>
        <w:rPr>
          <w:sz w:val="20"/>
          <w:szCs w:val="20"/>
          <w:color w:val="auto"/>
        </w:rPr>
      </w:pPr>
    </w:p>
    <w:p>
      <w:pPr>
        <w:ind w:left="1020" w:hanging="506"/>
        <w:spacing w:after="0"/>
        <w:tabs>
          <w:tab w:leader="none" w:pos="10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Restrictions on the marketing or manufacturing of the product, complete withdrawal of the product from the market or product recalls;</w:t>
      </w:r>
    </w:p>
    <w:p>
      <w:pPr>
        <w:spacing w:after="0" w:line="200" w:lineRule="exact"/>
        <w:rPr>
          <w:rFonts w:ascii="Arial" w:cs="Arial" w:eastAsia="Arial" w:hAnsi="Arial"/>
          <w:sz w:val="14"/>
          <w:szCs w:val="14"/>
          <w:color w:val="auto"/>
        </w:rPr>
      </w:pPr>
    </w:p>
    <w:p>
      <w:pPr>
        <w:spacing w:after="0" w:line="275" w:lineRule="exact"/>
        <w:rPr>
          <w:rFonts w:ascii="Arial" w:cs="Arial" w:eastAsia="Arial" w:hAnsi="Arial"/>
          <w:sz w:val="14"/>
          <w:szCs w:val="14"/>
          <w:color w:val="auto"/>
        </w:rPr>
      </w:pPr>
    </w:p>
    <w:p>
      <w:pPr>
        <w:ind w:left="5580"/>
        <w:spacing w:after="0"/>
        <w:rPr>
          <w:rFonts w:ascii="Arial" w:cs="Arial" w:eastAsia="Arial" w:hAnsi="Arial"/>
          <w:sz w:val="14"/>
          <w:szCs w:val="14"/>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20" w:hanging="506"/>
        <w:spacing w:after="0"/>
        <w:tabs>
          <w:tab w:leader="none" w:pos="10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Fines, warning letters or holds on post-approval clinical trials;</w:t>
      </w:r>
    </w:p>
    <w:p>
      <w:pPr>
        <w:spacing w:after="0" w:line="157" w:lineRule="exact"/>
        <w:rPr>
          <w:rFonts w:ascii="Arial" w:cs="Arial" w:eastAsia="Arial" w:hAnsi="Arial"/>
          <w:sz w:val="14"/>
          <w:szCs w:val="14"/>
          <w:color w:val="auto"/>
        </w:rPr>
      </w:pPr>
    </w:p>
    <w:p>
      <w:pPr>
        <w:ind w:left="1020" w:hanging="506"/>
        <w:spacing w:after="0"/>
        <w:tabs>
          <w:tab w:leader="none" w:pos="10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Refusal of the FDA to approve pending NDAs or supplements to approved NDAs, or suspension or revocation of product approvals;</w:t>
      </w:r>
    </w:p>
    <w:p>
      <w:pPr>
        <w:spacing w:after="0" w:line="146" w:lineRule="exact"/>
        <w:rPr>
          <w:rFonts w:ascii="Arial" w:cs="Arial" w:eastAsia="Arial" w:hAnsi="Arial"/>
          <w:sz w:val="14"/>
          <w:szCs w:val="14"/>
          <w:color w:val="auto"/>
        </w:rPr>
      </w:pPr>
    </w:p>
    <w:p>
      <w:pPr>
        <w:ind w:left="1020" w:hanging="506"/>
        <w:spacing w:after="0"/>
        <w:tabs>
          <w:tab w:leader="none" w:pos="10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Product seizure or detention, or refusal to permit the import or export of products; and</w:t>
      </w:r>
    </w:p>
    <w:p>
      <w:pPr>
        <w:spacing w:after="0" w:line="146" w:lineRule="exact"/>
        <w:rPr>
          <w:rFonts w:ascii="Arial" w:cs="Arial" w:eastAsia="Arial" w:hAnsi="Arial"/>
          <w:sz w:val="14"/>
          <w:szCs w:val="14"/>
          <w:color w:val="auto"/>
        </w:rPr>
      </w:pPr>
    </w:p>
    <w:p>
      <w:pPr>
        <w:ind w:left="1020" w:hanging="506"/>
        <w:spacing w:after="0"/>
        <w:tabs>
          <w:tab w:leader="none" w:pos="10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Injunctions or the imposition of civil or criminal penalties.</w:t>
      </w:r>
    </w:p>
    <w:p>
      <w:pPr>
        <w:spacing w:after="0" w:line="157" w:lineRule="exact"/>
        <w:rPr>
          <w:sz w:val="20"/>
          <w:szCs w:val="20"/>
          <w:color w:val="auto"/>
        </w:rPr>
      </w:pPr>
    </w:p>
    <w:p>
      <w:pPr>
        <w:ind w:right="100" w:firstLine="509"/>
        <w:spacing w:after="0" w:line="297" w:lineRule="auto"/>
        <w:rPr>
          <w:sz w:val="20"/>
          <w:szCs w:val="20"/>
          <w:color w:val="auto"/>
        </w:rPr>
      </w:pPr>
      <w:r>
        <w:rPr>
          <w:rFonts w:ascii="Arial" w:cs="Arial" w:eastAsia="Arial" w:hAnsi="Arial"/>
          <w:sz w:val="13"/>
          <w:szCs w:val="13"/>
          <w:color w:val="auto"/>
        </w:rPr>
        <w:t>The FDA strictly regulates marketing, labeling, advertising, and promotion of products that are placed on the market. Drugs may be promoted by a manufacturer and any third parties acting on behalf of a manufacturer only for the approved indications and in a manner consistent with the approved label for the product. The FDA and other agencies actively enforce the laws and regulations prohibiting the promotion of off-label uses, and a company that is found to have improperly promoted off-label uses may be subject to significant liability.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healthcare laws</w:t>
      </w:r>
    </w:p>
    <w:p>
      <w:pPr>
        <w:spacing w:after="0" w:line="147" w:lineRule="exact"/>
        <w:rPr>
          <w:sz w:val="20"/>
          <w:szCs w:val="20"/>
          <w:color w:val="auto"/>
        </w:rPr>
      </w:pPr>
    </w:p>
    <w:p>
      <w:pPr>
        <w:ind w:right="40" w:firstLine="509"/>
        <w:spacing w:after="0" w:line="273" w:lineRule="auto"/>
        <w:rPr>
          <w:sz w:val="20"/>
          <w:szCs w:val="20"/>
          <w:color w:val="auto"/>
        </w:rPr>
      </w:pPr>
      <w:r>
        <w:rPr>
          <w:rFonts w:ascii="Arial" w:cs="Arial" w:eastAsia="Arial" w:hAnsi="Arial"/>
          <w:sz w:val="13"/>
          <w:szCs w:val="13"/>
          <w:color w:val="auto"/>
        </w:rPr>
        <w:t>Healthcare providers, physicians, and third party payors play a primary role in the recommendation and prescription of drug products for which we obtain marketing approval. Arrangements with third party payors, healthcare providers and physicians, in connection with the clinical research, sales, marketing and promotion of products, once approved, and related activities, may expose a pharmaceutical manufacturer to broadly applicable fraud and abuse and other healthcare laws and regulations. In the United States, these laws include, without limitation, state and federal anti-kickback, false claims, physician transparency, and patient data privacy and security laws and regulations, including but not limited to those described below:</w:t>
      </w:r>
    </w:p>
    <w:p>
      <w:pPr>
        <w:ind w:left="1020" w:right="40" w:hanging="506"/>
        <w:spacing w:after="0" w:line="284" w:lineRule="auto"/>
        <w:tabs>
          <w:tab w:leader="none" w:pos="1016"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federal Anti-Kickback Statute, or AKS, which makes it illegal for any person, including a prescription drug manufacturer (or a party acting on its behalf) to knowingly and willfully solicit, receive, offer or pay any remuneration (including any kickback, bribe, or rebate), directly or indirectly, overtly or covertly, in cash or in kind, that is intended to induce or reward, referrals including the purchase recommendation, order or prescription of a particular drug for which payment may be made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or FCA. Violations of the federal Anti-Kickback Statute are punishable by imprisonment for up to ten years and statutory fines of up to $100,000. Additional criminal fines can be imposed under federal U.S. criminal procedure laws. Civil penalties include statutory amounts of up to $100,000 (adjusted for inflation) per violation, assessments of up to three times the total payments between the parties to the arrangement, and exclusion from participation in the federal healthcare programs or suspension from future participation in Medicare and Medicaid. Further, violation of the federal Anti-Kickback Statute can also form the basis for False Claims Act liability (discussed below). Although there are a number of statutory exceptions and regulatory safe harbors to the federal Anti-Kickback Statute protecting certain common business arrangements and activities from prosecution or regulatory sanctions, the exceptions and safe harbors are drawn narrowly, and practices that involve remuneration to those who prescribe, purchase, or recommend pharmaceutical and biological products, may be subject to scrutiny if they do not fit squarely within an exception or safe harbor;</w:t>
      </w:r>
    </w:p>
    <w:p>
      <w:pPr>
        <w:spacing w:after="0" w:line="3" w:lineRule="exact"/>
        <w:rPr>
          <w:rFonts w:ascii="Arial" w:cs="Arial" w:eastAsia="Arial" w:hAnsi="Arial"/>
          <w:sz w:val="12"/>
          <w:szCs w:val="12"/>
          <w:color w:val="auto"/>
        </w:rPr>
      </w:pPr>
    </w:p>
    <w:p>
      <w:pPr>
        <w:ind w:left="1020" w:hanging="506"/>
        <w:spacing w:after="0" w:line="239" w:lineRule="auto"/>
        <w:tabs>
          <w:tab w:leader="none" w:pos="10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federal civil and criminal false claims laws, including the FCA, which can be enforced through “qui tam” or “whistleblower” actions, and civil monetary penalty laws, which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or transmit money or property to the federal government; or knowingly concealing or knowingly and improperly avoiding or decreasing such an obligation. Similar to the federal Anti-Kickback Statute, a person or entity does not need to have actual knowledge of these statutes or specific intent to violate them in order to have committed a violation. Violations of the False Claims Act can result in civil penalties of up to more than $25,000 per false claim or statement (an amount adjusted annually for inflation) plus three times the amount of damages sustained by the government;</w:t>
      </w:r>
    </w:p>
    <w:p>
      <w:pPr>
        <w:spacing w:after="0" w:line="128" w:lineRule="exact"/>
        <w:rPr>
          <w:rFonts w:ascii="Arial" w:cs="Arial" w:eastAsia="Arial" w:hAnsi="Arial"/>
          <w:sz w:val="14"/>
          <w:szCs w:val="14"/>
          <w:color w:val="auto"/>
        </w:rPr>
      </w:pPr>
    </w:p>
    <w:p>
      <w:pPr>
        <w:ind w:left="1020" w:right="580" w:hanging="506"/>
        <w:spacing w:after="0" w:line="281" w:lineRule="auto"/>
        <w:tabs>
          <w:tab w:leader="none" w:pos="10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20" w:right="180"/>
        <w:spacing w:after="0" w:line="267" w:lineRule="auto"/>
        <w:rPr>
          <w:sz w:val="20"/>
          <w:szCs w:val="20"/>
          <w:color w:val="auto"/>
        </w:rPr>
      </w:pPr>
      <w:r>
        <w:rPr>
          <w:rFonts w:ascii="Arial" w:cs="Arial" w:eastAsia="Arial" w:hAnsi="Arial"/>
          <w:sz w:val="14"/>
          <w:szCs w:val="14"/>
          <w:color w:val="auto"/>
        </w:rPr>
        <w:t>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20" w:lineRule="exact"/>
        <w:rPr>
          <w:sz w:val="20"/>
          <w:szCs w:val="20"/>
          <w:color w:val="auto"/>
        </w:rPr>
      </w:pPr>
    </w:p>
    <w:p>
      <w:pPr>
        <w:ind w:left="1020" w:right="240" w:hanging="506"/>
        <w:spacing w:after="0" w:line="253" w:lineRule="auto"/>
        <w:tabs>
          <w:tab w:leader="none" w:pos="10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creation, use, receipt, maintenance or disclosure of individually identifiable health information, relating to the privacy, security and transmission of individually identifiable health information;</w:t>
      </w:r>
    </w:p>
    <w:p>
      <w:pPr>
        <w:spacing w:after="0" w:line="1" w:lineRule="exact"/>
        <w:rPr>
          <w:rFonts w:ascii="Arial" w:cs="Arial" w:eastAsia="Arial" w:hAnsi="Arial"/>
          <w:sz w:val="14"/>
          <w:szCs w:val="14"/>
          <w:color w:val="auto"/>
        </w:rPr>
      </w:pPr>
    </w:p>
    <w:p>
      <w:pPr>
        <w:ind w:left="1020" w:right="80" w:hanging="506"/>
        <w:spacing w:after="0" w:line="252" w:lineRule="auto"/>
        <w:tabs>
          <w:tab w:leader="none" w:pos="1016"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federal Physician Payments Sunshine Act, created under Patient Protection and Affordable Care Act, as amended by the Health Care and Education Reconciliation Act of 2010, or collectively, the ACA, and its implementing regulations, which require manufacturers of drugs, devices, biological products and medical supplies for which payment is available under Medicare, Medicaid or the Children’s Health Insurance Program to report annually to the Centers for Medicare and Medicaid Services, or CMS, under the Open Payments Program, information related to payments or other transfers of value made to physicians (defined to include doctors, dentists, optometrists, podiatrists and chiropractors) , nurse practitioners, clinical nurse specialists, certified registered nurse anesthetists, anesthesiologist assistants, certified nurse-midwives, and teaching hospitals, as well as ownership and investment interests held by physicians and their immediate family members; and</w:t>
      </w:r>
    </w:p>
    <w:p>
      <w:pPr>
        <w:spacing w:after="0" w:line="2" w:lineRule="exact"/>
        <w:rPr>
          <w:rFonts w:ascii="Arial" w:cs="Arial" w:eastAsia="Arial" w:hAnsi="Arial"/>
          <w:sz w:val="13"/>
          <w:szCs w:val="13"/>
          <w:color w:val="auto"/>
        </w:rPr>
      </w:pPr>
    </w:p>
    <w:p>
      <w:pPr>
        <w:ind w:left="1020" w:hanging="506"/>
        <w:spacing w:after="0" w:line="259" w:lineRule="auto"/>
        <w:tabs>
          <w:tab w:leader="none" w:pos="1016"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analogous state and foreign laws and regulations, such as state and foreign anti-kickback, false claims, consumer protection, transparency and disclosure laws,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in some states, the reporting of drug wholesale acquisition costs or average manufacturer prices, information related to new drug launches, and drug price increases above certain statutory thresholds;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17" w:lineRule="exact"/>
        <w:rPr>
          <w:sz w:val="20"/>
          <w:szCs w:val="20"/>
          <w:color w:val="auto"/>
        </w:rPr>
      </w:pPr>
    </w:p>
    <w:p>
      <w:pPr>
        <w:ind w:right="120" w:firstLine="509"/>
        <w:spacing w:after="0" w:line="278" w:lineRule="auto"/>
        <w:rPr>
          <w:sz w:val="20"/>
          <w:szCs w:val="20"/>
          <w:color w:val="auto"/>
        </w:rPr>
      </w:pPr>
      <w:r>
        <w:rPr>
          <w:rFonts w:ascii="Arial" w:cs="Arial" w:eastAsia="Arial" w:hAnsi="Arial"/>
          <w:sz w:val="13"/>
          <w:szCs w:val="13"/>
          <w:color w:val="auto"/>
        </w:rPr>
        <w:t>Because of the breadth of these laws, it is possible that some of a pharmaceutical manufacturer’s business activities could be subject to challenge under one or more of such laws. Efforts to ensure that business arrangements comply with applicable healthcare laws involve substantial costs. It is possible that governmental and enforcement authorities will conclude that a pharmaceutical manufacturer’s business practices do not comply with current or future statutes, regulations or case law interpreting applicable fraud and abuse or other healthcare laws and regulations. If any such actions are instituted against a pharmaceutical manufacturer, and it is not successful in defending itself or asserting its rights, those actions could have a significant impact on its business, including the imposition of significant civil, criminal and administrative penalties, damages, disgorgement, imprisonment, monetary fines, possible exclusion from participation in Medicare, Medicaid and other federal healthcare programs, reporting obligations and oversight if a pharmaceutical manufacturer becomes subject to integrity and oversight agreements to resolve allegations of non-compliance, contractual damages, reputational harm, diminished profits and future earnings, and curtailment of operations, any of which could adversely affect a pharmaceutical manufacturer’s ability to operate its business and the results of operations. In addition, commercialization of any drug product outside the United States will also likely be subject to foreign equivalents of the healthcare laws mentioned above, among other foreign laws.</w:t>
      </w:r>
    </w:p>
    <w:p>
      <w:pPr>
        <w:spacing w:after="0" w:line="107" w:lineRule="exact"/>
        <w:rPr>
          <w:sz w:val="20"/>
          <w:szCs w:val="20"/>
          <w:color w:val="auto"/>
        </w:rPr>
      </w:pPr>
    </w:p>
    <w:p>
      <w:pPr>
        <w:ind w:right="140" w:firstLine="509"/>
        <w:spacing w:after="0" w:line="288" w:lineRule="auto"/>
        <w:rPr>
          <w:sz w:val="20"/>
          <w:szCs w:val="20"/>
          <w:color w:val="auto"/>
        </w:rPr>
      </w:pPr>
      <w:r>
        <w:rPr>
          <w:rFonts w:ascii="Arial" w:cs="Arial" w:eastAsia="Arial" w:hAnsi="Arial"/>
          <w:sz w:val="13"/>
          <w:szCs w:val="13"/>
          <w:color w:val="auto"/>
        </w:rPr>
        <w:t>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California Consumer Privacy Act of 2018, or the CCPA, which came into effect on January 1, 2020 and provides new data privacy rights for consumers and new operational requirements for companies, which may increase our compliance costs and potential liability. The CCPA gives California residents expanded rights to access and delete their personal</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impacts certain of our business activities. The CCPA could mark the beginning of a trend toward more stringent state privacy legislation in the U.S., which could increase our potential liability and adversely affect our business.</w:t>
      </w:r>
    </w:p>
    <w:p>
      <w:pPr>
        <w:spacing w:after="0" w:line="2" w:lineRule="exact"/>
        <w:rPr>
          <w:sz w:val="20"/>
          <w:szCs w:val="20"/>
          <w:color w:val="auto"/>
        </w:rPr>
      </w:pPr>
    </w:p>
    <w:p>
      <w:pPr>
        <w:ind w:right="20" w:firstLine="764"/>
        <w:spacing w:after="0" w:line="255" w:lineRule="auto"/>
        <w:rPr>
          <w:sz w:val="20"/>
          <w:szCs w:val="20"/>
          <w:color w:val="auto"/>
        </w:rPr>
      </w:pPr>
      <w:r>
        <w:rPr>
          <w:rFonts w:ascii="Arial" w:cs="Arial" w:eastAsia="Arial" w:hAnsi="Arial"/>
          <w:sz w:val="13"/>
          <w:szCs w:val="13"/>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Economic Area, or EEA, including personal health data, is subject to the EU General Data Protection Regulation, or EU GDPR, which became effective on May 25, 2018. The EU GDPR is wide-ranging in scope and imposes numerous requirements on companies that process personal data (i.e., data relating to identified or identifiable individuals), including requirements relating to having legal bases for processing personal data, transferring such personal data outside the EEA, including to the United States, processing health and other sensitive data, obtaining consent of the individuals to whom the personal data relates, providing information to individuals regarding data processing activities, responding to individuals’ requests to exercise their rights in respect of their personal data, implementing safeguards to protect the security and confidentiality of personal data, having data processing agreements with third parties who process personal data on our behalf, providing notification of data breaches, and taking certain measures when engaging third-party processors, conducting data protection impact assessments, and record-keeping.</w:t>
      </w:r>
    </w:p>
    <w:p>
      <w:pPr>
        <w:spacing w:after="0" w:line="2" w:lineRule="exact"/>
        <w:rPr>
          <w:sz w:val="20"/>
          <w:szCs w:val="20"/>
          <w:color w:val="auto"/>
        </w:rPr>
      </w:pPr>
    </w:p>
    <w:p>
      <w:pPr>
        <w:ind w:right="20" w:firstLine="764"/>
        <w:spacing w:after="0" w:line="236" w:lineRule="auto"/>
        <w:rPr>
          <w:sz w:val="20"/>
          <w:szCs w:val="20"/>
          <w:color w:val="auto"/>
        </w:rPr>
      </w:pPr>
      <w:r>
        <w:rPr>
          <w:rFonts w:ascii="Arial" w:cs="Arial" w:eastAsia="Arial" w:hAnsi="Arial"/>
          <w:sz w:val="14"/>
          <w:szCs w:val="14"/>
          <w:color w:val="auto"/>
        </w:rPr>
        <w:t>The EU GDPR increases substantially the penalties to which we could be subject in the event of any non-compliance and permits data protection authorities to impose large penalties for violations of the EU GDPR, including potential fines of up to €20 million or 4% of annual global revenues, whichever is greater. The EU GDPR also confers a private right of action on data subjects and consumer associations to lodge complaints with supervisory authorities, seek judicial remedies, and obtain compensation for damages resulting from violations of the EU GDPR. The EU GDPR may increase our responsibility and liability in relation to personal data that we process where such processing is subject to the EU GDPR, and we may be required to put in place additional mechanisms to ensure compliance with the EU GDPR, including as implemented by individual countries. Compliance with the EU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4" w:lineRule="exact"/>
        <w:rPr>
          <w:sz w:val="20"/>
          <w:szCs w:val="20"/>
          <w:color w:val="auto"/>
        </w:rPr>
      </w:pPr>
    </w:p>
    <w:p>
      <w:pPr>
        <w:ind w:firstLine="764"/>
        <w:spacing w:after="0" w:line="314" w:lineRule="auto"/>
        <w:rPr>
          <w:sz w:val="20"/>
          <w:szCs w:val="20"/>
          <w:color w:val="auto"/>
        </w:rPr>
      </w:pPr>
      <w:r>
        <w:rPr>
          <w:rFonts w:ascii="Arial" w:cs="Arial" w:eastAsia="Arial" w:hAnsi="Arial"/>
          <w:sz w:val="12"/>
          <w:szCs w:val="12"/>
          <w:color w:val="auto"/>
        </w:rPr>
        <w:t>The EU GDPR also prohibits the transfer of personal data from the EEA to the United States and other countries that are not recognized as having “adequate” data protection laws by the European Commission unless the parties to the transfer have implemented specific safeguards to protect the transferred personal data. One of the primary safeguards allowing U.S. companies to</w:t>
      </w:r>
    </w:p>
    <w:p>
      <w:pPr>
        <w:spacing w:after="0" w:line="280" w:lineRule="auto"/>
        <w:rPr>
          <w:sz w:val="20"/>
          <w:szCs w:val="20"/>
          <w:color w:val="auto"/>
        </w:rPr>
      </w:pPr>
      <w:r>
        <w:rPr>
          <w:rFonts w:ascii="Arial" w:cs="Arial" w:eastAsia="Arial" w:hAnsi="Arial"/>
          <w:sz w:val="13"/>
          <w:szCs w:val="13"/>
          <w:color w:val="auto"/>
        </w:rPr>
        <w:t>import personal data from the EEA had been certification to the EU-U.S. Privacy Shield framework administered by the U.S. Department of Commerce. However, the European Court of Justice issued a decision in July 2020 which invalidated the EU-U.S. Privacy Shield framework for international transfers (Schrems II) and imposed further restrictions on using the specific safeguard standard contractual clauses (SCCs) including, a requirement for companies to carry out a transfer privacy impact assessment, which among other things, assesses laws governing access to personal data in the recipient country and considers whether supplementary measures that provide privacy protections additional to those provided under the SCCs will need to be implemented to ensure an essentially equivalent level of data protection to that afforded in the EU. Following that decision, the Swiss Federal Data Protection and Information Commissioner took a similar view and considered that data transfers based on the Swiss-U.S. Privacy Shield framework are no longer lawful (despite the fact that Schrems II is not directly applicable in Switzerland (unless the Swiss based company is subject to the EU GDPR) although the Swiss-U.S. Privacy Shield has not been officially invalidated).</w:t>
      </w:r>
    </w:p>
    <w:p>
      <w:pPr>
        <w:spacing w:after="0" w:line="158" w:lineRule="exact"/>
        <w:rPr>
          <w:sz w:val="20"/>
          <w:szCs w:val="20"/>
          <w:color w:val="auto"/>
        </w:rPr>
      </w:pPr>
    </w:p>
    <w:p>
      <w:pPr>
        <w:ind w:right="40" w:firstLine="764"/>
        <w:spacing w:after="0" w:line="309" w:lineRule="auto"/>
        <w:rPr>
          <w:sz w:val="20"/>
          <w:szCs w:val="20"/>
          <w:color w:val="auto"/>
        </w:rPr>
      </w:pPr>
      <w:r>
        <w:rPr>
          <w:rFonts w:ascii="Arial" w:cs="Arial" w:eastAsia="Arial" w:hAnsi="Arial"/>
          <w:sz w:val="12"/>
          <w:szCs w:val="12"/>
          <w:color w:val="auto"/>
        </w:rPr>
        <w:t>Further to Schrems II, the European Commission published new EU SCCs in June 2021, which place onerous obligations on the contracting parties. Therefore, until recently, there were few, if any, viable alternatives to the SCCs. However, on 7 October 2022, President Biden introduced an Executive Order to facilitate a new Trans-Atlantic Data Privacy Framework which will act as a successor to the invalidated EU-U.S. Privacy Shield. If approved by the European Commission and implemented, the agreement will facilitate the transatlantic flow of personal data and provide additional safeguards to any existing data transfer mechanisms (including SCCs) for companies transferring personal data from the EU to the U.S. However, before entities rely on the new EU-U.S. Privacy Shield, there are still legislative and regulatory steps that must be undertaken both in the U.S. and in the EU. Therefore, at present the new EU SCCs are still the primary safeguard available for personal data transfers from the EU to the U.S. As such, the current legal position may have implications for our cross-border data flows and may result in compliance costs.</w:t>
      </w:r>
    </w:p>
    <w:p>
      <w:pPr>
        <w:spacing w:after="0" w:line="37" w:lineRule="exact"/>
        <w:rPr>
          <w:sz w:val="20"/>
          <w:szCs w:val="20"/>
          <w:color w:val="auto"/>
        </w:rPr>
      </w:pPr>
    </w:p>
    <w:p>
      <w:pPr>
        <w:ind w:right="20" w:firstLine="764"/>
        <w:spacing w:after="0" w:line="267" w:lineRule="auto"/>
        <w:rPr>
          <w:sz w:val="20"/>
          <w:szCs w:val="20"/>
          <w:color w:val="auto"/>
        </w:rPr>
      </w:pPr>
      <w:r>
        <w:rPr>
          <w:rFonts w:ascii="Arial" w:cs="Arial" w:eastAsia="Arial" w:hAnsi="Arial"/>
          <w:sz w:val="14"/>
          <w:szCs w:val="14"/>
          <w:color w:val="auto"/>
        </w:rPr>
        <w:t>In addition, further to the UK’s exit from the EU on January 31, 2020, the EU GDPR ceased to apply in the UK at the end of the transition period on December 31, 2020. However, as of January 1, 2021, the UK’s European Union (Withdrawal) Act 2018 incorporated the EU GDPR (as it existed on December 31, 2020 but subject to certain UK specific amendments) into UK law (referred to as the 'UK GDPR'). The UK GDPR and the UK Data Protection Act 2018 set out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340"/>
        <w:spacing w:after="0" w:line="254" w:lineRule="auto"/>
        <w:rPr>
          <w:sz w:val="20"/>
          <w:szCs w:val="20"/>
          <w:color w:val="auto"/>
        </w:rPr>
      </w:pPr>
      <w:r>
        <w:rPr>
          <w:rFonts w:ascii="Arial" w:cs="Arial" w:eastAsia="Arial" w:hAnsi="Arial"/>
          <w:sz w:val="14"/>
          <w:szCs w:val="14"/>
          <w:color w:val="auto"/>
        </w:rPr>
        <w:t>the UK’s data protection regime, which is independent from but aligned to the EU’s data protection regime. Non-compliance with the UK GDPR may result in monetary penalties of up to £17.5 million or 4% of worldwide revenue, whichever is higher.</w:t>
      </w:r>
    </w:p>
    <w:p>
      <w:pPr>
        <w:ind w:firstLine="764"/>
        <w:spacing w:after="0" w:line="239" w:lineRule="auto"/>
        <w:rPr>
          <w:sz w:val="20"/>
          <w:szCs w:val="20"/>
          <w:color w:val="auto"/>
        </w:rPr>
      </w:pPr>
      <w:r>
        <w:rPr>
          <w:rFonts w:ascii="Arial" w:cs="Arial" w:eastAsia="Arial" w:hAnsi="Arial"/>
          <w:sz w:val="14"/>
          <w:szCs w:val="14"/>
          <w:color w:val="auto"/>
        </w:rPr>
        <w:t>As a result, we are potentially exposed to two parallel data protection regimes, each of which authorizes fines and the potential for divergent enforcement actions. The European Commission adopted the adequacy decision for the UK in June 2021, allowing a free flow of personal data from the EU to the UK where it benefits from an essentially equivalent level of protection to that guaranteed under EU data protection law. It should be noted that the UK GDPR also prohibits the transfer of personal data from the UK to other countries that are not recognized as having “adequate” data protection laws, including the U.S., in a similar manner to the EU. In addition, the UK Government has published its own form of SCCs, known as the International Data Transfer Agreement and International Data Transfer Addendum to the new EU SCCs. The UK Information Commissioner’s Office has also published its version of the transfer impact assessment and revised guidance on international transfers, although companies may choose to either use the EU style or UK style transfer impact assessment. In terms of international data transfers between the UK and US, it is understood that the UK and the US are negotiating an adequacy agreement.</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Current and future healthcare reform legislation</w:t>
      </w:r>
    </w:p>
    <w:p>
      <w:pPr>
        <w:spacing w:after="0" w:line="10" w:lineRule="exact"/>
        <w:rPr>
          <w:sz w:val="20"/>
          <w:szCs w:val="20"/>
          <w:color w:val="auto"/>
        </w:rPr>
      </w:pPr>
    </w:p>
    <w:p>
      <w:pPr>
        <w:ind w:firstLine="764"/>
        <w:spacing w:after="0" w:line="254" w:lineRule="auto"/>
        <w:rPr>
          <w:sz w:val="20"/>
          <w:szCs w:val="20"/>
          <w:color w:val="auto"/>
        </w:rPr>
      </w:pPr>
      <w:r>
        <w:rPr>
          <w:rFonts w:ascii="Arial" w:cs="Arial" w:eastAsia="Arial" w:hAnsi="Arial"/>
          <w:sz w:val="13"/>
          <w:szCs w:val="13"/>
          <w:color w:val="auto"/>
        </w:rPr>
        <w:t>In both the United States and certain foreign jurisdictions, there have been a number of legislative and regulatory changes to the health care system. In the United States, in March 2010, the Patient Protection and Affordable Care Act, as amended by the Health Care and Education Reconciliation Act, collectively known as the ACA, was enacted, which substantially changed the way healthcare is financed by both governmental and private payors, and significantly affected the 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Under the Inflation Reduction Act of 2022, or the IRA, this coverage gap discount program will be eliminated beginning January 1, 2025. Manufacturers will then be required to pay 10% of the negotiated price of brands, biologics and biosimilar products when Medicare Part D beneficiaries are in the initial coverage phase, and 20% of the negotiated price during the catastrophic phase of Medicare Part D coverage. There have been numerous historic judicial, administrative, executive, and legislative challenges and amendments (including recent amendments that expand access to care) to certain aspects of the ACA. In June 2021, the Supreme Court dismissed a lawsuit challenging the constitutionality of certain aspects of the ACA, without ruling on the meris of the constitutionality arguments. In the future, there may be additional legislative, regulatory, executive, or judicial actions that result in healthcare reform. It remains to be seen precisely what any new reforms will provide, when or if they will be enacted, and what impact they will have on the availability and cost of healthcare items and services, including drug products.</w:t>
      </w:r>
    </w:p>
    <w:p>
      <w:pPr>
        <w:spacing w:after="0" w:line="2" w:lineRule="exact"/>
        <w:rPr>
          <w:sz w:val="20"/>
          <w:szCs w:val="20"/>
          <w:color w:val="auto"/>
        </w:rPr>
      </w:pPr>
    </w:p>
    <w:p>
      <w:pPr>
        <w:ind w:right="120" w:firstLine="764"/>
        <w:spacing w:after="0" w:line="321" w:lineRule="auto"/>
        <w:rPr>
          <w:sz w:val="20"/>
          <w:szCs w:val="20"/>
          <w:color w:val="auto"/>
        </w:rPr>
      </w:pPr>
      <w:r>
        <w:rPr>
          <w:rFonts w:ascii="Arial" w:cs="Arial" w:eastAsia="Arial" w:hAnsi="Arial"/>
          <w:sz w:val="12"/>
          <w:szCs w:val="12"/>
          <w:color w:val="auto"/>
        </w:rPr>
        <w:t>Other legislative and regulatory changes have been proposed or adopted in the United States since the ACA was enacted, including several legislative and regulatory changes that are focused on capping or reducing healthcare costs, as well as measures that would address healthcare fraud and abuse, value-based care, drug pricing and other reforms. For example, in August 2022,</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2"/>
          <w:szCs w:val="12"/>
          <w:color w:val="auto"/>
        </w:rPr>
        <w:t>President Biden signed into law the IRA, which implements substantial changes to the Medicare program, including drug pricing reforms and changes to the Medicare Part D benefit design. Among other reforms, the Inflation Reduction Act of 2022 imposes inflation rebates on drug manufacturers for products reimbursed under Medicare Parts B and D if the prices of those products increase faster than inflation; implements changes to the Medicare Part D benefit that, beginning in 2025, will cap benefit annual out-of-pocket spending at $2,000, while imposing new discount obligations for pharmaceutical manufacturers; and, beginning in 2026, establishes a “maximum fair price” for a fixed number of high spend pharmaceutical and biological products covered under Medicare Parts B and D following a price negotiation process with the Centers for Medicare and Medicaid Services. The IRA explicitly excludes from price negotiation orphan drugs designated for only one rare disease or condition and for which the only approved indication is for such disease or condition. However, those drugs with multiple orphan designations are not explicitly excluded from drug price negotiation. It remains to be seen how the maximum fair prices or other drug pricing provisions imposed by the IRA will affect orphan drug development or the broader pharmaceutical industry.</w:t>
      </w:r>
    </w:p>
    <w:p>
      <w:pPr>
        <w:spacing w:after="0" w:line="50" w:lineRule="exact"/>
        <w:rPr>
          <w:sz w:val="20"/>
          <w:szCs w:val="20"/>
          <w:color w:val="auto"/>
        </w:rPr>
      </w:pPr>
    </w:p>
    <w:p>
      <w:pPr>
        <w:ind w:right="20" w:firstLine="764"/>
        <w:spacing w:after="0" w:line="284" w:lineRule="auto"/>
        <w:rPr>
          <w:sz w:val="20"/>
          <w:szCs w:val="20"/>
          <w:color w:val="auto"/>
        </w:rPr>
      </w:pPr>
      <w:r>
        <w:rPr>
          <w:rFonts w:ascii="Arial" w:cs="Arial" w:eastAsia="Arial" w:hAnsi="Arial"/>
          <w:sz w:val="13"/>
          <w:szCs w:val="13"/>
          <w:color w:val="auto"/>
        </w:rPr>
        <w:t>The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regulatory and enforcement interest in the United States with respect to specialty drug pricing practices. For example,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ind w:right="140" w:firstLine="764"/>
        <w:spacing w:after="0" w:line="267" w:lineRule="auto"/>
        <w:rPr>
          <w:sz w:val="20"/>
          <w:szCs w:val="20"/>
          <w:color w:val="auto"/>
        </w:rPr>
      </w:pPr>
      <w:r>
        <w:rPr>
          <w:rFonts w:ascii="Arial" w:cs="Arial" w:eastAsia="Arial" w:hAnsi="Arial"/>
          <w:sz w:val="14"/>
          <w:szCs w:val="14"/>
          <w:color w:val="auto"/>
        </w:rPr>
        <w:t>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57" w:lineRule="exact"/>
        <w:rPr>
          <w:sz w:val="20"/>
          <w:szCs w:val="20"/>
          <w:color w:val="auto"/>
        </w:rPr>
      </w:pPr>
    </w:p>
    <w:p>
      <w:pPr>
        <w:ind w:right="40" w:firstLine="764"/>
        <w:spacing w:after="0" w:line="260" w:lineRule="auto"/>
        <w:rPr>
          <w:sz w:val="20"/>
          <w:szCs w:val="20"/>
          <w:color w:val="auto"/>
        </w:rPr>
      </w:pPr>
      <w:r>
        <w:rPr>
          <w:rFonts w:ascii="Arial" w:cs="Arial" w:eastAsia="Arial" w:hAnsi="Arial"/>
          <w:sz w:val="14"/>
          <w:szCs w:val="14"/>
          <w:color w:val="auto"/>
        </w:rPr>
        <w:t>These laws, regulations, and actions, and any state or federal healthcare reform measures that may be adopted in the future, could reduce coverage or reimbursement Medicare and other government programs, may result in a similar reduction in coverage or payment from private payers, and may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2"/>
          <w:szCs w:val="12"/>
          <w:color w:val="auto"/>
        </w:rPr>
        <w:t>Legislative and regulatory proposals, and enactment of laws, at the foreign, federal, and state levels, directed at containing or lowering the cost of healthcare, will likely continue into the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future.</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 of World Regulation</w:t>
      </w:r>
    </w:p>
    <w:p>
      <w:pPr>
        <w:spacing w:after="0" w:line="94" w:lineRule="exact"/>
        <w:rPr>
          <w:sz w:val="20"/>
          <w:szCs w:val="20"/>
          <w:color w:val="auto"/>
        </w:rPr>
      </w:pPr>
    </w:p>
    <w:p>
      <w:pPr>
        <w:ind w:right="80" w:firstLine="764"/>
        <w:spacing w:after="0" w:line="297" w:lineRule="auto"/>
        <w:rPr>
          <w:sz w:val="20"/>
          <w:szCs w:val="20"/>
          <w:color w:val="auto"/>
        </w:rPr>
      </w:pPr>
      <w:r>
        <w:rPr>
          <w:rFonts w:ascii="Arial" w:cs="Arial" w:eastAsia="Arial" w:hAnsi="Arial"/>
          <w:sz w:val="13"/>
          <w:szCs w:val="13"/>
          <w:color w:val="auto"/>
        </w:rPr>
        <w:t>For other countries outside of the European Union and the United States, such as countries in Eastern Europe, Latin America or Asia, the requirements governing product development, the conduct of clinical trials, manufacturing, distribution, marketing approval, product licensing, pricing and reimbursement vary from country to country. Additionally, clinical trials must be conducted in accordance with GCP requirements and the applicable regulatory requirements and the ethical principles that have their origin in the Declaration of Helsinki.</w:t>
      </w:r>
    </w:p>
    <w:p>
      <w:pPr>
        <w:spacing w:after="0" w:line="39" w:lineRule="exact"/>
        <w:rPr>
          <w:sz w:val="20"/>
          <w:szCs w:val="20"/>
          <w:color w:val="auto"/>
        </w:rPr>
      </w:pPr>
    </w:p>
    <w:p>
      <w:pPr>
        <w:ind w:right="40" w:firstLine="764"/>
        <w:spacing w:after="0" w:line="281" w:lineRule="auto"/>
        <w:rPr>
          <w:sz w:val="20"/>
          <w:szCs w:val="20"/>
          <w:color w:val="auto"/>
        </w:rPr>
      </w:pPr>
      <w:r>
        <w:rPr>
          <w:rFonts w:ascii="Arial" w:cs="Arial" w:eastAsia="Arial" w:hAnsi="Arial"/>
          <w:sz w:val="14"/>
          <w:szCs w:val="14"/>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47" w:lineRule="exact"/>
        <w:rPr>
          <w:sz w:val="20"/>
          <w:szCs w:val="20"/>
          <w:color w:val="auto"/>
        </w:rPr>
      </w:pPr>
    </w:p>
    <w:p>
      <w:pPr>
        <w:ind w:right="340" w:firstLine="764"/>
        <w:spacing w:after="0" w:line="368" w:lineRule="auto"/>
        <w:rPr>
          <w:sz w:val="20"/>
          <w:szCs w:val="20"/>
          <w:color w:val="auto"/>
        </w:rPr>
      </w:pPr>
      <w:r>
        <w:rPr>
          <w:rFonts w:ascii="Arial" w:cs="Arial" w:eastAsia="Arial" w:hAnsi="Arial"/>
          <w:sz w:val="12"/>
          <w:szCs w:val="12"/>
          <w:color w:val="auto"/>
        </w:rPr>
        <w:t>Additionally, to the extent that any of our product candidates, once approved, are sold in a foreign country, we may be subject to applicable post-marketing requirements, including safety surveillance, anti-fraud and abuse laws and implementation of corporate compliance programs and reporting of payments or other transfers of value to healthcare professionals.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clinical trials regulation and clinical data sharing</w:t>
      </w:r>
    </w:p>
    <w:p>
      <w:pPr>
        <w:spacing w:after="0" w:line="83" w:lineRule="exact"/>
        <w:rPr>
          <w:sz w:val="20"/>
          <w:szCs w:val="20"/>
          <w:color w:val="auto"/>
        </w:rPr>
      </w:pPr>
    </w:p>
    <w:p>
      <w:pPr>
        <w:ind w:right="60" w:firstLine="764"/>
        <w:spacing w:after="0" w:line="288" w:lineRule="auto"/>
        <w:rPr>
          <w:sz w:val="20"/>
          <w:szCs w:val="20"/>
          <w:color w:val="auto"/>
        </w:rPr>
      </w:pPr>
      <w:r>
        <w:rPr>
          <w:rFonts w:ascii="Arial" w:cs="Arial" w:eastAsia="Arial" w:hAnsi="Arial"/>
          <w:sz w:val="13"/>
          <w:szCs w:val="13"/>
          <w:color w:val="auto"/>
        </w:rPr>
        <w:t>In the EU, a Clinical Trial Application, or CTA, must be submitted for each clinical trial to each country’s national competent authority, or NCA, and at least one independent Ethics Committee, or EC, much like the FDA and an IRB, respectively. Once the CTA is approved in accordance with a country’s requirements, the corresponding clinical trial may proceed. Under the current regime (the EU Clinical Trials Regulation 536/2014, which has been in effect since January 31, 2022 replacing the EU Clinical Trials Directive 2001/20/EC) all suspected unexpected serious adverse reactions to the investigated drug that occur during the clinical trial have to be reported to the NCA and ECs of the Member State where they occurred.</w:t>
      </w:r>
    </w:p>
    <w:p>
      <w:pPr>
        <w:spacing w:after="0" w:line="36" w:lineRule="exact"/>
        <w:rPr>
          <w:sz w:val="20"/>
          <w:szCs w:val="20"/>
          <w:color w:val="auto"/>
        </w:rPr>
      </w:pPr>
    </w:p>
    <w:p>
      <w:pPr>
        <w:ind w:firstLine="764"/>
        <w:spacing w:after="0" w:line="265" w:lineRule="auto"/>
        <w:rPr>
          <w:sz w:val="20"/>
          <w:szCs w:val="20"/>
          <w:color w:val="auto"/>
        </w:rPr>
      </w:pPr>
      <w:r>
        <w:rPr>
          <w:rFonts w:ascii="Arial" w:cs="Arial" w:eastAsia="Arial" w:hAnsi="Arial"/>
          <w:sz w:val="13"/>
          <w:szCs w:val="13"/>
          <w:color w:val="auto"/>
        </w:rPr>
        <w:t>In addition to data privacy requirements, many jurisdictions have mandatory clinical trial information obligations on sponsors. In the EU this is under the Transparency Regulation No 1049/ 2001, EMA Policy 0043, EMA Policy 0070, as well as the Clinical Trials Regulation No 536/2014, all of which impose on sponsors the obligation to make publicly available certain information stemming from clinical studies, either proactively or in response to third party requests. In the EU, the transparency framework provides for a wide right for (EU-based at the moment) interested parties to submit an access to documents request to the EMA for information included in the marketing authorization application dossier for approved medicinal products. Only very limited information is exempted from disclosure, i.e. commercially confidential information (which is construed increasingly narrowly) and protected personal data. It is possible for competitors to access and use this data in their own research and development programs anywhere in the world, once this data is in the public domain.</w:t>
      </w:r>
    </w:p>
    <w:p>
      <w:pPr>
        <w:spacing w:after="0" w:line="166" w:lineRule="exact"/>
        <w:rPr>
          <w:sz w:val="20"/>
          <w:szCs w:val="20"/>
          <w:color w:val="auto"/>
        </w:rPr>
      </w:pPr>
    </w:p>
    <w:p>
      <w:pPr>
        <w:ind w:right="240" w:firstLine="764"/>
        <w:spacing w:after="0" w:line="260" w:lineRule="auto"/>
        <w:rPr>
          <w:sz w:val="20"/>
          <w:szCs w:val="20"/>
          <w:color w:val="auto"/>
        </w:rPr>
      </w:pPr>
      <w:r>
        <w:rPr>
          <w:rFonts w:ascii="Arial" w:cs="Arial" w:eastAsia="Arial" w:hAnsi="Arial"/>
          <w:sz w:val="14"/>
          <w:szCs w:val="14"/>
          <w:color w:val="231F20"/>
        </w:rPr>
        <w:t>On May 3, 2022, the European Commission published a proposal for a regulation on the European Health Data Space, or EHDS, which aims to further enable exchange of electronic health data both for primary use (among national EU healthcare systems for patient care) and secondary use (among private companies and regulators to enable scientific research). Whilst the regulation is currently under discussions among the EU legislators, the text is expected to be finalized by the end of 2023 and for the EHDS to become reality in 2025. This will impose new obligations, but also create opportunities, for entities engaged in health-related research to share and access health data on a scale much larger than what is foreseen under current applicable transparency provisions.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drug review and approval</w:t>
      </w:r>
    </w:p>
    <w:p>
      <w:pPr>
        <w:spacing w:after="0" w:line="94" w:lineRule="exact"/>
        <w:rPr>
          <w:sz w:val="20"/>
          <w:szCs w:val="20"/>
          <w:color w:val="auto"/>
        </w:rPr>
      </w:pPr>
    </w:p>
    <w:p>
      <w:pPr>
        <w:ind w:firstLine="764"/>
        <w:spacing w:after="0" w:line="276" w:lineRule="auto"/>
        <w:rPr>
          <w:sz w:val="20"/>
          <w:szCs w:val="20"/>
          <w:color w:val="auto"/>
        </w:rPr>
      </w:pPr>
      <w:r>
        <w:rPr>
          <w:rFonts w:ascii="Arial" w:cs="Arial" w:eastAsia="Arial" w:hAnsi="Arial"/>
          <w:sz w:val="13"/>
          <w:szCs w:val="13"/>
          <w:color w:val="auto"/>
        </w:rPr>
        <w:t>To obtain a marketing authorization in the EEA (comprising the EU Member States, plus Norway, Iceland, and Liechtenstein), a company may submit marketing authorization applications either under a centralized procedure administered by the European Medicines Agency, or EMA, or one of the procedures administered by competent authorities in the EEA Member States (decentralized procedure, national procedure, or mutual recognition procedure). The centralized procedure is compulsory for certain medicines, including those produced by biotechnology, products designated as orphan medicinal products, advanced therapy medicinal products (gene therapy, somatic cell therapy and tissue-engineered products) and those with a new active substance indicated for the treatment of HIV, AIDS, cancer, neurodegenerative disorders, autoimmune and other immune dysfunctions, viral diseases, or diabetes. The centralized procedure is optional for those medicines which contain a new active substance, or which are a significant therapeutic, scientific, or technical innovation or whose authorization would be in the interest of public health. The centralized procedure provides for the grant of a single marketing authorization that is valid throughout the EEA.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EMA's Committee for Medicinal Products for Human Use, or CHMP. Clock stops may extend the timeframe of evaluation of a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positive opinion. Accelerated assessment might be granted by the CHMP in exceptional cases, when a medicinal product is expected to be of major public health interest, particularly from the point of view of therapeutic innovation. The timeframe for the evaluation of a MAA under the accelerated assessment procedure is 150 days, excluding clock stops, but it is possible that the CHMP may revert to the standard time limit for the centralized procedure if it determines that it is no longer appropriate to conduct an accelerated assessment. As far as pediatric marketing authorization applications are concerned, all applications for marketing authorization for new medicines have to include the results of studies as described in an agreed Pediatric Investigation Plan (PIP), unless the medicine is exempt because of a deferral or waiver.</w:t>
      </w:r>
    </w:p>
    <w:p>
      <w:pPr>
        <w:spacing w:after="0" w:line="52" w:lineRule="exact"/>
        <w:rPr>
          <w:sz w:val="20"/>
          <w:szCs w:val="20"/>
          <w:color w:val="auto"/>
        </w:rPr>
      </w:pPr>
    </w:p>
    <w:p>
      <w:pPr>
        <w:ind w:right="120" w:firstLine="764"/>
        <w:spacing w:after="0" w:line="288" w:lineRule="auto"/>
        <w:rPr>
          <w:sz w:val="20"/>
          <w:szCs w:val="20"/>
          <w:color w:val="auto"/>
        </w:rPr>
      </w:pPr>
      <w:r>
        <w:rPr>
          <w:rFonts w:ascii="Arial" w:cs="Arial" w:eastAsia="Arial" w:hAnsi="Arial"/>
          <w:sz w:val="13"/>
          <w:szCs w:val="13"/>
          <w:color w:val="auto"/>
        </w:rPr>
        <w:t>Through the decentralized procedure, a medicinal product that has not yet been authorized in the EEA can be simultaneously authorized in several EEA Member States. The mutual recognition procedure provides for mutual recognition of national approval decisions. Under this procedure, the holder of a national marketing authorization may submit an application to other EEA Member States. Within 90 days of receiving the applications and assessment reports, each Member State involved must decide whether to recognize the approval. If a Member State does not recognize the marketing authorization, the disputed points are eventually referred to the European Commission, whose decision is binding.</w:t>
      </w:r>
    </w:p>
    <w:p>
      <w:pPr>
        <w:spacing w:after="0" w:line="46" w:lineRule="exact"/>
        <w:rPr>
          <w:sz w:val="20"/>
          <w:szCs w:val="20"/>
          <w:color w:val="auto"/>
        </w:rPr>
      </w:pPr>
    </w:p>
    <w:p>
      <w:pPr>
        <w:ind w:right="20" w:firstLine="764"/>
        <w:spacing w:after="0" w:line="253" w:lineRule="auto"/>
        <w:rPr>
          <w:sz w:val="20"/>
          <w:szCs w:val="20"/>
          <w:color w:val="auto"/>
        </w:rPr>
      </w:pPr>
      <w:r>
        <w:rPr>
          <w:rFonts w:ascii="Arial" w:cs="Arial" w:eastAsia="Arial" w:hAnsi="Arial"/>
          <w:sz w:val="14"/>
          <w:szCs w:val="14"/>
          <w:color w:val="auto"/>
        </w:rPr>
        <w:t>To obtain a marketing authorization in Switzerland, a company must submit a marketing authorization application to Swissmedic, Switzerland’s national authorization and supervisory authority for medicinal products and medical devices. There are no international agreements on mutual recognition of authorizations in relation to medicinal products. However, marketing authorization dossiers can be submitted to Swissmedic with clinical data, irrespective of the location where a clinical trial was conducted, that were collected in accordance with globally applicable international standards such as the Good Clinical Practice, or GCP, of the International Conference on Harmonization, or ICH, which are based on the Declaration of Helsinki. Furthermore, if a medicinal product or procedure is already authorized in a country having equivalent medicinal product control, the results of tests carried out for this purpose shall be taken into account. According to Swissmedic's practice, this includes the authorization procedures of the following countries: Australia, the member states of the EU, the EFTA states in the EEA (Liechtenstein, Norway and Iceland), Japan, Canada, New Zealand, Singapore and the United States.</w:t>
      </w:r>
    </w:p>
    <w:p>
      <w:pPr>
        <w:spacing w:after="0" w:line="2" w:lineRule="exact"/>
        <w:rPr>
          <w:sz w:val="20"/>
          <w:szCs w:val="20"/>
          <w:color w:val="auto"/>
        </w:rPr>
      </w:pPr>
    </w:p>
    <w:p>
      <w:pPr>
        <w:ind w:right="40" w:firstLine="764"/>
        <w:spacing w:after="0" w:line="236" w:lineRule="auto"/>
        <w:rPr>
          <w:sz w:val="20"/>
          <w:szCs w:val="20"/>
          <w:color w:val="auto"/>
        </w:rPr>
      </w:pPr>
      <w:r>
        <w:rPr>
          <w:rFonts w:ascii="Arial" w:cs="Arial" w:eastAsia="Arial" w:hAnsi="Arial"/>
          <w:sz w:val="14"/>
          <w:szCs w:val="14"/>
          <w:color w:val="auto"/>
        </w:rPr>
        <w:t>Now that the UK (which comprises Great Britain and Northern Ireland) has left the EU, Great Britain will no longer be covered by centralized marketing authorizations (under the Northern Irish Protocol, centralized marketing authorizations will continue to be recognized in Northern Ireland). All medicinal products with an existing centralized marketing authorization were automatically converted to Great Britain marketing authorizations on January 1, 2021. For a period of two years from January 1, 2021, the Medicines and Healthcare Products Regulatory Agency, or MHRA, the UK medicines regulator, may rely on a decision taken by the European Commission on the approval of a new marketing authorization in the centralized procedure. A separate application will, however, still be required. The MHRA has ceased to participate in the assessment of any centralized procedures since January 1, 2021. Since then, the MHRA has launched the Innovative Licensing and Access Pathway, or ILAP, a new accelerated assessment procedure for marketing authorization applications facilitating the interaction with pricing authorities and HTA bodies and aiming to enable companies to enter the UK market faster.</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orphan drug designation and exclusivity</w:t>
      </w:r>
    </w:p>
    <w:p>
      <w:pPr>
        <w:spacing w:after="0" w:line="94" w:lineRule="exact"/>
        <w:rPr>
          <w:sz w:val="20"/>
          <w:szCs w:val="20"/>
          <w:color w:val="auto"/>
        </w:rPr>
      </w:pPr>
    </w:p>
    <w:p>
      <w:pPr>
        <w:ind w:firstLine="764"/>
        <w:spacing w:after="0" w:line="272" w:lineRule="auto"/>
        <w:rPr>
          <w:sz w:val="20"/>
          <w:szCs w:val="20"/>
          <w:color w:val="auto"/>
        </w:rPr>
      </w:pPr>
      <w:r>
        <w:rPr>
          <w:rFonts w:ascii="Arial" w:cs="Arial" w:eastAsia="Arial" w:hAnsi="Arial"/>
          <w:sz w:val="13"/>
          <w:szCs w:val="13"/>
          <w:color w:val="auto"/>
        </w:rPr>
        <w:t>As in the U.S., we may apply for designation of a product candidate as an orphan drug for the treatment of a specific indication in the EEA before the application for marketing authorization is made. The criteria for designating an “orphan medicinal product” in the EEA are similar in principle to those in the United States. Under Article 3 of Regulation (EC) 141/2000, a medicinal product may be designated as an orphan medicinal product if it meets the following criteria: (1) is intended for the diagnosis, prevention or treatment of a life-threatening or chronically debilitating condition; and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 Sponsors of orphan drugs can enjoy economic and marketing benefits, including a reduction of fees or fee waivers and up to ten years of market exclusivity for the approved indication which can be further extended by two years under certain circumstances; namely when the pediatric studies have been conducted in accordance with an agreed PIP and other requirements are satisfied. During such period of market exclusivity, marketing authorization applications for “similar medicinal products” will not be accepted, unless another applicant can show that its product is safer, more effective or otherwise clinically superior to the orphan-designated product, the marketing authorization holder consents to the second orphan medicinal product application, or where the marketing authorization holder cannot supply enough orphan medicinal product. In the EEA, a “similar medicinal product” is a medicinal product containing a similar active substance or substances as contained in a currently authorized orphan medicinal product, and which is intended for the same therapeutic indication. The ten-year market exclusivity may be reduced to six years if, at the end of the fifth year, it is established that the product no longer meets the criteria for orphan designation, for example, if the product is sufficiently profitable not to justify the maintenance of market exclusivity.</w:t>
      </w:r>
    </w:p>
    <w:p>
      <w:pPr>
        <w:spacing w:after="0" w:line="6" w:lineRule="exact"/>
        <w:rPr>
          <w:sz w:val="20"/>
          <w:szCs w:val="20"/>
          <w:color w:val="auto"/>
        </w:rPr>
      </w:pPr>
    </w:p>
    <w:p>
      <w:pPr>
        <w:ind w:right="100" w:firstLine="764"/>
        <w:spacing w:after="0" w:line="236" w:lineRule="auto"/>
        <w:rPr>
          <w:sz w:val="20"/>
          <w:szCs w:val="20"/>
          <w:color w:val="auto"/>
        </w:rPr>
      </w:pPr>
      <w:r>
        <w:rPr>
          <w:rFonts w:ascii="Arial" w:cs="Arial" w:eastAsia="Arial" w:hAnsi="Arial"/>
          <w:sz w:val="14"/>
          <w:szCs w:val="14"/>
          <w:color w:val="auto"/>
        </w:rPr>
        <w:t>The general pharmaceutical legislative framework, as well as the framework applicable to orphan and pediatric medicinal products in the EU, is under review. The European Commission expects to publish its position on this in March 2023. However, draft proposals by the European Commission for a new Regulation set to replace Regulation (EC) No 726/2004 and a new Directive replacing Directive 2001/83 on the Community Code relating to medicinal products for human use were recently leaked to the press on January 31, 2023. Although the final proposals are not yet known, it is expected that there will be a reduction in applicable regulatory exclusivities which will significantly affect all medicinal products that will be authorized after the legislative changes have taken effect.</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Brexit and the Regulatory Framework in the United Kingdom</w:t>
      </w:r>
    </w:p>
    <w:p>
      <w:pPr>
        <w:spacing w:after="0" w:line="10" w:lineRule="exact"/>
        <w:rPr>
          <w:sz w:val="20"/>
          <w:szCs w:val="20"/>
          <w:color w:val="auto"/>
        </w:rPr>
      </w:pPr>
    </w:p>
    <w:p>
      <w:pPr>
        <w:ind w:right="120" w:firstLine="764"/>
        <w:spacing w:after="0" w:line="239" w:lineRule="auto"/>
        <w:rPr>
          <w:sz w:val="20"/>
          <w:szCs w:val="20"/>
          <w:color w:val="auto"/>
        </w:rPr>
      </w:pPr>
      <w:r>
        <w:rPr>
          <w:rFonts w:ascii="Arial" w:cs="Arial" w:eastAsia="Arial" w:hAnsi="Arial"/>
          <w:sz w:val="14"/>
          <w:szCs w:val="14"/>
          <w:color w:val="auto"/>
        </w:rPr>
        <w:t>The UK officially left the EU on January 31, 2020. A transition period began on February 1, 2020, during which EU pharmaceutical law remained applicable to the UK. This transition period ended on December 31, 2020. Since the regulatory framework in the UK covering the quality, safety and efficacy of pharmaceutical products, clinical trials, marketing authorization, commercial sales and distribution of pharmaceutical products is derived from EU Directives and Regulations, it continues to apply presently as “retained EU law”. However, as UK legislation now has the potential to diverge from EU legislation, the future regulatory regime which applies to products and the approval of product candidates in the UK may change. It remains to be seen how Brexit will impact regulatory requirements for product candidates and products in the UK in the long-term. The MHRA published detailed guidance for industry and organizations to follow which will be updated as the UK’s regulatory position on medicinal products evolves over time.</w:t>
      </w:r>
    </w:p>
    <w:p>
      <w:pPr>
        <w:spacing w:after="0" w:line="76" w:lineRule="exact"/>
        <w:rPr>
          <w:sz w:val="20"/>
          <w:szCs w:val="20"/>
          <w:color w:val="auto"/>
        </w:rPr>
      </w:pPr>
    </w:p>
    <w:p>
      <w:pPr>
        <w:ind w:right="80" w:firstLine="764"/>
        <w:spacing w:after="0" w:line="280" w:lineRule="auto"/>
        <w:rPr>
          <w:sz w:val="20"/>
          <w:szCs w:val="20"/>
          <w:color w:val="auto"/>
        </w:rPr>
      </w:pPr>
      <w:r>
        <w:rPr>
          <w:rFonts w:ascii="Arial" w:cs="Arial" w:eastAsia="Arial" w:hAnsi="Arial"/>
          <w:sz w:val="13"/>
          <w:szCs w:val="13"/>
          <w:color w:val="auto"/>
        </w:rPr>
        <w:t>‘Retained EU law,’ which has prevented substantial divergence to the regulation of medicines. However, some changes to the UK legislation have been necessary, including the implementation of the Northern Ireland Protocol (NIP), pursuant to which the EU pharmaceutical legal framework continues to apply in Northern Ireland (subject to periodic consent of the Northern Ireland Legislative Assembly), and only products compliant with EU law can be placed in the Northern Ireland market. This dynamic adds an extra layer of regulatory complexity for companies withing to commercialize medicinal products in Great Britain (namely, England, Wales and Scotland, as EU law continues to apply in Northern Ireland), as such companies now need to comply with separate UK regulatory legal framework. The UK government is currently trying to renegotiate certain aspects of the Northern Ireland Protocol so this is an unpredictable area for companies in the near future. The Trade and Cooperation Agreement signed between the UK and the EU allows for future deviation from the current regulatory framework and it is not known if and/or when any deviations may occur, which may have an impact on development, manufacture, marketing authorization, commercial sales and distribution of pharmaceutical products.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Coverage and reimbursement</w:t>
      </w:r>
    </w:p>
    <w:p>
      <w:pPr>
        <w:spacing w:after="0" w:line="94" w:lineRule="exact"/>
        <w:rPr>
          <w:sz w:val="20"/>
          <w:szCs w:val="20"/>
          <w:color w:val="auto"/>
        </w:rPr>
      </w:pPr>
    </w:p>
    <w:p>
      <w:pPr>
        <w:ind w:right="160" w:firstLine="764"/>
        <w:spacing w:after="0" w:line="267" w:lineRule="auto"/>
        <w:rPr>
          <w:sz w:val="20"/>
          <w:szCs w:val="20"/>
          <w:color w:val="auto"/>
        </w:rPr>
      </w:pPr>
      <w:r>
        <w:rPr>
          <w:rFonts w:ascii="Arial" w:cs="Arial" w:eastAsia="Arial" w:hAnsi="Arial"/>
          <w:sz w:val="14"/>
          <w:szCs w:val="14"/>
          <w:color w:val="auto"/>
        </w:rPr>
        <w:t>Successful commercialization of new drug products depends in part on the extent to which coverage and reimbursement, as applicable, for those drug products will be available from government health administration authorities, private health insurers, and other organizations. Government authorities and third-party payors, such as private health insurers and health maintenance organizations, decide which drug products they will cover and pay for and establish</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80"/>
        <w:spacing w:after="0" w:line="331" w:lineRule="auto"/>
        <w:rPr>
          <w:sz w:val="20"/>
          <w:szCs w:val="20"/>
          <w:color w:val="auto"/>
        </w:rPr>
      </w:pPr>
      <w:r>
        <w:rPr>
          <w:rFonts w:ascii="Arial" w:cs="Arial" w:eastAsia="Arial" w:hAnsi="Arial"/>
          <w:sz w:val="12"/>
          <w:szCs w:val="12"/>
          <w:color w:val="auto"/>
        </w:rPr>
        <w:t>reimbursement levels. The availability and extent of coverage and reimbursement by governmental and private payors is essential for most patients to be able to afford a drug product. Sales of drug products depend substantially, both domestically and abroad, on the extent to which drugs are covered and the costs of drugs products are paid for by health maintenance, managed care, pharmacy benefit and similar healthcare management organizations, or covered and reimbursed by government health administration authorities, private health coverage insurers and other third-party payors.</w:t>
      </w:r>
    </w:p>
    <w:p>
      <w:pPr>
        <w:spacing w:after="0" w:line="23" w:lineRule="exact"/>
        <w:rPr>
          <w:sz w:val="20"/>
          <w:szCs w:val="20"/>
          <w:color w:val="auto"/>
        </w:rPr>
      </w:pPr>
    </w:p>
    <w:p>
      <w:pPr>
        <w:jc w:val="both"/>
        <w:ind w:right="100" w:firstLine="764"/>
        <w:spacing w:after="0" w:line="273" w:lineRule="auto"/>
        <w:rPr>
          <w:sz w:val="20"/>
          <w:szCs w:val="20"/>
          <w:color w:val="auto"/>
        </w:rPr>
      </w:pPr>
      <w:r>
        <w:rPr>
          <w:rFonts w:ascii="Arial" w:cs="Arial" w:eastAsia="Arial" w:hAnsi="Arial"/>
          <w:sz w:val="13"/>
          <w:szCs w:val="13"/>
          <w:color w:val="auto"/>
        </w:rPr>
        <w:t>A primary trend in the U.S. healthcare industry and elsewhere is cost containment. Government authorities and third-party payors have attempted to control costs by limiting coverage and the amount of reimbursement for particular drug products. In many countries, the prices of drug products are subject to varying price control mechanisms as part of national health systems. In general, the prices of drug products under such systems are substantially lower than in the United States. Other countries allow companies to fix their own prices for drug products but monitor and control company profits. Accordingly, in markets outside the United States, the reimbursement for drug products may be reduced compared with the United States.</w:t>
      </w:r>
    </w:p>
    <w:p>
      <w:pPr>
        <w:ind w:firstLine="764"/>
        <w:spacing w:after="0" w:line="237" w:lineRule="auto"/>
        <w:rPr>
          <w:sz w:val="20"/>
          <w:szCs w:val="20"/>
          <w:color w:val="auto"/>
        </w:rPr>
      </w:pPr>
      <w:r>
        <w:rPr>
          <w:rFonts w:ascii="Arial" w:cs="Arial" w:eastAsia="Arial" w:hAnsi="Arial"/>
          <w:sz w:val="14"/>
          <w:szCs w:val="14"/>
          <w:color w:val="auto"/>
        </w:rPr>
        <w:t>In the United States, the decisions about Medicare reimbursement for new drug products are typically made by CMS, an agency within the U.S. Department of Health and Human Services, or HHS. CMS decides whether and to what extent a new drug product will be covered and reimbursed under Medicare, and private payors tend to follow CMS coverage guidelines. However, no uniform policy of coverage and reimbursement for drug products exists among third-party payors and coverage and reimbursement levels for drug products can differ significantly from payor to payor.</w:t>
      </w:r>
    </w:p>
    <w:p>
      <w:pPr>
        <w:spacing w:after="0" w:line="1" w:lineRule="exact"/>
        <w:rPr>
          <w:sz w:val="20"/>
          <w:szCs w:val="20"/>
          <w:color w:val="auto"/>
        </w:rPr>
      </w:pPr>
    </w:p>
    <w:p>
      <w:pPr>
        <w:ind w:firstLine="764"/>
        <w:spacing w:after="0" w:line="256" w:lineRule="auto"/>
        <w:rPr>
          <w:sz w:val="20"/>
          <w:szCs w:val="20"/>
          <w:color w:val="auto"/>
        </w:rPr>
      </w:pPr>
      <w:r>
        <w:rPr>
          <w:rFonts w:ascii="Arial" w:cs="Arial" w:eastAsia="Arial" w:hAnsi="Arial"/>
          <w:sz w:val="13"/>
          <w:szCs w:val="13"/>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While all Medicare drug plans must give at least a standard level of coverage set by Medicare, Part D prescription drug plan sponsors are not required to pay for all covered Part D drugs, and each Part D prescription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and with some exceptions for certain classes of drugs. Any formulary used by a Part D prescription drug plan must be developed and reviewed by a pharmacy and therapeutic committee. Government payment for some of the costs of prescription drugs may increase demand for drugs for which we obtain marketing approval. Any negotiated prices for any of our products covered by a Part D prescription drug plan will likely be lower than the prices we might otherwise obtain. Additionally, beginning in 2025, manufacturers must pay additional discounts for products covered under Medicare Part D. Moreover, while the MMA Part D plan policies applies only to drug benefits for Medicare beneficiaries, private payors often follow Medicare coverage policies and payment limitations in setting their own payment rates coverage guidelines. Any reduction in payment restrictions in Part D coverage that results from the MMA may result in a similar reduction in payment restrictions from non-governmental payors.</w:t>
      </w:r>
    </w:p>
    <w:p>
      <w:pPr>
        <w:spacing w:after="0" w:line="70" w:lineRule="exact"/>
        <w:rPr>
          <w:sz w:val="20"/>
          <w:szCs w:val="20"/>
          <w:color w:val="auto"/>
        </w:rPr>
      </w:pPr>
    </w:p>
    <w:p>
      <w:pPr>
        <w:ind w:firstLine="764"/>
        <w:spacing w:after="0" w:line="309" w:lineRule="auto"/>
        <w:rPr>
          <w:sz w:val="20"/>
          <w:szCs w:val="20"/>
          <w:color w:val="auto"/>
        </w:rPr>
      </w:pPr>
      <w:r>
        <w:rPr>
          <w:rFonts w:ascii="Arial" w:cs="Arial" w:eastAsia="Arial" w:hAnsi="Arial"/>
          <w:sz w:val="12"/>
          <w:szCs w:val="12"/>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average manufacturer price, or AMP, and Medicaid rebate amounts reported by the manufacturer. As of 2010, the ACA expanded the types of entities eligible to receive discounted 340B pricing, although under the current state of the law these newly eligible entities (with the exception of children’s hospitals) will not be eligible to receive discounted 340B pricing on orphan drugs. As 340B drug pricing is determined based on AMP and Medicaid rebate data, the revisions to the Medicaid rebate formula and AMP definition described above could cause the required 340B discount to increase. The 340B drug pricing program may be subject to future changes in light of ongoing litigation and attempts to reform the program. It is unclear how any such changes could affect our obligation to offer 340B pricing to certain entities.</w:t>
      </w:r>
    </w:p>
    <w:p>
      <w:pPr>
        <w:spacing w:after="0" w:line="37" w:lineRule="exact"/>
        <w:rPr>
          <w:sz w:val="20"/>
          <w:szCs w:val="20"/>
          <w:color w:val="auto"/>
        </w:rPr>
      </w:pPr>
    </w:p>
    <w:p>
      <w:pPr>
        <w:ind w:right="40" w:firstLine="764"/>
        <w:spacing w:after="0" w:line="267" w:lineRule="auto"/>
        <w:rPr>
          <w:sz w:val="20"/>
          <w:szCs w:val="20"/>
          <w:color w:val="auto"/>
        </w:rPr>
      </w:pPr>
      <w:r>
        <w:rPr>
          <w:rFonts w:ascii="Arial" w:cs="Arial" w:eastAsia="Arial" w:hAnsi="Arial"/>
          <w:sz w:val="14"/>
          <w:szCs w:val="14"/>
          <w:color w:val="auto"/>
        </w:rPr>
        <w:t>These laws, and future state and federal healthcare reform measures may be adopted in the future, any of which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57" w:lineRule="exact"/>
        <w:rPr>
          <w:sz w:val="20"/>
          <w:szCs w:val="20"/>
          <w:color w:val="auto"/>
        </w:rPr>
      </w:pPr>
    </w:p>
    <w:p>
      <w:pPr>
        <w:ind w:firstLine="764"/>
        <w:spacing w:after="0" w:line="309" w:lineRule="auto"/>
        <w:rPr>
          <w:sz w:val="20"/>
          <w:szCs w:val="20"/>
          <w:color w:val="auto"/>
        </w:rPr>
      </w:pPr>
      <w:r>
        <w:rPr>
          <w:rFonts w:ascii="Arial" w:cs="Arial" w:eastAsia="Arial" w:hAnsi="Arial"/>
          <w:sz w:val="12"/>
          <w:szCs w:val="12"/>
          <w:color w:val="auto"/>
        </w:rPr>
        <w:t>Outside of the United States, the pricing of pharmaceutical products and medical devices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therapy to currently available therapies or so-called health technology assessments, or HTA, in order to obtain reimbursement or pricing approval. The outcome of HTA assessments is decided on a national basis and some payors may not reimburse the use of assessed products or may reduce the rate of reimbursement for such products. In December 2021, the EU adopted a new Regulation on Health Technology Assessment. The Regulation creates collaborative structures and procedures that allow Member States to carry out joint clinical assessments, effect joint clinical consultations and identify jointly emerging health technologies and will come into effect in 2025.</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300" w:firstLine="764"/>
        <w:spacing w:after="0" w:line="281" w:lineRule="auto"/>
        <w:rPr>
          <w:sz w:val="20"/>
          <w:szCs w:val="20"/>
          <w:color w:val="auto"/>
        </w:rPr>
      </w:pPr>
      <w:r>
        <w:rPr>
          <w:rFonts w:ascii="Arial" w:cs="Arial" w:eastAsia="Arial" w:hAnsi="Arial"/>
          <w:sz w:val="14"/>
          <w:szCs w:val="14"/>
          <w:color w:val="auto"/>
        </w:rPr>
        <w:t>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 Resources</w:t>
      </w:r>
    </w:p>
    <w:p>
      <w:pPr>
        <w:spacing w:after="0" w:line="161" w:lineRule="exact"/>
        <w:rPr>
          <w:sz w:val="20"/>
          <w:szCs w:val="20"/>
          <w:color w:val="auto"/>
        </w:rPr>
      </w:pPr>
    </w:p>
    <w:p>
      <w:pPr>
        <w:ind w:right="260" w:firstLine="509"/>
        <w:spacing w:after="0" w:line="267" w:lineRule="auto"/>
        <w:rPr>
          <w:sz w:val="20"/>
          <w:szCs w:val="20"/>
          <w:color w:val="auto"/>
        </w:rPr>
      </w:pPr>
      <w:r>
        <w:rPr>
          <w:rFonts w:ascii="Arial" w:cs="Arial" w:eastAsia="Arial" w:hAnsi="Arial"/>
          <w:sz w:val="14"/>
          <w:szCs w:val="14"/>
          <w:color w:val="auto"/>
        </w:rPr>
        <w:t>As of December 31, 2022, we had 124 full-time employees, including 41 with Ph.D. or M.D. degrees. Of our employees, 85 were engaged in research and development activities, and 39 were engaged in general and administrative activities. None of our employees are represented by labor unions or covered by collective bargaining agreements, and we have experienced no work stoppages. We consider our relationship with our employees to be good.</w:t>
      </w:r>
    </w:p>
    <w:p>
      <w:pPr>
        <w:spacing w:after="0" w:line="110"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We rely on skilled, experienced, and innovative employees to conduct the operations of our company and we continue to face intense competition for our personnel from our competitors and other companies throughout our industry. The biotechnology industry is very competitive and recruiting and retaining such employees is important to the continued success of our business. We are committed to building an outstanding, committed team and fostering a rewarding work environment and a culture that values scientific innovation, inclusion, collaboration, and equity. We believe that each employee brings unique perspectives and strengths, and by embracing these strengths, we can do our best work for patients. We focus on recruiting, retaining, and developing employees from a diverse range of backgrounds to conduct our research, development, and clinical activities.</w:t>
      </w:r>
    </w:p>
    <w:p>
      <w:pPr>
        <w:spacing w:after="0" w:line="115" w:lineRule="exact"/>
        <w:rPr>
          <w:sz w:val="20"/>
          <w:szCs w:val="20"/>
          <w:color w:val="auto"/>
        </w:rPr>
      </w:pPr>
    </w:p>
    <w:p>
      <w:pPr>
        <w:ind w:right="300" w:firstLine="509"/>
        <w:spacing w:after="0" w:line="288" w:lineRule="auto"/>
        <w:rPr>
          <w:sz w:val="20"/>
          <w:szCs w:val="20"/>
          <w:color w:val="auto"/>
        </w:rPr>
      </w:pPr>
      <w:r>
        <w:rPr>
          <w:rFonts w:ascii="Arial" w:cs="Arial" w:eastAsia="Arial" w:hAnsi="Arial"/>
          <w:sz w:val="13"/>
          <w:szCs w:val="13"/>
          <w:color w:val="auto"/>
        </w:rPr>
        <w:t>As part of our measures to attract and retain a highly skilled workforce, we offer a number of benefits to our full-time employees to help support their health and financial well-being, including medical, dental and vision insurance, life insurance, 401k retirement program with a company match, flexible spending accounts, and paid holiday and vacation time. We provide our employees with competitive salaries and bonuses, opportunities for equity ownership, development opportunities that enable continued learning and growth and a robust recognition program that recognizes and celebrates their accomplishments. In addition, we regularly conduct an employee survey to gauge employee engagement and identify areas of focus.</w:t>
      </w:r>
    </w:p>
    <w:p>
      <w:pPr>
        <w:spacing w:after="0" w:line="110" w:lineRule="exact"/>
        <w:rPr>
          <w:sz w:val="20"/>
          <w:szCs w:val="20"/>
          <w:color w:val="auto"/>
        </w:rPr>
      </w:pPr>
    </w:p>
    <w:p>
      <w:pPr>
        <w:ind w:right="80" w:firstLine="509"/>
        <w:spacing w:after="0" w:line="262" w:lineRule="auto"/>
        <w:rPr>
          <w:sz w:val="20"/>
          <w:szCs w:val="20"/>
          <w:color w:val="auto"/>
        </w:rPr>
      </w:pPr>
      <w:r>
        <w:rPr>
          <w:rFonts w:ascii="Arial" w:cs="Arial" w:eastAsia="Arial" w:hAnsi="Arial"/>
          <w:sz w:val="14"/>
          <w:szCs w:val="14"/>
          <w:color w:val="auto"/>
        </w:rPr>
        <w:t>The health and safety of our employees is a priority. In 2022, we maintained the employee benefits enhancements that were implemented in response to the COVID-19 pandemic. For example, we increased company-wide flexible work arrangements, provided weekly onsite COVID-19 testing for all employees routinely working onsite through the Omicron surge and provided at-home COVID-19 test kits to any employee who may have been exposed to COVID-19 at work. Our management has continued to assess and respond to the evolving needs of our workforce throughout the pandemic.</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and Available Information</w:t>
      </w:r>
    </w:p>
    <w:p>
      <w:pPr>
        <w:spacing w:after="0" w:line="151" w:lineRule="exact"/>
        <w:rPr>
          <w:sz w:val="20"/>
          <w:szCs w:val="20"/>
          <w:color w:val="auto"/>
        </w:rPr>
      </w:pPr>
    </w:p>
    <w:p>
      <w:pPr>
        <w:ind w:right="160" w:firstLine="509"/>
        <w:spacing w:after="0" w:line="281" w:lineRule="auto"/>
        <w:rPr>
          <w:sz w:val="20"/>
          <w:szCs w:val="20"/>
          <w:color w:val="auto"/>
        </w:rPr>
      </w:pPr>
      <w:r>
        <w:rPr>
          <w:rFonts w:ascii="Arial" w:cs="Arial" w:eastAsia="Arial" w:hAnsi="Arial"/>
          <w:sz w:val="14"/>
          <w:szCs w:val="14"/>
          <w:color w:val="auto"/>
        </w:rPr>
        <w:t>We were incorporated under the laws of the State of Delaware in June 2015. Our principal executive office is located at 260 Littlefield Avenue, South San Francisco, California 94080, and our telephone number is (650) 481-6770. Our website address is https://pliantrx.com.</w:t>
      </w:r>
    </w:p>
    <w:p>
      <w:pPr>
        <w:spacing w:after="0" w:line="111"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We file or furnish electronically with the U.S. Securities and Exchange Commission (the “SEC”) annual reports on Form 10-K, quarterly reports on Form 10-Q, current reports on Form 8-K and amendments to those reports filed or furnished pursuant to Section 13(a) or 15(d) of the Exchange Act. We make copies of these reports available free of charge through our investor relations website as soon as reasonably practicable after we file or furnish them with the SEC. The SEC maintains an Internet site that contains reports, proxy and information statements and other information regarding our filings at www.sec.gov.</w:t>
      </w:r>
    </w:p>
    <w:p>
      <w:pPr>
        <w:spacing w:after="0" w:line="114" w:lineRule="exact"/>
        <w:rPr>
          <w:sz w:val="20"/>
          <w:szCs w:val="20"/>
          <w:color w:val="auto"/>
        </w:rPr>
      </w:pPr>
    </w:p>
    <w:p>
      <w:pPr>
        <w:ind w:right="160" w:firstLine="509"/>
        <w:spacing w:after="0" w:line="260" w:lineRule="auto"/>
        <w:rPr>
          <w:sz w:val="20"/>
          <w:szCs w:val="20"/>
          <w:color w:val="auto"/>
        </w:rPr>
      </w:pPr>
      <w:r>
        <w:rPr>
          <w:rFonts w:ascii="Arial" w:cs="Arial" w:eastAsia="Arial" w:hAnsi="Arial"/>
          <w:sz w:val="14"/>
          <w:szCs w:val="14"/>
          <w:color w:val="auto"/>
        </w:rPr>
        <w:t>Information contained on or accessible through our websites is not incorporated into, and does not form a part of, this Annual Report or any other report or document we file with the SEC, and any references to our websites are intended to be inactive textual references only.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RISK FACTORS</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Risks Related to Our Financial Position and Need for Additional Capital</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We have incurred significant net losses since inception and we expect to continue to incur significant net losses for the foreseeable future.</w:t>
      </w:r>
    </w:p>
    <w:p>
      <w:pPr>
        <w:spacing w:after="0" w:line="94" w:lineRule="exact"/>
        <w:rPr>
          <w:sz w:val="20"/>
          <w:szCs w:val="20"/>
          <w:color w:val="auto"/>
        </w:rPr>
      </w:pPr>
    </w:p>
    <w:p>
      <w:pPr>
        <w:ind w:right="380" w:firstLine="764"/>
        <w:spacing w:after="0" w:line="321" w:lineRule="auto"/>
        <w:rPr>
          <w:sz w:val="20"/>
          <w:szCs w:val="20"/>
          <w:color w:val="auto"/>
        </w:rPr>
      </w:pPr>
      <w:r>
        <w:rPr>
          <w:rFonts w:ascii="Arial" w:cs="Arial" w:eastAsia="Arial" w:hAnsi="Arial"/>
          <w:sz w:val="13"/>
          <w:szCs w:val="13"/>
          <w:color w:val="auto"/>
        </w:rPr>
        <w:t>We have incurred significant net losses since our inception and have financed our operations principally through equity and debt financing and our collaboration with Novartis. We continue to incur significant research and development and other expenses related to our ongoing operations. Our net loss was $123.3 million $97.3 million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$41.5 million for the years ended December 31, 2022, 2021 and 2020, respectively. As of December 31, 2022, we had an accumulated deficit of $338.4 million. We have devoted substantially all of our resources and efforts to research and development, and we expect that it will be at least several years, if ever, before we generate revenue from product sales. Even if we receive marketing approval for and commercialize one or more of our product candidates, we expect that we will continue to incur substantial research and development and other expenses in order to further develop and, if approved, market additional potential product candidates.</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We expect to continue to incur significant losses for the foreseeable future, and we anticipate that our expenses will increase substantially if, and as, we:</w:t>
      </w:r>
    </w:p>
    <w:p>
      <w:pPr>
        <w:spacing w:after="0" w:line="94" w:lineRule="exact"/>
        <w:rPr>
          <w:sz w:val="20"/>
          <w:szCs w:val="20"/>
          <w:color w:val="auto"/>
        </w:rPr>
      </w:pPr>
    </w:p>
    <w:p>
      <w:pPr>
        <w:ind w:left="1780" w:hanging="879"/>
        <w:spacing w:after="0"/>
        <w:tabs>
          <w:tab w:leader="none" w:pos="17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advance our lead product candidate, bexotegrast, and our other product candidates through clinical development, and, if successful, later-stage clinical trials;</w:t>
      </w:r>
    </w:p>
    <w:p>
      <w:pPr>
        <w:spacing w:after="0" w:line="105" w:lineRule="exact"/>
        <w:rPr>
          <w:rFonts w:ascii="Arial" w:cs="Arial" w:eastAsia="Arial" w:hAnsi="Arial"/>
          <w:sz w:val="13"/>
          <w:szCs w:val="13"/>
          <w:color w:val="auto"/>
        </w:rPr>
      </w:pPr>
    </w:p>
    <w:p>
      <w:pPr>
        <w:ind w:left="1780" w:hanging="879"/>
        <w:spacing w:after="0"/>
        <w:tabs>
          <w:tab w:leader="none" w:pos="1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discover and develop new product candidates;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advance our preclinical development programs into clinical development;</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further develop manufacturing processes and manufacture our product candidates;</w:t>
      </w:r>
    </w:p>
    <w:p>
      <w:pPr>
        <w:spacing w:after="0" w:line="93" w:lineRule="exact"/>
        <w:rPr>
          <w:rFonts w:ascii="Arial" w:cs="Arial" w:eastAsia="Arial" w:hAnsi="Arial"/>
          <w:sz w:val="14"/>
          <w:szCs w:val="14"/>
          <w:color w:val="auto"/>
        </w:rPr>
      </w:pPr>
    </w:p>
    <w:p>
      <w:pPr>
        <w:ind w:left="1800" w:right="220" w:hanging="899"/>
        <w:spacing w:after="0" w:line="281" w:lineRule="auto"/>
        <w:tabs>
          <w:tab w:leader="none" w:pos="17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experience delays or interruptions to preclinical studies, clinical trials, our receipt of services from our third-party service providers on whom we rely, or our supply chain due to the COVID-19 pandemic;</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seek regulatory approvals for any product candidates that successfully complete clinical trials;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commercialize bexotegrast, our other product candidates and any future product candidates, if approved;</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increase the amount of research and development activities to identify and develop product candidates;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hire additional clinical development, quality control, scientific and management personnel;</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expand our operational, financial and management systems and increase personnel, including personnel to support our clinical development and manufacturing efforts;</w:t>
      </w:r>
    </w:p>
    <w:p>
      <w:pPr>
        <w:spacing w:after="0" w:line="116" w:lineRule="exact"/>
        <w:rPr>
          <w:rFonts w:ascii="Arial" w:cs="Arial" w:eastAsia="Arial" w:hAnsi="Arial"/>
          <w:sz w:val="12"/>
          <w:szCs w:val="12"/>
          <w:color w:val="auto"/>
        </w:rPr>
      </w:pPr>
    </w:p>
    <w:p>
      <w:pPr>
        <w:ind w:left="1800" w:right="180" w:hanging="899"/>
        <w:spacing w:after="0" w:line="281" w:lineRule="auto"/>
        <w:tabs>
          <w:tab w:leader="none" w:pos="17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establish a sales, marketing, medical affairs and distribution infrastructure to commercialize any products for which we may obtain marketing approval and intend to commercialize on our own or jointly with third parties;</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invest in or in-license other technologies or product candidates; and</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continue to build out our organization to engage in such activities.</w:t>
      </w:r>
    </w:p>
    <w:p>
      <w:pPr>
        <w:spacing w:after="0" w:line="94" w:lineRule="exact"/>
        <w:rPr>
          <w:sz w:val="20"/>
          <w:szCs w:val="20"/>
          <w:color w:val="auto"/>
        </w:rPr>
      </w:pPr>
    </w:p>
    <w:p>
      <w:pPr>
        <w:ind w:right="160" w:firstLine="764"/>
        <w:spacing w:after="0" w:line="284" w:lineRule="auto"/>
        <w:rPr>
          <w:sz w:val="20"/>
          <w:szCs w:val="20"/>
          <w:color w:val="auto"/>
        </w:rPr>
      </w:pPr>
      <w:r>
        <w:rPr>
          <w:rFonts w:ascii="Arial" w:cs="Arial" w:eastAsia="Arial" w:hAnsi="Arial"/>
          <w:sz w:val="13"/>
          <w:szCs w:val="13"/>
          <w:color w:val="auto"/>
        </w:rPr>
        <w:t>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49" w:lineRule="exact"/>
        <w:rPr>
          <w:sz w:val="20"/>
          <w:szCs w:val="20"/>
          <w:color w:val="auto"/>
        </w:rPr>
      </w:pPr>
    </w:p>
    <w:p>
      <w:pPr>
        <w:ind w:firstLine="764"/>
        <w:spacing w:after="0" w:line="281" w:lineRule="auto"/>
        <w:rPr>
          <w:sz w:val="20"/>
          <w:szCs w:val="20"/>
          <w:color w:val="auto"/>
        </w:rPr>
      </w:pPr>
      <w:r>
        <w:rPr>
          <w:rFonts w:ascii="Arial" w:cs="Arial" w:eastAsia="Arial" w:hAnsi="Arial"/>
          <w:sz w:val="14"/>
          <w:szCs w:val="14"/>
          <w:b w:val="1"/>
          <w:bCs w:val="1"/>
          <w:i w:val="1"/>
          <w:iCs w:val="1"/>
          <w:color w:val="auto"/>
        </w:rPr>
        <w:t>We will require substantial additional capital to fund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47" w:lineRule="exact"/>
        <w:rPr>
          <w:sz w:val="20"/>
          <w:szCs w:val="20"/>
          <w:color w:val="auto"/>
        </w:rPr>
      </w:pPr>
    </w:p>
    <w:p>
      <w:pPr>
        <w:ind w:right="140" w:firstLine="764"/>
        <w:spacing w:after="0" w:line="288" w:lineRule="auto"/>
        <w:rPr>
          <w:sz w:val="20"/>
          <w:szCs w:val="20"/>
          <w:color w:val="auto"/>
        </w:rPr>
      </w:pPr>
      <w:r>
        <w:rPr>
          <w:rFonts w:ascii="Arial" w:cs="Arial" w:eastAsia="Arial" w:hAnsi="Arial"/>
          <w:sz w:val="13"/>
          <w:szCs w:val="13"/>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planned clinical trials of bexotegrast and any future product candidates that we may develop, seek regulatory approvals for our product candidates and to launch and commercialize any products for which we receive regulatory approval. Accordingly, we will need to obtain substantial additional funding in order to maintain our continuing</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operations. If we are unable to raise capital when needed or on acceptable terms, we may be forced to delay, reduce, or eliminate one or more of our research and drug development programs or future commercialization efforts.</w:t>
      </w:r>
    </w:p>
    <w:p>
      <w:pPr>
        <w:spacing w:after="0" w:line="47" w:lineRule="exact"/>
        <w:rPr>
          <w:sz w:val="20"/>
          <w:szCs w:val="20"/>
          <w:color w:val="auto"/>
        </w:rPr>
      </w:pPr>
    </w:p>
    <w:p>
      <w:pPr>
        <w:ind w:right="40" w:firstLine="764"/>
        <w:spacing w:after="0" w:line="282" w:lineRule="auto"/>
        <w:rPr>
          <w:sz w:val="20"/>
          <w:szCs w:val="20"/>
          <w:color w:val="auto"/>
        </w:rPr>
      </w:pPr>
      <w:r>
        <w:rPr>
          <w:rFonts w:ascii="Arial" w:cs="Arial" w:eastAsia="Arial" w:hAnsi="Arial"/>
          <w:sz w:val="13"/>
          <w:szCs w:val="13"/>
          <w:color w:val="auto"/>
        </w:rPr>
        <w:t>As of December 31, 2022, we had approximately $331.2 million in cash, cash equivalents and short-term investments. We believe that our existing capital resources, together with the proceeds from our July 2022 and January 2023 public offerings will be sufficient to meet our projected operating requirements into the second half of 2026.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spacing w:after="0" w:line="49" w:lineRule="exact"/>
        <w:rPr>
          <w:sz w:val="20"/>
          <w:szCs w:val="20"/>
          <w:color w:val="auto"/>
        </w:rPr>
      </w:pPr>
    </w:p>
    <w:p>
      <w:pPr>
        <w:ind w:left="1780" w:hanging="879"/>
        <w:spacing w:after="0"/>
        <w:tabs>
          <w:tab w:leader="none" w:pos="1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initiation, progress, timing, costs and results of preclinical studies and clinical trials for our product candidates;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clinical development plans we establish for these product candidates;</w:t>
      </w:r>
    </w:p>
    <w:p>
      <w:pPr>
        <w:spacing w:after="0" w:line="93" w:lineRule="exact"/>
        <w:rPr>
          <w:rFonts w:ascii="Arial" w:cs="Arial" w:eastAsia="Arial" w:hAnsi="Arial"/>
          <w:sz w:val="14"/>
          <w:szCs w:val="14"/>
          <w:color w:val="auto"/>
        </w:rPr>
      </w:pPr>
    </w:p>
    <w:p>
      <w:pPr>
        <w:ind w:left="1800" w:right="440" w:hanging="899"/>
        <w:spacing w:after="0" w:line="281" w:lineRule="auto"/>
        <w:tabs>
          <w:tab w:leader="none" w:pos="17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timelines of our clinical trials and the overall costs to conduct and complete the clinical trials, including any increased costs due to disruptions caused by the ongoing COVID-19 pandemic or other geopolitical conditions;</w:t>
      </w:r>
    </w:p>
    <w:p>
      <w:pPr>
        <w:spacing w:after="0" w:line="47" w:lineRule="exact"/>
        <w:rPr>
          <w:rFonts w:ascii="Arial" w:cs="Arial" w:eastAsia="Arial" w:hAnsi="Arial"/>
          <w:sz w:val="14"/>
          <w:szCs w:val="14"/>
          <w:color w:val="auto"/>
        </w:rPr>
      </w:pPr>
    </w:p>
    <w:p>
      <w:pPr>
        <w:ind w:left="1800" w:right="20" w:hanging="899"/>
        <w:spacing w:after="0" w:line="281" w:lineRule="auto"/>
        <w:tabs>
          <w:tab w:leader="none" w:pos="17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cost and capital commitments required for developing manufacturing processes for our product candidates and manufacturing our product candidates at clinical and commercial scales;</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number and characteristics of product candidates that we develop;</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outcome, timing and cost of meeting regulatory requirements established by the FDA and other comparable foreign regulatory authorities;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whether we are able to maintain our existing collaboration with Novartis and enter into additional collaboration agreements and the terms of any such agreements;</w:t>
      </w:r>
    </w:p>
    <w:p>
      <w:pPr>
        <w:spacing w:after="0" w:line="36" w:lineRule="exact"/>
        <w:rPr>
          <w:rFonts w:ascii="Arial" w:cs="Arial" w:eastAsia="Arial" w:hAnsi="Arial"/>
          <w:sz w:val="13"/>
          <w:szCs w:val="13"/>
          <w:color w:val="auto"/>
        </w:rPr>
      </w:pPr>
    </w:p>
    <w:p>
      <w:pPr>
        <w:ind w:left="1780" w:hanging="879"/>
        <w:spacing w:after="0"/>
        <w:tabs>
          <w:tab w:leader="none" w:pos="1780" w:val="left"/>
        </w:tabs>
        <w:numPr>
          <w:ilvl w:val="0"/>
          <w:numId w:val="17"/>
        </w:numPr>
        <w:rPr>
          <w:rFonts w:ascii="Arial" w:cs="Arial" w:eastAsia="Arial" w:hAnsi="Arial"/>
          <w:sz w:val="17"/>
          <w:szCs w:val="17"/>
          <w:color w:val="auto"/>
        </w:rPr>
      </w:pPr>
      <w:r>
        <w:rPr>
          <w:rFonts w:ascii="Arial" w:cs="Arial" w:eastAsia="Arial" w:hAnsi="Arial"/>
          <w:sz w:val="14"/>
          <w:szCs w:val="14"/>
          <w:color w:val="auto"/>
        </w:rPr>
        <w:t>the ability to and timing of achieving a favorable pricing and reimbursement decision by the pricing authorities in the markets of interest;</w:t>
      </w:r>
    </w:p>
    <w:p>
      <w:pPr>
        <w:spacing w:after="0" w:line="1" w:lineRule="exact"/>
        <w:rPr>
          <w:rFonts w:ascii="Arial" w:cs="Arial" w:eastAsia="Arial" w:hAnsi="Arial"/>
          <w:sz w:val="17"/>
          <w:szCs w:val="17"/>
          <w:color w:val="auto"/>
        </w:rPr>
      </w:pPr>
    </w:p>
    <w:p>
      <w:pPr>
        <w:ind w:left="1780" w:hanging="879"/>
        <w:spacing w:after="0"/>
        <w:tabs>
          <w:tab w:leader="none" w:pos="1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ability to secure a position recommendation following the health technology assessment by the health technology bodies in the relevant market;</w:t>
      </w:r>
    </w:p>
    <w:p>
      <w:pPr>
        <w:spacing w:after="0" w:line="81" w:lineRule="exact"/>
        <w:rPr>
          <w:rFonts w:ascii="Arial" w:cs="Arial" w:eastAsia="Arial" w:hAnsi="Arial"/>
          <w:sz w:val="14"/>
          <w:szCs w:val="14"/>
          <w:color w:val="auto"/>
        </w:rPr>
      </w:pPr>
    </w:p>
    <w:p>
      <w:pPr>
        <w:ind w:left="1780" w:hanging="879"/>
        <w:spacing w:after="0"/>
        <w:tabs>
          <w:tab w:leader="none" w:pos="1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cost of filing, prosecuting, defending and enforcing our patent claims and other intellectual property rights;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cost of defending intellectual property disputes, including patent infringement actions brought by third parties against us or our product candidates;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effect of competing technological and market developments;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cost and timing of completion of commercial-scale outsourced manufacturing activities; and</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cost of establishing sales, marketing and distribution capabilities for any product candidates for which we may receive regulatory approval in regions where we</w:t>
      </w:r>
    </w:p>
    <w:p>
      <w:pPr>
        <w:spacing w:after="0" w:line="30"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choose to commercialize our products on our own.</w:t>
      </w:r>
    </w:p>
    <w:p>
      <w:pPr>
        <w:ind w:right="40" w:firstLine="764"/>
        <w:spacing w:after="0" w:line="238" w:lineRule="auto"/>
        <w:rPr>
          <w:sz w:val="20"/>
          <w:szCs w:val="20"/>
          <w:color w:val="auto"/>
        </w:rPr>
      </w:pPr>
      <w:r>
        <w:rPr>
          <w:rFonts w:ascii="Arial" w:cs="Arial" w:eastAsia="Arial" w:hAnsi="Arial"/>
          <w:sz w:val="14"/>
          <w:szCs w:val="14"/>
          <w:color w:val="auto"/>
        </w:rPr>
        <w:t>We have borrowed and in the future may borrow additional capital from institutional and commercial banking sources to fund future growth, including pursuant to our Oxford Loan Agreement, or potentially pursuant to new arrangements with different lenders. In addition, we expect to continue to opportunistically seek access to the equity capital markets to support our development efforts and operations. However,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common stockholders.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40"/>
        <w:spacing w:after="0" w:line="258" w:lineRule="auto"/>
        <w:rPr>
          <w:sz w:val="20"/>
          <w:szCs w:val="20"/>
          <w:color w:val="auto"/>
        </w:rPr>
      </w:pPr>
      <w:r>
        <w:rPr>
          <w:rFonts w:ascii="Arial" w:cs="Arial" w:eastAsia="Arial" w:hAnsi="Arial"/>
          <w:sz w:val="13"/>
          <w:szCs w:val="13"/>
          <w:color w:val="auto"/>
        </w:rPr>
        <w:t>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the COVID-19 pandemic or other financial markets factors could also adversely impact our ability to access capital as and when needed. 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spacing w:after="0" w:line="1" w:lineRule="exact"/>
        <w:rPr>
          <w:sz w:val="20"/>
          <w:szCs w:val="20"/>
          <w:color w:val="auto"/>
        </w:rPr>
      </w:pPr>
    </w:p>
    <w:p>
      <w:pPr>
        <w:jc w:val="both"/>
        <w:ind w:firstLine="764"/>
        <w:spacing w:after="0" w:line="252" w:lineRule="auto"/>
        <w:rPr>
          <w:sz w:val="20"/>
          <w:szCs w:val="20"/>
          <w:color w:val="auto"/>
        </w:rPr>
      </w:pPr>
      <w:r>
        <w:rPr>
          <w:rFonts w:ascii="Arial" w:cs="Arial" w:eastAsia="Arial" w:hAnsi="Arial"/>
          <w:sz w:val="14"/>
          <w:szCs w:val="14"/>
          <w:b w:val="1"/>
          <w:bCs w:val="1"/>
          <w:i w:val="1"/>
          <w:iCs w:val="1"/>
          <w:color w:val="auto"/>
        </w:rPr>
        <w:t>Covenants and other provisions in the Oxford Loan Agreement restrict our business and operations in many ways, and if we do not effectively manage our covenants, our financial conditions and results of operations could be adversely affected. In addition, our operations may not provide sufficient cash to meet the repayment obligations of our debt incurred under the Oxford Loan Agreement.</w:t>
      </w:r>
    </w:p>
    <w:p>
      <w:pPr>
        <w:jc w:val="both"/>
        <w:ind w:firstLine="764"/>
        <w:spacing w:after="0" w:line="272" w:lineRule="auto"/>
        <w:rPr>
          <w:sz w:val="20"/>
          <w:szCs w:val="20"/>
          <w:color w:val="auto"/>
        </w:rPr>
      </w:pPr>
      <w:r>
        <w:rPr>
          <w:rFonts w:ascii="Arial" w:cs="Arial" w:eastAsia="Arial" w:hAnsi="Arial"/>
          <w:sz w:val="13"/>
          <w:szCs w:val="13"/>
          <w:color w:val="auto"/>
        </w:rPr>
        <w:t>Pursuant to the Oxford Loan Agreement, Oxford has been granted a security interest in substantially all of our assets, excluding intellectual property (but including the right to payments and proceeds of intellectual property), and a negative pledge on substantially all of our intellectual property, subject to customary exceptions. If an event of default occurs under the Oxford Loan Agreement, Oxford may foreclose on its security interest and liquidate some or all of these assets, which would harm our business, financial condition and results of operations.</w:t>
      </w:r>
    </w:p>
    <w:p>
      <w:pPr>
        <w:spacing w:after="0" w:line="1" w:lineRule="exact"/>
        <w:rPr>
          <w:sz w:val="20"/>
          <w:szCs w:val="20"/>
          <w:color w:val="auto"/>
        </w:rPr>
      </w:pPr>
    </w:p>
    <w:p>
      <w:pPr>
        <w:jc w:val="both"/>
        <w:ind w:firstLine="764"/>
        <w:spacing w:after="0" w:line="253" w:lineRule="auto"/>
        <w:rPr>
          <w:sz w:val="20"/>
          <w:szCs w:val="20"/>
          <w:color w:val="auto"/>
        </w:rPr>
      </w:pPr>
      <w:r>
        <w:rPr>
          <w:rFonts w:ascii="Arial" w:cs="Arial" w:eastAsia="Arial" w:hAnsi="Arial"/>
          <w:sz w:val="14"/>
          <w:szCs w:val="14"/>
          <w:color w:val="auto"/>
        </w:rPr>
        <w:t>In the event of a default in connection with our bankruptcy, insolvency, liquidation, or reorganization, Oxford would have a prior right to substantially all of our assets to the exclusion of our general unsecured creditors. Only after satisfying the claims of Oxford and any unsecured creditors would any amount be available for our equity holders.</w:t>
      </w:r>
    </w:p>
    <w:p>
      <w:pPr>
        <w:jc w:val="both"/>
        <w:ind w:firstLine="764"/>
        <w:spacing w:after="0" w:line="253" w:lineRule="auto"/>
        <w:rPr>
          <w:sz w:val="20"/>
          <w:szCs w:val="20"/>
          <w:color w:val="auto"/>
        </w:rPr>
      </w:pPr>
      <w:r>
        <w:rPr>
          <w:rFonts w:ascii="Arial" w:cs="Arial" w:eastAsia="Arial" w:hAnsi="Arial"/>
          <w:sz w:val="14"/>
          <w:szCs w:val="14"/>
          <w:color w:val="auto"/>
        </w:rPr>
        <w:t>The pledge of these assets and other restrictions imposed in the Oxford Loan Agreement may limit our flexibility in raising capital for other purposes. Because substantially all of our assets are pledged to secure the Oxford Loan Agreement obligations, our ability to incur additional indebtedness or to sell or dispose of assets to raise capital may be impaired, which could have an adverse effect on our financial flexibility.</w:t>
      </w:r>
    </w:p>
    <w:p>
      <w:pPr>
        <w:jc w:val="both"/>
        <w:ind w:right="120" w:firstLine="764"/>
        <w:spacing w:after="0" w:line="259" w:lineRule="auto"/>
        <w:rPr>
          <w:sz w:val="20"/>
          <w:szCs w:val="20"/>
          <w:color w:val="auto"/>
        </w:rPr>
      </w:pPr>
      <w:r>
        <w:rPr>
          <w:rFonts w:ascii="Arial" w:cs="Arial" w:eastAsia="Arial" w:hAnsi="Arial"/>
          <w:sz w:val="14"/>
          <w:szCs w:val="14"/>
          <w:color w:val="auto"/>
        </w:rPr>
        <w:t>In addition, if we are unable to comply with certain financial and operating restrictions in the Oxford Loan Agreement, we may be limited in our business activities and access to credit or may default under the Oxford Loan Agreement. Provisions in the Oxford Loan Agreement impose restrictions or require prior approval on our ability, and the ability of certain of our subsidiaries to, among other things:</w:t>
      </w:r>
    </w:p>
    <w:p>
      <w:pPr>
        <w:spacing w:after="0" w:line="63" w:lineRule="exact"/>
        <w:rPr>
          <w:sz w:val="20"/>
          <w:szCs w:val="20"/>
          <w:color w:val="auto"/>
        </w:rPr>
      </w:pPr>
    </w:p>
    <w:p>
      <w:pPr>
        <w:ind w:left="1780" w:hanging="879"/>
        <w:spacing w:after="0"/>
        <w:tabs>
          <w:tab w:leader="none" w:pos="1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Incur additional debt;</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Make certain investments and acquisitions;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Guarantee the indebtedness of others or our subsidiaries;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Create liens or encumbrances;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Engage in new lines of business;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Enter into transactions with affiliates;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Pay cash dividends and make distributions;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Redeem or repurchase capital shares;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Sell, lease or transfer certain parts of our business or property, including equity interests of our subsidiaries;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Prepay other indebtedness; and</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Acquire new companies and merge or consolidate.</w:t>
      </w:r>
    </w:p>
    <w:p>
      <w:pPr>
        <w:spacing w:after="0" w:line="10"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The Oxford Loan Agreement also contains other customary covenants. We may not be able to comply with these covenants in the future. Our failure to comply with these covenants may result in the declaration of an event of default, which, if not cured or waived, may result in the acceleration of the maturity of indebtedness outstanding under the Oxford Loan Agreement and would require us to pay all amounts outstanding. If the maturity of our indebtedness is accelerated, we may not have sufficient funds then available for repayment or we may not have the ability to borrow or obtain sufficient funds to replace the accelerated indebtedness on terms acceptable to us or at all. Our failure to repay our obligations under the Oxford Loan Agreement would result in Oxford foreclosing on all or a portion of our assets, which could force us to curtail or cease our operations.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firstLine="764"/>
        <w:spacing w:after="0" w:line="281" w:lineRule="auto"/>
        <w:rPr>
          <w:sz w:val="20"/>
          <w:szCs w:val="20"/>
          <w:color w:val="auto"/>
        </w:rPr>
      </w:pPr>
      <w:r>
        <w:rPr>
          <w:rFonts w:ascii="Arial" w:cs="Arial" w:eastAsia="Arial" w:hAnsi="Arial"/>
          <w:sz w:val="14"/>
          <w:szCs w:val="14"/>
          <w:b w:val="1"/>
          <w:bCs w:val="1"/>
          <w:i w:val="1"/>
          <w:iCs w:val="1"/>
          <w:color w:val="auto"/>
        </w:rPr>
        <w:t>The amount of our future losses is uncertain and our quarterly operating results may fluctuate significantly or may fall below the expectations of investors or securities analysts, each of which may cause our stock price to fluctuate or decline.</w:t>
      </w:r>
    </w:p>
    <w:p>
      <w:pPr>
        <w:spacing w:after="0" w:line="47" w:lineRule="exact"/>
        <w:rPr>
          <w:sz w:val="20"/>
          <w:szCs w:val="20"/>
          <w:color w:val="auto"/>
        </w:rPr>
      </w:pPr>
    </w:p>
    <w:p>
      <w:pPr>
        <w:ind w:right="200" w:firstLine="764"/>
        <w:spacing w:after="0" w:line="281" w:lineRule="auto"/>
        <w:rPr>
          <w:sz w:val="20"/>
          <w:szCs w:val="20"/>
          <w:color w:val="auto"/>
        </w:rPr>
      </w:pPr>
      <w:r>
        <w:rPr>
          <w:rFonts w:ascii="Arial" w:cs="Arial" w:eastAsia="Arial" w:hAnsi="Arial"/>
          <w:sz w:val="14"/>
          <w:szCs w:val="14"/>
          <w:color w:val="auto"/>
        </w:rPr>
        <w:t>Our quarterly and annual operating results may fluctuate significantly in the future due to a variety of factors, many of which are outside of our control and may be difficult to predict, including the following:</w:t>
      </w:r>
    </w:p>
    <w:p>
      <w:pPr>
        <w:spacing w:after="0" w:line="47" w:lineRule="exact"/>
        <w:rPr>
          <w:sz w:val="20"/>
          <w:szCs w:val="20"/>
          <w:color w:val="auto"/>
        </w:rPr>
      </w:pPr>
    </w:p>
    <w:p>
      <w:pPr>
        <w:ind w:left="1800" w:right="120" w:hanging="899"/>
        <w:spacing w:after="0" w:line="281" w:lineRule="auto"/>
        <w:tabs>
          <w:tab w:leader="none" w:pos="179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successfully recruit and retain subjects for clinical trials, and any delays caused by difficulties in such efforts;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obtain marketing approval for our product candidates, and the timing and scope of any such approvals we may receive;</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timing and cost of, and level of investment in, research and development activities relating to our product candidates, which may change from time to time;</w:t>
      </w:r>
    </w:p>
    <w:p>
      <w:pPr>
        <w:spacing w:after="0" w:line="105" w:lineRule="exact"/>
        <w:rPr>
          <w:rFonts w:ascii="Arial" w:cs="Arial" w:eastAsia="Arial" w:hAnsi="Arial"/>
          <w:sz w:val="13"/>
          <w:szCs w:val="13"/>
          <w:color w:val="auto"/>
        </w:rPr>
      </w:pPr>
    </w:p>
    <w:p>
      <w:pPr>
        <w:ind w:left="1800" w:right="80" w:hanging="899"/>
        <w:spacing w:after="0" w:line="281" w:lineRule="auto"/>
        <w:tabs>
          <w:tab w:leader="none" w:pos="179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cost of manufacturing our product candidates, which may vary depending on the difficulty of manufacture, quantity of production and the terms of our agreements with manufacturers;</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attract, hire and retain qualified personnel;</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expenditures that we will or may incur to develop additional product candidates;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level of demand for our product candidates should they receive approval, which may vary significantly;</w:t>
      </w:r>
    </w:p>
    <w:p>
      <w:pPr>
        <w:spacing w:after="0" w:line="93" w:lineRule="exact"/>
        <w:rPr>
          <w:rFonts w:ascii="Arial" w:cs="Arial" w:eastAsia="Arial" w:hAnsi="Arial"/>
          <w:sz w:val="14"/>
          <w:szCs w:val="14"/>
          <w:color w:val="auto"/>
        </w:rPr>
      </w:pPr>
    </w:p>
    <w:p>
      <w:pPr>
        <w:ind w:left="1800" w:right="40" w:hanging="899"/>
        <w:spacing w:after="0" w:line="281" w:lineRule="auto"/>
        <w:tabs>
          <w:tab w:leader="none" w:pos="179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risk/benefit profile, cost and reimbursement policies with respect to our product candidates, if approved, and existing and potential future therapeutics that compete with our product candidates;</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general market conditions or extraordinary external events, such as recessions or the COVID-19 pandemic;</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changing and volatile U.S. and global economic and political environments; and</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future accounting pronouncements or changes in our accounting policies.</w:t>
      </w:r>
    </w:p>
    <w:p>
      <w:pPr>
        <w:spacing w:after="0" w:line="94" w:lineRule="exact"/>
        <w:rPr>
          <w:sz w:val="20"/>
          <w:szCs w:val="20"/>
          <w:color w:val="auto"/>
        </w:rPr>
      </w:pPr>
    </w:p>
    <w:p>
      <w:pPr>
        <w:ind w:right="20" w:firstLine="764"/>
        <w:spacing w:after="0" w:line="260" w:lineRule="auto"/>
        <w:rPr>
          <w:sz w:val="20"/>
          <w:szCs w:val="20"/>
          <w:color w:val="auto"/>
        </w:rPr>
      </w:pPr>
      <w:r>
        <w:rPr>
          <w:rFonts w:ascii="Arial" w:cs="Arial" w:eastAsia="Arial" w:hAnsi="Arial"/>
          <w:sz w:val="14"/>
          <w:szCs w:val="14"/>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5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Risks Related to Research and Development and the Biopharmaceutical Industry</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We have a limited operating history, which may make it difficult to evaluate our prospects and likelihood of success.</w:t>
      </w:r>
    </w:p>
    <w:p>
      <w:pPr>
        <w:spacing w:after="0" w:line="10" w:lineRule="exact"/>
        <w:rPr>
          <w:sz w:val="20"/>
          <w:szCs w:val="20"/>
          <w:color w:val="auto"/>
        </w:rPr>
      </w:pPr>
    </w:p>
    <w:p>
      <w:pPr>
        <w:ind w:right="120" w:firstLine="764"/>
        <w:spacing w:after="0" w:line="281" w:lineRule="auto"/>
        <w:rPr>
          <w:sz w:val="20"/>
          <w:szCs w:val="20"/>
          <w:color w:val="auto"/>
        </w:rPr>
      </w:pPr>
      <w:r>
        <w:rPr>
          <w:rFonts w:ascii="Arial" w:cs="Arial" w:eastAsia="Arial" w:hAnsi="Arial"/>
          <w:sz w:val="12"/>
          <w:szCs w:val="12"/>
          <w:color w:val="auto"/>
        </w:rPr>
        <w:t>We have no products approved for commercial sale and have not generated any revenue from product sales to date.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TGF-β, signaling and integrin biology, medicinal chemistry, translational screening technologies, and clinical insights to discover and develop novel therapies for the treatment of fibrosis. Our approach to the discovery and development of product candidates is unproven, and we do not know whether we will be able to develop any products of commercial value. We have not yet demonstrated the ability to progress any product candidate through clinical trials, obtain regulatory approval, manufacture a commercial scale product, or arrange for a third party to do so on our behalf, or conduct sales and marketing activities necessary for successful product commercialization.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expect our operating results to continue to fluctuate significantly from quarter to quarter and year to year due to a variety of factors, many of which are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400"/>
        <w:spacing w:after="0" w:line="265" w:lineRule="auto"/>
        <w:rPr>
          <w:sz w:val="20"/>
          <w:szCs w:val="20"/>
          <w:color w:val="auto"/>
        </w:rPr>
      </w:pPr>
      <w:r>
        <w:rPr>
          <w:rFonts w:ascii="Arial" w:cs="Arial" w:eastAsia="Arial" w:hAnsi="Arial"/>
          <w:sz w:val="14"/>
          <w:szCs w:val="14"/>
          <w:color w:val="auto"/>
        </w:rPr>
        <w:t>beyond our control, and predictions about our future success or viability may not be as accurate as they could be if we had a longer operating history or a history of successfully developing and commercializing drug products.</w:t>
      </w:r>
    </w:p>
    <w:p>
      <w:pPr>
        <w:spacing w:after="0" w:line="58" w:lineRule="exact"/>
        <w:rPr>
          <w:sz w:val="20"/>
          <w:szCs w:val="20"/>
          <w:color w:val="auto"/>
        </w:rPr>
      </w:pPr>
    </w:p>
    <w:p>
      <w:pPr>
        <w:ind w:left="760"/>
        <w:spacing w:after="0"/>
        <w:rPr>
          <w:sz w:val="20"/>
          <w:szCs w:val="20"/>
          <w:color w:val="auto"/>
        </w:rPr>
      </w:pPr>
      <w:r>
        <w:rPr>
          <w:rFonts w:ascii="Arial" w:cs="Arial" w:eastAsia="Arial" w:hAnsi="Arial"/>
          <w:sz w:val="12"/>
          <w:szCs w:val="12"/>
          <w:b w:val="1"/>
          <w:bCs w:val="1"/>
          <w:i w:val="1"/>
          <w:iCs w:val="1"/>
          <w:color w:val="auto"/>
        </w:rPr>
        <w:t>Our business is highly dependent on the success of our lead product candidate, bexotegrast, as well as PLN-1474 and any other product candidates that we advance into the clinic.</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product candidates will require significant additional development before we may be able to seek regulatory approval for and launch a product commercially.</w:t>
      </w:r>
    </w:p>
    <w:p>
      <w:pPr>
        <w:ind w:firstLine="764"/>
        <w:spacing w:after="0" w:line="257" w:lineRule="auto"/>
        <w:rPr>
          <w:sz w:val="20"/>
          <w:szCs w:val="20"/>
          <w:color w:val="auto"/>
        </w:rPr>
      </w:pPr>
      <w:r>
        <w:rPr>
          <w:rFonts w:ascii="Arial" w:cs="Arial" w:eastAsia="Arial" w:hAnsi="Arial"/>
          <w:sz w:val="13"/>
          <w:szCs w:val="13"/>
          <w:color w:val="auto"/>
        </w:rPr>
        <w:t>We currently have no products that are approved for commercial sale and may never be able to develop marketable products. We are early in our clinical development for both bexotegrast and PLN-1474. If bexotegrast encounters safety or efficacy problems, development delays, regulatory issues or other problems, our development plans and business would be significantly harmed. We have completed several Phase 1 trials of bexotegrast and are currently conducting three Phase 2a trials in our lead indications: two in IPF and one in PSC. We have collaborated with Novartis to develop PLN-1474 for advanced liver fibrosis associated with NASH and have completed a Phase 1a SAD/MAD study evaluating PLN-1474 in healthy volunteers. As part of a broad strategic realignment, Novartis discontinued clinical development in NASH and, as a result, discontinued development of PLN-1474. In February 2023, Novartis issued a termination notice for the collaboration and license agreement, and returned global rights to Pliant for PLN-1474 and we may pursue other collaborations to further clinical development of PLN-1474. All of the risks and uncertainties that apply to bexotegrast or any candidates that we develop independently or in collaboration with third parties. See “Risks Related to Our Reliance on Third Parties.”</w:t>
      </w:r>
    </w:p>
    <w:p>
      <w:pPr>
        <w:spacing w:after="0" w:line="66" w:lineRule="exact"/>
        <w:rPr>
          <w:sz w:val="20"/>
          <w:szCs w:val="20"/>
          <w:color w:val="auto"/>
        </w:rPr>
      </w:pPr>
    </w:p>
    <w:p>
      <w:pPr>
        <w:ind w:right="220" w:firstLine="764"/>
        <w:spacing w:after="0" w:line="262" w:lineRule="auto"/>
        <w:rPr>
          <w:sz w:val="20"/>
          <w:szCs w:val="20"/>
          <w:color w:val="auto"/>
        </w:rPr>
      </w:pPr>
      <w:r>
        <w:rPr>
          <w:rFonts w:ascii="Arial" w:cs="Arial" w:eastAsia="Arial" w:hAnsi="Arial"/>
          <w:sz w:val="14"/>
          <w:szCs w:val="14"/>
          <w:color w:val="auto"/>
        </w:rPr>
        <w:t>Before we can generate any revenue from sales of our lead product candidate, bexotegrast, or any of our other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3"/>
          <w:szCs w:val="13"/>
          <w:color w:val="auto"/>
        </w:rPr>
        <w:t>We may experience setbacks that could delay or prevent regulatory approval of, or the extent of regulatory protection or our ability to commercialize, our product candidates, including:</w:t>
      </w:r>
    </w:p>
    <w:p>
      <w:pPr>
        <w:spacing w:after="0" w:line="105" w:lineRule="exact"/>
        <w:rPr>
          <w:sz w:val="20"/>
          <w:szCs w:val="20"/>
          <w:color w:val="auto"/>
        </w:rPr>
      </w:pPr>
    </w:p>
    <w:p>
      <w:pPr>
        <w:ind w:left="1800" w:right="140" w:hanging="899"/>
        <w:spacing w:after="0" w:line="281" w:lineRule="auto"/>
        <w:tabs>
          <w:tab w:leader="none" w:pos="1796"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product-related side effects experienced by subjects in our clinical trials or by individuals using drugs or therapeutics similar to our product candidates;</w:t>
      </w:r>
    </w:p>
    <w:p>
      <w:pPr>
        <w:spacing w:after="0" w:line="93" w:lineRule="exact"/>
        <w:rPr>
          <w:rFonts w:ascii="Arial" w:cs="Arial" w:eastAsia="Arial" w:hAnsi="Arial"/>
          <w:sz w:val="14"/>
          <w:szCs w:val="14"/>
          <w:color w:val="auto"/>
        </w:rPr>
      </w:pPr>
    </w:p>
    <w:p>
      <w:pPr>
        <w:ind w:left="1800" w:right="80" w:hanging="899"/>
        <w:spacing w:after="0" w:line="281" w:lineRule="auto"/>
        <w:tabs>
          <w:tab w:leader="none" w:pos="1796"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conditions imposed by the FDA or comparable foreign authorities regarding the scope or design of our clinical trials;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delays in enrolling subjects in clinical trials, including due to the COVID-19 pandemic;</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high drop-out rates of subjects from clinical trials;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inadequate supply or quality of product candidates or other materials necessary for the conduct of our clinical trials;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challenges manufacturing our product candidates to regulatory requirements in a cost effective manner;</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greater than anticipated clinical trial costs;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inability to compete with other therapies;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failure to secure or maintain orphan designation in some jurisdictions;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poor efficacy of our product candidates during clinical trials;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unfavorable FDA or other regulatory agency inspection and review of a clinical trial site;</w:t>
      </w:r>
    </w:p>
    <w:p>
      <w:pPr>
        <w:spacing w:after="0" w:line="93" w:lineRule="exact"/>
        <w:rPr>
          <w:rFonts w:ascii="Arial" w:cs="Arial" w:eastAsia="Arial" w:hAnsi="Arial"/>
          <w:sz w:val="14"/>
          <w:szCs w:val="14"/>
          <w:color w:val="auto"/>
        </w:rPr>
      </w:pPr>
    </w:p>
    <w:p>
      <w:pPr>
        <w:ind w:left="1800" w:right="160" w:hanging="899"/>
        <w:spacing w:after="0" w:line="281" w:lineRule="auto"/>
        <w:tabs>
          <w:tab w:leader="none" w:pos="1796" w:val="left"/>
        </w:tabs>
        <w:numPr>
          <w:ilvl w:val="0"/>
          <w:numId w:val="20"/>
        </w:numPr>
        <w:rPr>
          <w:rFonts w:ascii="Arial" w:cs="Arial" w:eastAsia="Arial" w:hAnsi="Arial"/>
          <w:sz w:val="14"/>
          <w:szCs w:val="14"/>
          <w:color w:val="auto"/>
        </w:rPr>
      </w:pPr>
      <w:r>
        <w:rPr>
          <w:rFonts w:ascii="Arial" w:cs="Arial" w:eastAsia="Arial" w:hAnsi="Arial"/>
          <w:sz w:val="14"/>
          <w:szCs w:val="14"/>
          <w:color w:val="auto"/>
        </w:rPr>
        <w:t>failure of our third-party contractors or investigators to comply with regulatory requirements or otherwise meet their contractual obligations in a timely manner, or at all;</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1800" w:right="160" w:hanging="899"/>
        <w:spacing w:after="0" w:line="281" w:lineRule="auto"/>
        <w:tabs>
          <w:tab w:leader="none" w:pos="17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delays and changes in regulatory requirements, policy and guidelines, including the imposition of additional regulatory oversight around clinical testing generally or with respect to our technology in particular; or</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varying interpretations of data by the FDA and similar foreign regulatory agencies.</w:t>
      </w:r>
    </w:p>
    <w:p>
      <w:pPr>
        <w:spacing w:after="0" w:line="94" w:lineRule="exact"/>
        <w:rPr>
          <w:sz w:val="20"/>
          <w:szCs w:val="20"/>
          <w:color w:val="auto"/>
        </w:rPr>
      </w:pPr>
    </w:p>
    <w:p>
      <w:pPr>
        <w:ind w:right="20" w:firstLine="764"/>
        <w:spacing w:after="0" w:line="281" w:lineRule="auto"/>
        <w:rPr>
          <w:sz w:val="20"/>
          <w:szCs w:val="20"/>
          <w:color w:val="auto"/>
        </w:rPr>
      </w:pPr>
      <w:r>
        <w:rPr>
          <w:rFonts w:ascii="Arial" w:cs="Arial" w:eastAsia="Arial" w:hAnsi="Arial"/>
          <w:sz w:val="14"/>
          <w:szCs w:val="14"/>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47" w:lineRule="exact"/>
        <w:rPr>
          <w:sz w:val="20"/>
          <w:szCs w:val="20"/>
          <w:color w:val="auto"/>
        </w:rPr>
      </w:pPr>
    </w:p>
    <w:p>
      <w:pPr>
        <w:ind w:right="300" w:firstLine="764"/>
        <w:spacing w:after="0" w:line="281" w:lineRule="auto"/>
        <w:rPr>
          <w:sz w:val="20"/>
          <w:szCs w:val="20"/>
          <w:color w:val="auto"/>
        </w:rPr>
      </w:pPr>
      <w:r>
        <w:rPr>
          <w:rFonts w:ascii="Arial" w:cs="Arial" w:eastAsia="Arial" w:hAnsi="Arial"/>
          <w:sz w:val="14"/>
          <w:szCs w:val="14"/>
          <w:b w:val="1"/>
          <w:bCs w:val="1"/>
          <w:i w:val="1"/>
          <w:iCs w:val="1"/>
          <w:color w:val="auto"/>
        </w:rPr>
        <w:t>Our approach to drug discovery and development in the area of fibrotic diseases, with an initial focus on tissue-specific integrin modulation and TGF-β signaling inhibition, is unproven and may not result in marketable products.</w:t>
      </w:r>
    </w:p>
    <w:p>
      <w:pPr>
        <w:spacing w:after="0" w:line="47" w:lineRule="exact"/>
        <w:rPr>
          <w:sz w:val="20"/>
          <w:szCs w:val="20"/>
          <w:color w:val="auto"/>
        </w:rPr>
      </w:pPr>
    </w:p>
    <w:p>
      <w:pPr>
        <w:ind w:firstLine="764"/>
        <w:spacing w:after="0" w:line="282" w:lineRule="auto"/>
        <w:rPr>
          <w:sz w:val="20"/>
          <w:szCs w:val="20"/>
          <w:color w:val="auto"/>
        </w:rPr>
      </w:pPr>
      <w:r>
        <w:rPr>
          <w:rFonts w:ascii="Arial" w:cs="Arial" w:eastAsia="Arial" w:hAnsi="Arial"/>
          <w:sz w:val="13"/>
          <w:szCs w:val="13"/>
          <w:color w:val="auto"/>
        </w:rPr>
        <w:t>Our approach is designed to discover and develop targeted treatments for fibrosis with an initial focus on the antagonism of tissue-specific TGF-β signaling through the inhibition of integrins known to mediate the release of activated TGF-β in fibrotic tissue. However, although multiple studies are currently underway, to date, this mechanism has not been definitively proven to successfully treat fibrosis. Targeting integrins to treat fibrosis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We have primarily tested our lead product candidate, bexotegrast, in healthy volunteers. Therefore, we may ultimately discover that our approach and any product candidates resulting therefrom do not possess properties required for therapeutic effectiveness. As a result, we may never succeed in developing a marketable product.</w:t>
      </w:r>
    </w:p>
    <w:p>
      <w:pPr>
        <w:spacing w:after="0" w:line="49" w:lineRule="exact"/>
        <w:rPr>
          <w:sz w:val="20"/>
          <w:szCs w:val="20"/>
          <w:color w:val="auto"/>
        </w:rPr>
      </w:pPr>
    </w:p>
    <w:p>
      <w:pPr>
        <w:ind w:right="60" w:firstLine="764"/>
        <w:spacing w:after="0" w:line="257" w:lineRule="auto"/>
        <w:rPr>
          <w:sz w:val="20"/>
          <w:szCs w:val="20"/>
          <w:color w:val="auto"/>
        </w:rPr>
      </w:pPr>
      <w:r>
        <w:rPr>
          <w:rFonts w:ascii="Arial" w:cs="Arial" w:eastAsia="Arial" w:hAnsi="Arial"/>
          <w:sz w:val="14"/>
          <w:szCs w:val="14"/>
          <w:color w:val="auto"/>
        </w:rPr>
        <w:t>In addition, while we have developed an extensive panel of cell assays and precision cut tissue assays and have utilized animal models to uncover biological pathways, understood gene expression changes and optimized the potency and selectivity of our potential product candidates, there can be no assurance that our technology will yield their intended benefits. While we believe our assays represent a differentiator in our approach to drug development, our approach has not yet been clinically proven to yield results. Our practice of evaluating our product candidates in live human fibrotic tissue samples before advancing them into the clinic is intended to serve as a bridge between animal models and clinical proof-of-concept. However, there can be no assurance that positive results observed from preclinical animal testing and human fibrotic tissue models will be replicated when a program is advanced into clinical development. In addition, our practice of utilizing live human fibrotic tissue as part of our development efforts may become more widespread in the future, and this approach may be adopted and replicated by others, including our competitors.</w:t>
      </w:r>
    </w:p>
    <w:p>
      <w:pPr>
        <w:spacing w:after="0" w:line="66" w:lineRule="exact"/>
        <w:rPr>
          <w:sz w:val="20"/>
          <w:szCs w:val="20"/>
          <w:color w:val="auto"/>
        </w:rPr>
      </w:pPr>
    </w:p>
    <w:p>
      <w:pPr>
        <w:ind w:right="120" w:firstLine="764"/>
        <w:spacing w:after="0" w:line="288" w:lineRule="auto"/>
        <w:rPr>
          <w:sz w:val="20"/>
          <w:szCs w:val="20"/>
          <w:color w:val="auto"/>
        </w:rPr>
      </w:pPr>
      <w:r>
        <w:rPr>
          <w:rFonts w:ascii="Arial" w:cs="Arial" w:eastAsia="Arial" w:hAnsi="Arial"/>
          <w:sz w:val="13"/>
          <w:szCs w:val="13"/>
          <w:color w:val="auto"/>
        </w:rPr>
        <w:t>Studies involving human tissue samples may also be subject to institutional and government human subject privacy policies that may vary by territory. We or our partners who provide us with human tissue samples or conduct tissue and/or animal studies on our behalf, may be found to be in violation of one or more of these regulations or policies and may be subject to closure, censure or other penalties. In some cases, these penalties could materially impact the performance, availability, or validity of studies conducted by us or on our behalf. Even in the absence of violations resulting in penalties, regulatory and other authorities may refuse to authorize the conduct or to accept the results of studies for regulatory or ethical reasons.</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Clinical development involves a lengthy, complex, and expensive process, with an uncertain outcome.</w:t>
      </w:r>
    </w:p>
    <w:p>
      <w:pPr>
        <w:spacing w:after="0" w:line="94" w:lineRule="exact"/>
        <w:rPr>
          <w:sz w:val="20"/>
          <w:szCs w:val="20"/>
          <w:color w:val="auto"/>
        </w:rPr>
      </w:pPr>
    </w:p>
    <w:p>
      <w:pPr>
        <w:ind w:right="60" w:firstLine="764"/>
        <w:spacing w:after="0" w:line="256" w:lineRule="auto"/>
        <w:rPr>
          <w:sz w:val="20"/>
          <w:szCs w:val="20"/>
          <w:color w:val="auto"/>
        </w:rPr>
      </w:pPr>
      <w:r>
        <w:rPr>
          <w:rFonts w:ascii="Arial" w:cs="Arial" w:eastAsia="Arial" w:hAnsi="Arial"/>
          <w:sz w:val="14"/>
          <w:szCs w:val="14"/>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future clinical trials will ultimately be successful or support further clinical</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340"/>
        <w:spacing w:after="0" w:line="281" w:lineRule="auto"/>
        <w:rPr>
          <w:sz w:val="20"/>
          <w:szCs w:val="20"/>
          <w:color w:val="auto"/>
        </w:rPr>
      </w:pPr>
      <w:r>
        <w:rPr>
          <w:rFonts w:ascii="Arial" w:cs="Arial" w:eastAsia="Arial" w:hAnsi="Arial"/>
          <w:sz w:val="14"/>
          <w:szCs w:val="14"/>
          <w:color w:val="auto"/>
        </w:rPr>
        <w:t>development of bexotegrast or any of our other product candidates. Product candidates that appear promising in the early phases of development may fail to reach the market for several reasons, including:</w:t>
      </w:r>
    </w:p>
    <w:p>
      <w:pPr>
        <w:spacing w:after="0" w:line="47" w:lineRule="exact"/>
        <w:rPr>
          <w:sz w:val="20"/>
          <w:szCs w:val="20"/>
          <w:color w:val="auto"/>
        </w:rPr>
      </w:pPr>
    </w:p>
    <w:p>
      <w:pPr>
        <w:ind w:left="1800" w:right="20" w:hanging="899"/>
        <w:spacing w:after="0" w:line="281" w:lineRule="auto"/>
        <w:tabs>
          <w:tab w:leader="none" w:pos="1796"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preclinical studies or clinical trials may show the product candidates to be less effective than expected (e.g., a clinical trial could fail to meet its primary endpoint(s)) or to have unacceptable side effects or toxicities;</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failure to establish clinical endpoints that applicable regulatory authorities would consider clinically meaningful;</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failure to receive the necessary regulatory approvals;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development of competing products in the same disease state;</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manufacturing costs, formulation issues, pricing or reimbursement issues, or other factors that make a product candidate uneconomical; and</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proprietary rights of others and their competing products and technologies that may prevent one of our product candidates from being commercialized.</w:t>
      </w:r>
    </w:p>
    <w:p>
      <w:pPr>
        <w:spacing w:after="0" w:line="105" w:lineRule="exact"/>
        <w:rPr>
          <w:sz w:val="20"/>
          <w:szCs w:val="20"/>
          <w:color w:val="auto"/>
        </w:rPr>
      </w:pPr>
    </w:p>
    <w:p>
      <w:pPr>
        <w:ind w:right="260" w:firstLine="764"/>
        <w:spacing w:after="0" w:line="278" w:lineRule="auto"/>
        <w:rPr>
          <w:sz w:val="20"/>
          <w:szCs w:val="20"/>
          <w:color w:val="auto"/>
        </w:rPr>
      </w:pPr>
      <w:r>
        <w:rPr>
          <w:rFonts w:ascii="Arial" w:cs="Arial" w:eastAsia="Arial" w:hAnsi="Arial"/>
          <w:sz w:val="13"/>
          <w:szCs w:val="13"/>
          <w:color w:val="auto"/>
        </w:rPr>
        <w:t>In addition, differences in trial design between early-stage clinical trials and later-stage clinical trials make it difficult to extrapolate the results of earlier clinical trials to later clinical trials. Further, as we rely on novel technologies including sophisticated imaging technologies to generate data relating to our clinical endpoints, there is an increased risk that we may not properly measure, analyze or interpret this data. Moreover, clinical data are often susceptible to varying interpretations and analyses, and many companies that have believed their product candidates performed satisfactorily in clinical trials have nonetheless failed to obtain marketing approval of their products. Additionally, some of our trials are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w:t>
      </w:r>
    </w:p>
    <w:p>
      <w:pPr>
        <w:spacing w:after="0" w:line="54" w:lineRule="exact"/>
        <w:rPr>
          <w:sz w:val="20"/>
          <w:szCs w:val="20"/>
          <w:color w:val="auto"/>
        </w:rPr>
      </w:pPr>
    </w:p>
    <w:p>
      <w:pPr>
        <w:ind w:right="20" w:firstLine="764"/>
        <w:spacing w:after="0" w:line="279" w:lineRule="auto"/>
        <w:rPr>
          <w:sz w:val="20"/>
          <w:szCs w:val="20"/>
          <w:color w:val="auto"/>
        </w:rPr>
      </w:pPr>
      <w:r>
        <w:rPr>
          <w:rFonts w:ascii="Arial" w:cs="Arial" w:eastAsia="Arial" w:hAnsi="Arial"/>
          <w:sz w:val="13"/>
          <w:szCs w:val="13"/>
          <w:color w:val="auto"/>
        </w:rPr>
        <w:t>In addition, the standards that the FDA and comparable foreign regulatory authorities use when regulating us require judgment and can change, which makes it difficult to predict with certainty how they will be applied. Although we are initially focusing our efforts on development of small molecule drug products, we are also considering the development of biological products, including a potential candidate for muscular dystrophies, which could make us subject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Examples of such regulations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spacing w:after="0" w:line="53" w:lineRule="exact"/>
        <w:rPr>
          <w:sz w:val="20"/>
          <w:szCs w:val="20"/>
          <w:color w:val="auto"/>
        </w:rPr>
      </w:pPr>
    </w:p>
    <w:p>
      <w:pPr>
        <w:ind w:firstLine="764"/>
        <w:spacing w:after="0" w:line="319" w:lineRule="auto"/>
        <w:rPr>
          <w:sz w:val="20"/>
          <w:szCs w:val="20"/>
          <w:color w:val="auto"/>
        </w:rPr>
      </w:pPr>
      <w:r>
        <w:rPr>
          <w:rFonts w:ascii="Arial" w:cs="Arial" w:eastAsia="Arial" w:hAnsi="Arial"/>
          <w:sz w:val="12"/>
          <w:szCs w:val="12"/>
          <w:color w:val="auto"/>
        </w:rPr>
        <w:t>If we seek to conduct clinical trials in foreign countries or pursue marketing approvals in foreign jurisdictions, we must comply with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30" w:lineRule="exact"/>
        <w:rPr>
          <w:sz w:val="20"/>
          <w:szCs w:val="20"/>
          <w:color w:val="auto"/>
        </w:rPr>
      </w:pPr>
    </w:p>
    <w:p>
      <w:pPr>
        <w:ind w:right="40" w:firstLine="764"/>
        <w:spacing w:after="0" w:line="262" w:lineRule="auto"/>
        <w:rPr>
          <w:sz w:val="20"/>
          <w:szCs w:val="20"/>
          <w:color w:val="auto"/>
        </w:rPr>
      </w:pPr>
      <w:r>
        <w:rPr>
          <w:rFonts w:ascii="Arial" w:cs="Arial" w:eastAsia="Arial" w:hAnsi="Arial"/>
          <w:sz w:val="14"/>
          <w:szCs w:val="14"/>
          <w:color w:val="auto"/>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spacing w:after="0"/>
        <w:rPr>
          <w:sz w:val="20"/>
          <w:szCs w:val="20"/>
          <w:color w:val="auto"/>
        </w:rPr>
      </w:pPr>
      <w:r>
        <w:rPr>
          <w:rFonts w:ascii="Arial" w:cs="Arial" w:eastAsia="Arial" w:hAnsi="Arial"/>
          <w:sz w:val="12"/>
          <w:szCs w:val="12"/>
          <w:b w:val="1"/>
          <w:bCs w:val="1"/>
          <w:i w:val="1"/>
          <w:iCs w:val="1"/>
          <w:color w:val="auto"/>
        </w:rPr>
        <w:t>We may incur additional costs or experience delays in completing, or ultimately be unable to complete, the development and commercialization of bexotegrast or any other product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candidates.</w:t>
      </w:r>
    </w:p>
    <w:p>
      <w:pPr>
        <w:spacing w:after="0" w:line="83" w:lineRule="exact"/>
        <w:rPr>
          <w:sz w:val="20"/>
          <w:szCs w:val="20"/>
          <w:color w:val="auto"/>
        </w:rPr>
      </w:pPr>
    </w:p>
    <w:p>
      <w:pPr>
        <w:ind w:right="260" w:firstLine="764"/>
        <w:spacing w:after="0" w:line="281" w:lineRule="auto"/>
        <w:rPr>
          <w:sz w:val="20"/>
          <w:szCs w:val="20"/>
          <w:color w:val="auto"/>
        </w:rPr>
      </w:pPr>
      <w:r>
        <w:rPr>
          <w:rFonts w:ascii="Arial" w:cs="Arial" w:eastAsia="Arial" w:hAnsi="Arial"/>
          <w:sz w:val="14"/>
          <w:szCs w:val="14"/>
          <w:color w:val="auto"/>
        </w:rPr>
        <w:t>We may experience delays in initiating or completing clinical trials. We also may experience numerous unforeseen events during, or as a result of, any future clinical trials that could delay or prevent our ability to receive marketing approval or commercialize bexotegrast or any other product candidates, including:</w:t>
      </w:r>
    </w:p>
    <w:p>
      <w:pPr>
        <w:spacing w:after="0" w:line="47" w:lineRule="exact"/>
        <w:rPr>
          <w:sz w:val="20"/>
          <w:szCs w:val="20"/>
          <w:color w:val="auto"/>
        </w:rPr>
      </w:pPr>
    </w:p>
    <w:p>
      <w:pPr>
        <w:ind w:left="1800" w:right="60" w:hanging="899"/>
        <w:spacing w:after="0" w:line="281" w:lineRule="auto"/>
        <w:tabs>
          <w:tab w:leader="none" w:pos="1796"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regulators or institutional review boards, or IRBs, or ethics committees may not authorize us or our investigators to commence a clinical trial or conduct a clinical trial at a prospective trial site;</w:t>
      </w:r>
    </w:p>
    <w:p>
      <w:pPr>
        <w:spacing w:after="0" w:line="47" w:lineRule="exact"/>
        <w:rPr>
          <w:rFonts w:ascii="Arial" w:cs="Arial" w:eastAsia="Arial" w:hAnsi="Arial"/>
          <w:sz w:val="14"/>
          <w:szCs w:val="14"/>
          <w:color w:val="auto"/>
        </w:rPr>
      </w:pPr>
    </w:p>
    <w:p>
      <w:pPr>
        <w:ind w:left="1800" w:right="300" w:hanging="899"/>
        <w:spacing w:after="0" w:line="281" w:lineRule="auto"/>
        <w:tabs>
          <w:tab w:leader="none" w:pos="1796"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spacing w:after="0" w:line="47" w:lineRule="exact"/>
        <w:rPr>
          <w:rFonts w:ascii="Arial" w:cs="Arial" w:eastAsia="Arial" w:hAnsi="Arial"/>
          <w:sz w:val="14"/>
          <w:szCs w:val="14"/>
          <w:color w:val="auto"/>
        </w:rPr>
      </w:pPr>
    </w:p>
    <w:p>
      <w:pPr>
        <w:ind w:left="1800" w:right="380" w:hanging="899"/>
        <w:spacing w:after="0" w:line="281" w:lineRule="auto"/>
        <w:tabs>
          <w:tab w:leader="none" w:pos="1796"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may experience delays in reaching, or fail to reach, agreement on acceptable terms with prospective trial sites and prospective CROs, which can be subject to extensive negotiation and may vary significantly among different CROs and trial sites;</w:t>
      </w:r>
    </w:p>
    <w:p>
      <w:pPr>
        <w:spacing w:after="0" w:line="47" w:lineRule="exact"/>
        <w:rPr>
          <w:rFonts w:ascii="Arial" w:cs="Arial" w:eastAsia="Arial" w:hAnsi="Arial"/>
          <w:sz w:val="14"/>
          <w:szCs w:val="14"/>
          <w:color w:val="auto"/>
        </w:rPr>
      </w:pPr>
    </w:p>
    <w:p>
      <w:pPr>
        <w:ind w:left="1800" w:right="160" w:hanging="899"/>
        <w:spacing w:after="0" w:line="281" w:lineRule="auto"/>
        <w:tabs>
          <w:tab w:leader="none" w:pos="1796"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number of subjects required for clinical trials of any product candidates may be larger than we anticipate or subjects may drop out of these clinical trials or fail to return for post-treatment follow-up at a higher rate than we anticipate;</w:t>
      </w:r>
    </w:p>
    <w:p>
      <w:pPr>
        <w:spacing w:after="0" w:line="47" w:lineRule="exact"/>
        <w:rPr>
          <w:rFonts w:ascii="Arial" w:cs="Arial" w:eastAsia="Arial" w:hAnsi="Arial"/>
          <w:sz w:val="14"/>
          <w:szCs w:val="14"/>
          <w:color w:val="auto"/>
        </w:rPr>
      </w:pPr>
    </w:p>
    <w:p>
      <w:pPr>
        <w:ind w:left="1800" w:hanging="899"/>
        <w:spacing w:after="0" w:line="281" w:lineRule="auto"/>
        <w:tabs>
          <w:tab w:leader="none" w:pos="1796"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47" w:lineRule="exact"/>
        <w:rPr>
          <w:rFonts w:ascii="Arial" w:cs="Arial" w:eastAsia="Arial" w:hAnsi="Arial"/>
          <w:sz w:val="14"/>
          <w:szCs w:val="14"/>
          <w:color w:val="auto"/>
        </w:rPr>
      </w:pPr>
    </w:p>
    <w:p>
      <w:pPr>
        <w:ind w:left="1800" w:right="220" w:hanging="899"/>
        <w:spacing w:after="0" w:line="267" w:lineRule="auto"/>
        <w:tabs>
          <w:tab w:leader="none" w:pos="1796" w:val="left"/>
        </w:tabs>
        <w:numPr>
          <w:ilvl w:val="0"/>
          <w:numId w:val="23"/>
        </w:numPr>
        <w:rPr>
          <w:rFonts w:ascii="Arial" w:cs="Arial" w:eastAsia="Arial" w:hAnsi="Arial"/>
          <w:sz w:val="14"/>
          <w:szCs w:val="14"/>
          <w:color w:val="auto"/>
        </w:rPr>
      </w:pPr>
      <w:r>
        <w:rPr>
          <w:rFonts w:ascii="Arial" w:cs="Arial" w:eastAsia="Arial" w:hAnsi="Arial"/>
          <w:sz w:val="14"/>
          <w:szCs w:val="14"/>
          <w:color w:val="auto"/>
        </w:rPr>
        <w:t>due to the impact of the COVID-19 pandemic, we have experienced, and may continue to experience, delays and interruptions to our preclinical studies and clinical trials, we may experience delays or interruptions to our manufacturing supply chain, or we could suffer delays in reaching, or we may fail to reach, agreement on acceptable terms with third-party service providers on whom we rely;</w:t>
      </w:r>
    </w:p>
    <w:p>
      <w:pPr>
        <w:spacing w:after="0" w:line="56" w:lineRule="exact"/>
        <w:rPr>
          <w:rFonts w:ascii="Arial" w:cs="Arial" w:eastAsia="Arial" w:hAnsi="Arial"/>
          <w:sz w:val="14"/>
          <w:szCs w:val="14"/>
          <w:color w:val="auto"/>
        </w:rPr>
      </w:pPr>
    </w:p>
    <w:p>
      <w:pPr>
        <w:ind w:left="1800" w:right="80" w:hanging="899"/>
        <w:spacing w:after="0" w:line="281" w:lineRule="auto"/>
        <w:tabs>
          <w:tab w:leader="none" w:pos="1796" w:val="left"/>
        </w:tabs>
        <w:numPr>
          <w:ilvl w:val="0"/>
          <w:numId w:val="23"/>
        </w:numPr>
        <w:rPr>
          <w:rFonts w:ascii="Arial" w:cs="Arial" w:eastAsia="Arial" w:hAnsi="Arial"/>
          <w:sz w:val="14"/>
          <w:szCs w:val="14"/>
          <w:color w:val="auto"/>
        </w:rPr>
      </w:pPr>
      <w:r>
        <w:rPr>
          <w:rFonts w:ascii="Arial" w:cs="Arial" w:eastAsia="Arial" w:hAnsi="Arial"/>
          <w:sz w:val="14"/>
          <w:szCs w:val="14"/>
          <w:color w:val="auto"/>
        </w:rPr>
        <w:t>additional delays and interruptions to our clinical trials could extend the duration of the trials and increase the overall costs to finish the trials as our fixed costs are not substantially reduced during delays;</w:t>
      </w:r>
    </w:p>
    <w:p>
      <w:pPr>
        <w:spacing w:after="0" w:line="47" w:lineRule="exact"/>
        <w:rPr>
          <w:rFonts w:ascii="Arial" w:cs="Arial" w:eastAsia="Arial" w:hAnsi="Arial"/>
          <w:sz w:val="14"/>
          <w:szCs w:val="14"/>
          <w:color w:val="auto"/>
        </w:rPr>
      </w:pPr>
    </w:p>
    <w:p>
      <w:pPr>
        <w:ind w:left="1800" w:right="140" w:hanging="899"/>
        <w:spacing w:after="0" w:line="267" w:lineRule="auto"/>
        <w:tabs>
          <w:tab w:leader="none" w:pos="1796"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56" w:lineRule="exact"/>
        <w:rPr>
          <w:rFonts w:ascii="Arial" w:cs="Arial" w:eastAsia="Arial" w:hAnsi="Arial"/>
          <w:sz w:val="14"/>
          <w:szCs w:val="14"/>
          <w:color w:val="auto"/>
        </w:rPr>
      </w:pPr>
    </w:p>
    <w:p>
      <w:pPr>
        <w:ind w:left="1800" w:right="160" w:hanging="899"/>
        <w:spacing w:after="0" w:line="281" w:lineRule="auto"/>
        <w:tabs>
          <w:tab w:leader="none" w:pos="1796"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may not have the financial resources available to begin and complete the planned trials, or the cost of clinical trials of any product candidates may be greater than we anticipate;</w:t>
      </w:r>
    </w:p>
    <w:p>
      <w:pPr>
        <w:spacing w:after="0" w:line="47" w:lineRule="exact"/>
        <w:rPr>
          <w:rFonts w:ascii="Arial" w:cs="Arial" w:eastAsia="Arial" w:hAnsi="Arial"/>
          <w:sz w:val="14"/>
          <w:szCs w:val="14"/>
          <w:color w:val="auto"/>
        </w:rPr>
      </w:pPr>
    </w:p>
    <w:p>
      <w:pPr>
        <w:ind w:left="1800" w:right="280" w:hanging="899"/>
        <w:spacing w:after="0" w:line="281" w:lineRule="auto"/>
        <w:tabs>
          <w:tab w:leader="none" w:pos="1796"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supply or quality of our product candidates or other materials necessary to conduct clinical trials of our product candidates may be insufficient or inadequate to initiate or complete a given clinical trial; and</w:t>
      </w:r>
    </w:p>
    <w:p>
      <w:pPr>
        <w:spacing w:after="0" w:line="47" w:lineRule="exact"/>
        <w:rPr>
          <w:rFonts w:ascii="Arial" w:cs="Arial" w:eastAsia="Arial" w:hAnsi="Arial"/>
          <w:sz w:val="14"/>
          <w:szCs w:val="14"/>
          <w:color w:val="auto"/>
        </w:rPr>
      </w:pPr>
    </w:p>
    <w:p>
      <w:pPr>
        <w:ind w:left="1800" w:right="760" w:hanging="899"/>
        <w:spacing w:after="0" w:line="281" w:lineRule="auto"/>
        <w:tabs>
          <w:tab w:leader="none" w:pos="1796"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FDA or other comparable foreign regulatory authorities may require us to submit additional data such as long-term toxicology studies, or impose other requirements before permitting us to initiate a clinical trial.</w:t>
      </w:r>
    </w:p>
    <w:p>
      <w:pPr>
        <w:spacing w:after="0" w:line="47" w:lineRule="exact"/>
        <w:rPr>
          <w:sz w:val="20"/>
          <w:szCs w:val="20"/>
          <w:color w:val="auto"/>
        </w:rPr>
      </w:pPr>
    </w:p>
    <w:p>
      <w:pPr>
        <w:ind w:right="80" w:firstLine="764"/>
        <w:spacing w:after="0" w:line="258" w:lineRule="auto"/>
        <w:rPr>
          <w:sz w:val="20"/>
          <w:szCs w:val="20"/>
          <w:color w:val="auto"/>
        </w:rPr>
      </w:pPr>
      <w:r>
        <w:rPr>
          <w:rFonts w:ascii="Arial" w:cs="Arial" w:eastAsia="Arial" w:hAnsi="Arial"/>
          <w:sz w:val="14"/>
          <w:szCs w:val="14"/>
          <w:color w:val="auto"/>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timeframes we announce and expect, the approval and commercialization of our product candidates may be delayed or prevented entirely.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340" w:firstLine="764"/>
        <w:spacing w:after="0" w:line="254" w:lineRule="auto"/>
        <w:rPr>
          <w:sz w:val="20"/>
          <w:szCs w:val="20"/>
          <w:color w:val="auto"/>
        </w:rPr>
      </w:pPr>
      <w:r>
        <w:rPr>
          <w:rFonts w:ascii="Arial" w:cs="Arial" w:eastAsia="Arial" w:hAnsi="Arial"/>
          <w:sz w:val="14"/>
          <w:szCs w:val="14"/>
          <w:b w:val="1"/>
          <w:bCs w:val="1"/>
          <w:i w:val="1"/>
          <w:iCs w:val="1"/>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ind w:firstLine="764"/>
        <w:spacing w:after="0" w:line="257" w:lineRule="auto"/>
        <w:rPr>
          <w:sz w:val="20"/>
          <w:szCs w:val="20"/>
          <w:color w:val="auto"/>
        </w:rPr>
      </w:pPr>
      <w:r>
        <w:rPr>
          <w:rFonts w:ascii="Arial" w:cs="Arial" w:eastAsia="Arial" w:hAnsi="Arial"/>
          <w:sz w:val="13"/>
          <w:szCs w:val="13"/>
          <w:color w:val="auto"/>
        </w:rPr>
        <w:t>We completed our Phase 1a clinical trial of our lead product candidate bexotegrast in healthy volunteers, and, with the exception of a number of reported minor adverse events, the product candidate was observed to be generally well-tolerated across all doses in 71 trial participants. In addition, we announced Positive interim data from our first Phase 2a INTEGRIS-IPF trial in July 2022 and January 2023 in which the product candidate was observed to be well-tolerated over a 12-week treatment period in the 88 patients treated with bexotegrast. However, 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In addition, in our ongoing Phase 2a clinical trials, we are evaluating bexotegrast administered with approved IPF agents. We have completed a Phase 1a study evaluating one-way interaction of bexotegrast on nintedanib or pirfenidone, concluding that clinical safety and pharmacokinetic data indicate that no dose adjustments are needed for nintedanib or pirfenidone when combined with bexotegrast. However, we may encounter unexpected drug-drug interactions in our planned trials, and may be required to further test these candidates, including additional drug-drug interaction studies, which may be expensive, time-consuming and result in delays to our programs.</w:t>
      </w:r>
    </w:p>
    <w:p>
      <w:pPr>
        <w:spacing w:after="0" w:line="65" w:lineRule="exact"/>
        <w:rPr>
          <w:sz w:val="20"/>
          <w:szCs w:val="20"/>
          <w:color w:val="auto"/>
        </w:rPr>
      </w:pPr>
    </w:p>
    <w:p>
      <w:pPr>
        <w:jc w:val="both"/>
        <w:ind w:right="240" w:firstLine="764"/>
        <w:spacing w:after="0" w:line="267" w:lineRule="auto"/>
        <w:rPr>
          <w:sz w:val="20"/>
          <w:szCs w:val="20"/>
          <w:color w:val="auto"/>
        </w:rPr>
      </w:pPr>
      <w:r>
        <w:rPr>
          <w:rFonts w:ascii="Arial" w:cs="Arial" w:eastAsia="Arial" w:hAnsi="Arial"/>
          <w:sz w:val="14"/>
          <w:szCs w:val="14"/>
          <w:color w:val="auto"/>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If we encounter difficulties enrolling patients in our clinical trials, our clinical development activities could be delayed or otherwise adversely affected.</w:t>
      </w:r>
    </w:p>
    <w:p>
      <w:pPr>
        <w:spacing w:after="0" w:line="94" w:lineRule="exact"/>
        <w:rPr>
          <w:sz w:val="20"/>
          <w:szCs w:val="20"/>
          <w:color w:val="auto"/>
        </w:rPr>
      </w:pPr>
    </w:p>
    <w:p>
      <w:pPr>
        <w:ind w:right="260" w:firstLine="764"/>
        <w:spacing w:after="0" w:line="321" w:lineRule="auto"/>
        <w:rPr>
          <w:sz w:val="20"/>
          <w:szCs w:val="20"/>
          <w:color w:val="auto"/>
        </w:rPr>
      </w:pPr>
      <w:r>
        <w:rPr>
          <w:rFonts w:ascii="Arial" w:cs="Arial" w:eastAsia="Arial" w:hAnsi="Arial"/>
          <w:sz w:val="13"/>
          <w:szCs w:val="13"/>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24" w:lineRule="exact"/>
        <w:rPr>
          <w:sz w:val="20"/>
          <w:szCs w:val="20"/>
          <w:color w:val="auto"/>
        </w:rPr>
      </w:pPr>
    </w:p>
    <w:p>
      <w:pPr>
        <w:ind w:left="1780" w:hanging="879"/>
        <w:spacing w:after="0"/>
        <w:tabs>
          <w:tab w:leader="none" w:pos="17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patient eligibility and exclusion criteria defined in the protocol;</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size of the patient population required for analysis of the trial’s primary endpoints and the process for identifying patients;</w:t>
      </w:r>
    </w:p>
    <w:p>
      <w:pPr>
        <w:spacing w:after="0" w:line="93" w:lineRule="exact"/>
        <w:rPr>
          <w:rFonts w:ascii="Arial" w:cs="Arial" w:eastAsia="Arial" w:hAnsi="Arial"/>
          <w:sz w:val="14"/>
          <w:szCs w:val="14"/>
          <w:color w:val="auto"/>
        </w:rPr>
      </w:pPr>
    </w:p>
    <w:p>
      <w:pPr>
        <w:ind w:left="1800" w:hanging="899"/>
        <w:spacing w:after="0" w:line="281" w:lineRule="auto"/>
        <w:tabs>
          <w:tab w:leader="none" w:pos="1796"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willingness or availability (including legality under any future or reinstated COVID-19 shelter-in-place regulations) of patients to participate in our trials (including due to fears of contracting COVID-19);</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proximity of patients to trial sites;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design of the trial;</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ability to recruit clinical trial investigators with the appropriate competencies and experience;</w:t>
      </w:r>
    </w:p>
    <w:p>
      <w:pPr>
        <w:spacing w:after="0" w:line="93" w:lineRule="exact"/>
        <w:rPr>
          <w:rFonts w:ascii="Arial" w:cs="Arial" w:eastAsia="Arial" w:hAnsi="Arial"/>
          <w:sz w:val="14"/>
          <w:szCs w:val="14"/>
          <w:color w:val="auto"/>
        </w:rPr>
      </w:pPr>
    </w:p>
    <w:p>
      <w:pPr>
        <w:ind w:left="1800" w:right="220" w:hanging="899"/>
        <w:spacing w:after="0" w:line="281" w:lineRule="auto"/>
        <w:tabs>
          <w:tab w:leader="none" w:pos="1796" w:val="left"/>
        </w:tabs>
        <w:numPr>
          <w:ilvl w:val="0"/>
          <w:numId w:val="24"/>
        </w:numPr>
        <w:rPr>
          <w:rFonts w:ascii="Arial" w:cs="Arial" w:eastAsia="Arial" w:hAnsi="Arial"/>
          <w:sz w:val="14"/>
          <w:szCs w:val="14"/>
          <w:color w:val="auto"/>
        </w:rPr>
      </w:pPr>
      <w:r>
        <w:rPr>
          <w:rFonts w:ascii="Arial" w:cs="Arial" w:eastAsia="Arial" w:hAnsi="Arial"/>
          <w:sz w:val="14"/>
          <w:szCs w:val="14"/>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availability of competing commercially available therapies and other competing product candidates’ clinical trials;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ability to obtain and maintain patient informed consents; and</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risk that patients enrolled in clinical trials will drop out of the trials before completion.</w:t>
      </w:r>
    </w:p>
    <w:p>
      <w:pPr>
        <w:spacing w:after="0" w:line="94" w:lineRule="exact"/>
        <w:rPr>
          <w:sz w:val="20"/>
          <w:szCs w:val="20"/>
          <w:color w:val="auto"/>
        </w:rPr>
      </w:pPr>
    </w:p>
    <w:p>
      <w:pPr>
        <w:ind w:right="80" w:firstLine="764"/>
        <w:spacing w:after="0" w:line="258" w:lineRule="auto"/>
        <w:rPr>
          <w:sz w:val="20"/>
          <w:szCs w:val="20"/>
          <w:color w:val="auto"/>
        </w:rPr>
      </w:pPr>
      <w:r>
        <w:rPr>
          <w:rFonts w:ascii="Arial" w:cs="Arial" w:eastAsia="Arial" w:hAnsi="Arial"/>
          <w:sz w:val="14"/>
          <w:szCs w:val="14"/>
          <w:color w:val="auto"/>
        </w:rPr>
        <w:t>For example, we are initially developing bexotegrast for the treatment of IPF and PSC, each of which is an orphan indication. In the United States, IPF is estimated to affect approximately 140,000 patients, while PSC is estimated to affect approximately 30,000 to 45,000 patients. As a result, we may encounter difficulties enrolling subjects in our clinical trials of bexotegrast due, in part, to the small size of these patient populations. Moreover, our Phase 2a PET imaging IPF trial is being conducted at a single site, which could limit the availability of IPF patients at the site and may slow enrollment in that specific trial.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80"/>
        <w:spacing w:after="0" w:line="254" w:lineRule="auto"/>
        <w:rPr>
          <w:sz w:val="20"/>
          <w:szCs w:val="20"/>
          <w:color w:val="auto"/>
        </w:rPr>
      </w:pPr>
      <w:r>
        <w:rPr>
          <w:rFonts w:ascii="Arial" w:cs="Arial" w:eastAsia="Arial" w:hAnsi="Arial"/>
          <w:sz w:val="14"/>
          <w:szCs w:val="14"/>
          <w:color w:val="auto"/>
        </w:rPr>
        <w:t>we expect to conduct some of our clinical trials at the same clinical trial sites that some of our competitors use, which will reduce the number of patients who are available for our clinical trials in such clinical trial site.</w:t>
      </w:r>
    </w:p>
    <w:p>
      <w:pPr>
        <w:ind w:right="20" w:firstLine="764"/>
        <w:spacing w:after="0" w:line="260" w:lineRule="auto"/>
        <w:rPr>
          <w:sz w:val="20"/>
          <w:szCs w:val="20"/>
          <w:color w:val="auto"/>
        </w:rPr>
      </w:pPr>
      <w:r>
        <w:rPr>
          <w:rFonts w:ascii="Arial" w:cs="Arial" w:eastAsia="Arial" w:hAnsi="Arial"/>
          <w:sz w:val="13"/>
          <w:szCs w:val="13"/>
          <w:color w:val="auto"/>
        </w:rPr>
        <w:t>Further, timely enrollment in clinical trials is reliant on clinical trial sites which may be adversely affected by global health matters, including, among other things, pandemics. For example, our clinical trial sites have been affected by the COVID-19 pandemic. Commencement of enrollment of our clinical trials of bexotegrast in IPF and PSC was delayed. While these trials have resumed patient enrollment, and in some cases completed enrollment, we believe we have experienced and may continue to experience slower than expected enrollment due to the pandemic. Also, while the Phase 1 trial of PLN-1474 has completed, this trial experienced delays due to COVID-19. In addition, after enrollment in these trials, if patients contract COVID-19 during participation in our trials or are subject to isolation or shelter-in-place restrictions, this may cause them to drop out of our trials, miss scheduled doses or follow-up visits or otherwise fail to follow trial protocols. If patients are unable to follow the trial protocols or if our trial results are otherwise disputed due to the effects of the COVID-19 pandemic or actions taken to mitigate its spread, the integrity of data from our trials may be compromised or not accepted by the FDA or other regulatory authorities, which would represent a significant setback for the applicable program.</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design or execution of our ongoing and future clinical trials may not support marketing approval.</w:t>
      </w:r>
    </w:p>
    <w:p>
      <w:pPr>
        <w:spacing w:after="0" w:line="10" w:lineRule="exact"/>
        <w:rPr>
          <w:sz w:val="20"/>
          <w:szCs w:val="20"/>
          <w:color w:val="auto"/>
        </w:rPr>
      </w:pPr>
    </w:p>
    <w:p>
      <w:pPr>
        <w:ind w:right="20" w:firstLine="764"/>
        <w:spacing w:after="0" w:line="261" w:lineRule="auto"/>
        <w:rPr>
          <w:sz w:val="20"/>
          <w:szCs w:val="20"/>
          <w:color w:val="auto"/>
        </w:rPr>
      </w:pPr>
      <w:r>
        <w:rPr>
          <w:rFonts w:ascii="Arial" w:cs="Arial" w:eastAsia="Arial" w:hAnsi="Arial"/>
          <w:sz w:val="13"/>
          <w:szCs w:val="13"/>
          <w:color w:val="auto"/>
        </w:rPr>
        <w:t>The design or execution of a clinical trial can determine whether its results will support marketing approval, and flaws in the design or execution of a clinical trial may not become apparent until the clinical trial is well advanced. We recently completed enrollment of two Phase 2a trials of bexotegrast in IPF. In the first of these trials, the study is designed to enroll IPF patients and utilize a positron emission tomography, or PET, ligand to measure αvß6 target engagement by bexotegrast in the lungs post-treatment. The second trial is a double-blind placebo-controlled trial to evaluate safety, tolerability and pharmacokinetics of bexotegrast in IPF patients for up to 48 weeks at doses of up to 320 mg. It is possible that we may need to amend our clinical trial, which would require us to resubmit our clinical trial protocols to competent authorities and ethics committees for reexamination, and may impact the costs, timing, or successful completion of such clinical trial. In addition, we may desire to test bexotegrast at doses exceeding those evaluated in an ongoing Phase 1a trial and may not be able to do so.</w:t>
      </w:r>
    </w:p>
    <w:p>
      <w:pPr>
        <w:spacing w:after="0" w:line="63" w:lineRule="exact"/>
        <w:rPr>
          <w:sz w:val="20"/>
          <w:szCs w:val="20"/>
          <w:color w:val="auto"/>
        </w:rPr>
      </w:pPr>
    </w:p>
    <w:p>
      <w:pPr>
        <w:ind w:right="200" w:firstLine="764"/>
        <w:spacing w:after="0" w:line="331" w:lineRule="auto"/>
        <w:rPr>
          <w:sz w:val="20"/>
          <w:szCs w:val="20"/>
          <w:color w:val="auto"/>
        </w:rPr>
      </w:pPr>
      <w:r>
        <w:rPr>
          <w:rFonts w:ascii="Arial" w:cs="Arial" w:eastAsia="Arial" w:hAnsi="Arial"/>
          <w:sz w:val="12"/>
          <w:szCs w:val="12"/>
          <w:color w:val="auto"/>
        </w:rPr>
        <w:t>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our product candidates.</w:t>
      </w:r>
    </w:p>
    <w:p>
      <w:pPr>
        <w:spacing w:after="0" w:line="23" w:lineRule="exact"/>
        <w:rPr>
          <w:sz w:val="20"/>
          <w:szCs w:val="20"/>
          <w:color w:val="auto"/>
        </w:rPr>
      </w:pPr>
    </w:p>
    <w:p>
      <w:pPr>
        <w:ind w:right="40" w:firstLine="764"/>
        <w:spacing w:after="0" w:line="257" w:lineRule="auto"/>
        <w:rPr>
          <w:sz w:val="20"/>
          <w:szCs w:val="20"/>
          <w:color w:val="auto"/>
        </w:rPr>
      </w:pPr>
      <w:r>
        <w:rPr>
          <w:rFonts w:ascii="Arial" w:cs="Arial" w:eastAsia="Arial" w:hAnsi="Arial"/>
          <w:sz w:val="14"/>
          <w:szCs w:val="14"/>
          <w:color w:val="auto"/>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our product candidates, if approved.</w:t>
      </w:r>
    </w:p>
    <w:p>
      <w:pPr>
        <w:spacing w:after="0" w:line="66" w:lineRule="exact"/>
        <w:rPr>
          <w:sz w:val="20"/>
          <w:szCs w:val="20"/>
          <w:color w:val="auto"/>
        </w:rPr>
      </w:pPr>
    </w:p>
    <w:p>
      <w:pPr>
        <w:ind w:right="140" w:firstLine="764"/>
        <w:spacing w:after="0" w:line="260" w:lineRule="auto"/>
        <w:rPr>
          <w:sz w:val="20"/>
          <w:szCs w:val="20"/>
          <w:color w:val="auto"/>
        </w:rPr>
      </w:pPr>
      <w:r>
        <w:rPr>
          <w:rFonts w:ascii="Arial" w:cs="Arial" w:eastAsia="Arial" w:hAnsi="Arial"/>
          <w:sz w:val="14"/>
          <w:szCs w:val="14"/>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1" w:lineRule="exact"/>
        <w:rPr>
          <w:sz w:val="20"/>
          <w:szCs w:val="20"/>
          <w:color w:val="auto"/>
        </w:rPr>
      </w:pPr>
    </w:p>
    <w:p>
      <w:pPr>
        <w:ind w:right="160" w:firstLine="764"/>
        <w:spacing w:after="0" w:line="238" w:lineRule="auto"/>
        <w:rPr>
          <w:sz w:val="20"/>
          <w:szCs w:val="20"/>
          <w:color w:val="auto"/>
        </w:rPr>
      </w:pPr>
      <w:r>
        <w:rPr>
          <w:rFonts w:ascii="Arial" w:cs="Arial" w:eastAsia="Arial" w:hAnsi="Arial"/>
          <w:sz w:val="14"/>
          <w:szCs w:val="14"/>
          <w:b w:val="1"/>
          <w:bCs w:val="1"/>
          <w:i w:val="1"/>
          <w:iCs w:val="1"/>
          <w:color w:val="auto"/>
        </w:rPr>
        <w:t>Although we have received U.S. orphan drug designation for bexotegrast for IPF and PSC indications and EEA orphan drug designation for bexotegrast for IPF and for PSC we may be unable to obtain and maintain orphan drug designation for our other product candidates and, even if we obtain such designation, we may not be able to realize the benefits of such designation, including potential marketing exclusivity of our product candidates, if approved.</w:t>
      </w:r>
    </w:p>
    <w:p>
      <w:pPr>
        <w:ind w:firstLine="764"/>
        <w:spacing w:after="0" w:line="260" w:lineRule="auto"/>
        <w:rPr>
          <w:sz w:val="20"/>
          <w:szCs w:val="20"/>
          <w:color w:val="auto"/>
        </w:rPr>
      </w:pPr>
      <w:r>
        <w:rPr>
          <w:rFonts w:ascii="Arial" w:cs="Arial" w:eastAsia="Arial" w:hAnsi="Arial"/>
          <w:sz w:val="13"/>
          <w:szCs w:val="13"/>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order to obtain orphan designation in the EEA, the product must fulfill certain challenging criteria. Under Article 3 of Regulation (EC) 141/2000, a medicinal product may be designated as an orphan medicinal product if it meets the following criteria: (1) such product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360"/>
        <w:spacing w:after="0" w:line="304" w:lineRule="auto"/>
        <w:rPr>
          <w:sz w:val="20"/>
          <w:szCs w:val="20"/>
          <w:color w:val="auto"/>
        </w:rPr>
      </w:pPr>
      <w:r>
        <w:rPr>
          <w:rFonts w:ascii="Arial" w:cs="Arial" w:eastAsia="Arial" w:hAnsi="Arial"/>
          <w:sz w:val="13"/>
          <w:szCs w:val="13"/>
          <w:color w:val="auto"/>
        </w:rPr>
        <w:t>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spacing w:after="0" w:line="131" w:lineRule="exact"/>
        <w:rPr>
          <w:sz w:val="20"/>
          <w:szCs w:val="20"/>
          <w:color w:val="auto"/>
        </w:rPr>
      </w:pPr>
    </w:p>
    <w:p>
      <w:pPr>
        <w:jc w:val="both"/>
        <w:ind w:firstLine="764"/>
        <w:spacing w:after="0" w:line="261" w:lineRule="auto"/>
        <w:rPr>
          <w:sz w:val="20"/>
          <w:szCs w:val="20"/>
          <w:color w:val="auto"/>
        </w:rPr>
      </w:pPr>
      <w:r>
        <w:rPr>
          <w:rFonts w:ascii="Arial" w:cs="Arial" w:eastAsia="Arial" w:hAnsi="Arial"/>
          <w:sz w:val="13"/>
          <w:szCs w:val="13"/>
          <w:color w:val="auto"/>
        </w:rPr>
        <w:t>Although we have received U.S. orphan drug designation for bexotegrast for IPF and PSC and EEA orphan drug designation for bexotegrast for IPF and for PSC,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spacing w:after="0" w:line="2" w:lineRule="exact"/>
        <w:rPr>
          <w:sz w:val="20"/>
          <w:szCs w:val="20"/>
          <w:color w:val="auto"/>
        </w:rPr>
      </w:pPr>
    </w:p>
    <w:p>
      <w:pPr>
        <w:ind w:right="160" w:firstLine="764"/>
        <w:spacing w:after="0" w:line="252" w:lineRule="auto"/>
        <w:rPr>
          <w:sz w:val="20"/>
          <w:szCs w:val="20"/>
          <w:color w:val="auto"/>
        </w:rPr>
      </w:pPr>
      <w:r>
        <w:rPr>
          <w:rFonts w:ascii="Arial" w:cs="Arial" w:eastAsia="Arial" w:hAnsi="Arial"/>
          <w:sz w:val="13"/>
          <w:szCs w:val="13"/>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a similar medicinal product treating the same indication for that marketing exclusivity period, except in limited circumstances. The applicable period is seven years in the United States and ten years in the EEA. The ten-year period of market exclusivity in the EEA can be extended by a further two years if the product qualifies for a pediatric extension, but can be reduced to a period of six years if the orphan designation criteria are no longer met after the fifth year.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2" w:lineRule="exact"/>
        <w:rPr>
          <w:sz w:val="20"/>
          <w:szCs w:val="20"/>
          <w:color w:val="auto"/>
        </w:rPr>
      </w:pPr>
    </w:p>
    <w:p>
      <w:pPr>
        <w:ind w:right="20" w:firstLine="764"/>
        <w:spacing w:after="0" w:line="237" w:lineRule="auto"/>
        <w:rPr>
          <w:sz w:val="20"/>
          <w:szCs w:val="20"/>
          <w:color w:val="auto"/>
        </w:rPr>
      </w:pPr>
      <w:r>
        <w:rPr>
          <w:rFonts w:ascii="Arial" w:cs="Arial" w:eastAsia="Arial" w:hAnsi="Arial"/>
          <w:sz w:val="14"/>
          <w:szCs w:val="14"/>
          <w:color w:val="auto"/>
        </w:rPr>
        <w:t>Even if we obtain orphan drug exclusivity for a product candidate, that exclusivity may not effectively protect the product candidate from competition because different drugs with different active moieties can be approved for the same condition in the United States or EEA. Even after an orphan drug is approved, the FDA or EMA, as applicable, may subsequently approve another drug with the same active moiety for the same condition if the FDA concludes that the latter drug is not a similar medicinal product or is clinically superior in that it is shown to be safer, more effective or makes a major contribution to patient care.</w:t>
      </w:r>
    </w:p>
    <w:p>
      <w:pPr>
        <w:spacing w:after="0" w:line="1" w:lineRule="exact"/>
        <w:rPr>
          <w:sz w:val="20"/>
          <w:szCs w:val="20"/>
          <w:color w:val="auto"/>
        </w:rPr>
      </w:pPr>
    </w:p>
    <w:p>
      <w:pPr>
        <w:ind w:right="100" w:firstLine="764"/>
        <w:spacing w:after="0" w:line="242" w:lineRule="auto"/>
        <w:rPr>
          <w:sz w:val="20"/>
          <w:szCs w:val="20"/>
          <w:color w:val="auto"/>
        </w:rPr>
      </w:pPr>
      <w:r>
        <w:rPr>
          <w:rFonts w:ascii="Arial" w:cs="Arial" w:eastAsia="Arial" w:hAnsi="Arial"/>
          <w:sz w:val="14"/>
          <w:szCs w:val="14"/>
          <w:color w:val="auto"/>
        </w:rPr>
        <w:t>In addition, Congress is considering updates to the orphan drug provisions of the FDCA in response to a recent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spacing w:after="0" w:line="265" w:lineRule="exact"/>
        <w:rPr>
          <w:sz w:val="20"/>
          <w:szCs w:val="20"/>
          <w:color w:val="auto"/>
        </w:rPr>
      </w:pPr>
    </w:p>
    <w:p>
      <w:pPr>
        <w:ind w:right="180" w:firstLine="764"/>
        <w:spacing w:after="0" w:line="260" w:lineRule="auto"/>
        <w:rPr>
          <w:sz w:val="20"/>
          <w:szCs w:val="20"/>
          <w:color w:val="auto"/>
        </w:rPr>
      </w:pPr>
      <w:r>
        <w:rPr>
          <w:rFonts w:ascii="Arial" w:cs="Arial" w:eastAsia="Arial" w:hAnsi="Arial"/>
          <w:sz w:val="14"/>
          <w:szCs w:val="14"/>
          <w:b w:val="1"/>
          <w:bCs w:val="1"/>
          <w:i w:val="1"/>
          <w:iCs w:val="1"/>
          <w:color w:val="auto"/>
        </w:rPr>
        <w:t>A Fast Track designation by the FDA, even if granted for other current or future product candidates, may not lead to a faster development or regulatory review, licensure process and does not increase the likelihood that our product candidates will receive marketing licensure.</w:t>
      </w:r>
    </w:p>
    <w:p>
      <w:pPr>
        <w:spacing w:after="0" w:line="1" w:lineRule="exact"/>
        <w:rPr>
          <w:sz w:val="20"/>
          <w:szCs w:val="20"/>
          <w:color w:val="auto"/>
        </w:rPr>
      </w:pPr>
    </w:p>
    <w:p>
      <w:pPr>
        <w:ind w:right="180" w:firstLine="764"/>
        <w:spacing w:after="0" w:line="276" w:lineRule="auto"/>
        <w:rPr>
          <w:sz w:val="20"/>
          <w:szCs w:val="20"/>
          <w:color w:val="auto"/>
        </w:rPr>
      </w:pPr>
      <w:r>
        <w:rPr>
          <w:rFonts w:ascii="Arial" w:cs="Arial" w:eastAsia="Arial" w:hAnsi="Arial"/>
          <w:sz w:val="13"/>
          <w:szCs w:val="13"/>
          <w:color w:val="auto"/>
        </w:rPr>
        <w:t>We may seek Fast Track designation for one or more of our future product candidates. In April 2022, bexotegrast received Fast Track designation for the treatment of IPF. If a drug product is intended for the treatment of a serious or life-threatening disease or condition and it demonstrates the potential to address unmet medical needs for such a disease or condition, the drug sponsor may apply for FDA Fast Track designation for a particular indication. We may seek Fast Track designation for our product candidates, but there is no assurance that the FDA will grant this designation to any of our proposed product candidates. Marketing applications submitted by sponsors of products in Fast Track development may qualify for priority review under the policies and procedures offered by the FDA, but the Fast Track designation does not assure any such qualification or ultimate marketing licensure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licensure compared to conventional FDA procedures or pathways and receiving a Fast Track designation does not provide assurance of ultimate FDA licensure. In addition, the FDA may withdraw Fast Track designation if it believes that the designation is no longer supported by data from our clinical development program. In addition, the FDA may withdraw any Fast Track designation at any time.</w:t>
      </w:r>
    </w:p>
    <w:p>
      <w:pPr>
        <w:spacing w:after="0" w:line="55"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Changes in methods of product candidate manufacturing or formulation may result in additional costs or delay.</w:t>
      </w:r>
    </w:p>
    <w:p>
      <w:pPr>
        <w:spacing w:after="0" w:line="94" w:lineRule="exact"/>
        <w:rPr>
          <w:sz w:val="20"/>
          <w:szCs w:val="20"/>
          <w:color w:val="auto"/>
        </w:rPr>
      </w:pPr>
    </w:p>
    <w:p>
      <w:pPr>
        <w:ind w:right="20" w:firstLine="764"/>
        <w:spacing w:after="0" w:line="284" w:lineRule="auto"/>
        <w:rPr>
          <w:sz w:val="20"/>
          <w:szCs w:val="20"/>
          <w:color w:val="auto"/>
        </w:rPr>
      </w:pPr>
      <w:r>
        <w:rPr>
          <w:rFonts w:ascii="Arial" w:cs="Arial" w:eastAsia="Arial" w:hAnsi="Arial"/>
          <w:sz w:val="13"/>
          <w:szCs w:val="13"/>
          <w:color w:val="auto"/>
        </w:rPr>
        <w:t>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firstLine="764"/>
        <w:spacing w:after="0" w:line="307" w:lineRule="auto"/>
        <w:rPr>
          <w:sz w:val="20"/>
          <w:szCs w:val="20"/>
          <w:color w:val="auto"/>
        </w:rPr>
      </w:pPr>
      <w:r>
        <w:rPr>
          <w:rFonts w:ascii="Arial" w:cs="Arial" w:eastAsia="Arial" w:hAnsi="Arial"/>
          <w:sz w:val="12"/>
          <w:szCs w:val="12"/>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38"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We may not be successful in our efforts to identify or discover additional product candidates in the future.</w:t>
      </w:r>
    </w:p>
    <w:p>
      <w:pPr>
        <w:spacing w:after="0" w:line="94" w:lineRule="exact"/>
        <w:rPr>
          <w:sz w:val="20"/>
          <w:szCs w:val="20"/>
          <w:color w:val="auto"/>
        </w:rPr>
      </w:pPr>
    </w:p>
    <w:p>
      <w:pPr>
        <w:ind w:left="760"/>
        <w:spacing w:after="0"/>
        <w:rPr>
          <w:sz w:val="20"/>
          <w:szCs w:val="20"/>
          <w:color w:val="auto"/>
        </w:rPr>
      </w:pPr>
      <w:r>
        <w:rPr>
          <w:rFonts w:ascii="Arial" w:cs="Arial" w:eastAsia="Arial" w:hAnsi="Arial"/>
          <w:sz w:val="13"/>
          <w:szCs w:val="13"/>
          <w:color w:val="auto"/>
        </w:rPr>
        <w:t>Our research programs may initially show promise in identifying potential product candidates, yet fail to yield product candidates for clinical development for a number of reasons,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including:</w:t>
      </w:r>
    </w:p>
    <w:p>
      <w:pPr>
        <w:spacing w:after="0" w:line="83" w:lineRule="exact"/>
        <w:rPr>
          <w:sz w:val="20"/>
          <w:szCs w:val="20"/>
          <w:color w:val="auto"/>
        </w:rPr>
      </w:pPr>
    </w:p>
    <w:p>
      <w:pPr>
        <w:ind w:left="1780" w:hanging="879"/>
        <w:spacing w:after="0"/>
        <w:tabs>
          <w:tab w:leader="none" w:pos="17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inability to design such product candidates with the pharmacological properties that we desire or attractive pharmacokinetics; or</w:t>
      </w:r>
    </w:p>
    <w:p>
      <w:pPr>
        <w:spacing w:after="0" w:line="93" w:lineRule="exact"/>
        <w:rPr>
          <w:rFonts w:ascii="Arial" w:cs="Arial" w:eastAsia="Arial" w:hAnsi="Arial"/>
          <w:sz w:val="14"/>
          <w:szCs w:val="14"/>
          <w:color w:val="auto"/>
        </w:rPr>
      </w:pPr>
    </w:p>
    <w:p>
      <w:pPr>
        <w:ind w:left="1800" w:right="220" w:hanging="899"/>
        <w:spacing w:after="0" w:line="281" w:lineRule="auto"/>
        <w:tabs>
          <w:tab w:leader="none" w:pos="1796" w:val="left"/>
        </w:tabs>
        <w:numPr>
          <w:ilvl w:val="0"/>
          <w:numId w:val="25"/>
        </w:numPr>
        <w:rPr>
          <w:rFonts w:ascii="Arial" w:cs="Arial" w:eastAsia="Arial" w:hAnsi="Arial"/>
          <w:sz w:val="14"/>
          <w:szCs w:val="14"/>
          <w:color w:val="auto"/>
        </w:rPr>
      </w:pPr>
      <w:r>
        <w:rPr>
          <w:rFonts w:ascii="Arial" w:cs="Arial" w:eastAsia="Arial" w:hAnsi="Arial"/>
          <w:sz w:val="14"/>
          <w:szCs w:val="14"/>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47" w:lineRule="exact"/>
        <w:rPr>
          <w:sz w:val="20"/>
          <w:szCs w:val="20"/>
          <w:color w:val="auto"/>
        </w:rPr>
      </w:pPr>
    </w:p>
    <w:p>
      <w:pPr>
        <w:ind w:right="120" w:firstLine="764"/>
        <w:spacing w:after="0" w:line="321" w:lineRule="auto"/>
        <w:rPr>
          <w:sz w:val="20"/>
          <w:szCs w:val="20"/>
          <w:color w:val="auto"/>
        </w:rPr>
      </w:pPr>
      <w:r>
        <w:rPr>
          <w:rFonts w:ascii="Arial" w:cs="Arial" w:eastAsia="Arial" w:hAnsi="Arial"/>
          <w:sz w:val="13"/>
          <w:szCs w:val="13"/>
          <w:color w:val="auto"/>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spacing w:after="0" w:line="24" w:lineRule="exact"/>
        <w:rPr>
          <w:sz w:val="20"/>
          <w:szCs w:val="20"/>
          <w:color w:val="auto"/>
        </w:rPr>
      </w:pPr>
    </w:p>
    <w:p>
      <w:pPr>
        <w:ind w:right="60" w:firstLine="764"/>
        <w:spacing w:after="0" w:line="281" w:lineRule="auto"/>
        <w:rPr>
          <w:sz w:val="20"/>
          <w:szCs w:val="20"/>
          <w:color w:val="auto"/>
        </w:rPr>
      </w:pPr>
      <w:r>
        <w:rPr>
          <w:rFonts w:ascii="Arial" w:cs="Arial" w:eastAsia="Arial" w:hAnsi="Arial"/>
          <w:sz w:val="14"/>
          <w:szCs w:val="14"/>
          <w:b w:val="1"/>
          <w:bCs w:val="1"/>
          <w:i w:val="1"/>
          <w:iCs w:val="1"/>
          <w:color w:val="auto"/>
        </w:rPr>
        <w:t>Due to our limited resources and access to capital, we must make decisions on the allocation of resources to certain programs and product candidates; these decisions may prove to be wrong and may adversely affect our business.</w:t>
      </w:r>
    </w:p>
    <w:p>
      <w:pPr>
        <w:spacing w:after="0" w:line="47" w:lineRule="exact"/>
        <w:rPr>
          <w:sz w:val="20"/>
          <w:szCs w:val="20"/>
          <w:color w:val="auto"/>
        </w:rPr>
      </w:pPr>
    </w:p>
    <w:p>
      <w:pPr>
        <w:ind w:right="100" w:firstLine="764"/>
        <w:spacing w:after="0" w:line="284" w:lineRule="auto"/>
        <w:rPr>
          <w:sz w:val="20"/>
          <w:szCs w:val="20"/>
          <w:color w:val="auto"/>
        </w:rPr>
      </w:pPr>
      <w:r>
        <w:rPr>
          <w:rFonts w:ascii="Arial" w:cs="Arial" w:eastAsia="Arial" w:hAnsi="Arial"/>
          <w:sz w:val="13"/>
          <w:szCs w:val="13"/>
          <w:color w:val="auto"/>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spacing w:after="0" w:line="49" w:lineRule="exact"/>
        <w:rPr>
          <w:sz w:val="20"/>
          <w:szCs w:val="20"/>
          <w:color w:val="auto"/>
        </w:rPr>
      </w:pPr>
    </w:p>
    <w:p>
      <w:pPr>
        <w:ind w:right="20" w:firstLine="764"/>
        <w:spacing w:after="0" w:line="267" w:lineRule="auto"/>
        <w:rPr>
          <w:sz w:val="20"/>
          <w:szCs w:val="20"/>
          <w:color w:val="auto"/>
        </w:rPr>
      </w:pPr>
      <w:r>
        <w:rPr>
          <w:rFonts w:ascii="Arial" w:cs="Arial" w:eastAsia="Arial" w:hAnsi="Arial"/>
          <w:sz w:val="14"/>
          <w:szCs w:val="14"/>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57" w:lineRule="exact"/>
        <w:rPr>
          <w:sz w:val="20"/>
          <w:szCs w:val="20"/>
          <w:color w:val="auto"/>
        </w:rPr>
      </w:pPr>
    </w:p>
    <w:p>
      <w:pPr>
        <w:ind w:left="760" w:right="40"/>
        <w:spacing w:after="0" w:line="287" w:lineRule="auto"/>
        <w:rPr>
          <w:sz w:val="20"/>
          <w:szCs w:val="20"/>
          <w:color w:val="auto"/>
        </w:rPr>
      </w:pPr>
      <w:r>
        <w:rPr>
          <w:rFonts w:ascii="Arial" w:cs="Arial" w:eastAsia="Arial" w:hAnsi="Arial"/>
          <w:sz w:val="12"/>
          <w:szCs w:val="12"/>
          <w:b w:val="1"/>
          <w:bCs w:val="1"/>
          <w:i w:val="1"/>
          <w:iCs w:val="1"/>
          <w:color w:val="auto"/>
        </w:rPr>
        <w:t xml:space="preserve">If product liability lawsuits are brought against us, we may incur substantial financial or other liabilities and may be required to limit commercialization of our product candidates. </w:t>
      </w:r>
      <w:r>
        <w:rPr>
          <w:rFonts w:ascii="Arial" w:cs="Arial" w:eastAsia="Arial" w:hAnsi="Arial"/>
          <w:sz w:val="12"/>
          <w:szCs w:val="12"/>
          <w:color w:val="auto"/>
        </w:rPr>
        <w:t>We face an inherent risk of product liability as a result of testing bexotegrast and any of our other product candidates in clinical trials and will face an even greater risk if we</w:t>
      </w:r>
    </w:p>
    <w:p>
      <w:pPr>
        <w:ind w:right="20"/>
        <w:spacing w:after="0" w:line="239" w:lineRule="auto"/>
        <w:rPr>
          <w:sz w:val="20"/>
          <w:szCs w:val="20"/>
          <w:color w:val="auto"/>
        </w:rPr>
      </w:pPr>
      <w:r>
        <w:rPr>
          <w:rFonts w:ascii="Arial" w:cs="Arial" w:eastAsia="Arial" w:hAnsi="Arial"/>
          <w:sz w:val="14"/>
          <w:szCs w:val="14"/>
          <w:color w:val="auto"/>
        </w:rPr>
        <w:t>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78" w:lineRule="exact"/>
        <w:rPr>
          <w:sz w:val="20"/>
          <w:szCs w:val="20"/>
          <w:color w:val="auto"/>
        </w:rPr>
      </w:pPr>
    </w:p>
    <w:p>
      <w:pPr>
        <w:ind w:left="1780" w:hanging="879"/>
        <w:spacing w:after="0"/>
        <w:tabs>
          <w:tab w:leader="none" w:pos="17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inability to bring a product candidate to the market;</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decreased demand for our products;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injury to our reputation;</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1780" w:hanging="879"/>
        <w:spacing w:after="0"/>
        <w:tabs>
          <w:tab w:leader="none" w:pos="1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withdrawal of clinical trial participants and inability to continue clinical trials;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initiation of investigations by regulators;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fines, injunctions or criminal penalties;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costs to defend the related litigation;</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diversion of management’s time and our resources;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substantial monetary awards to trial participants;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product recalls, withdrawals or labeling, marketing or promotional restrictions;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loss of revenue;</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exhaustion of any available insurance and our capital resources;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inability to commercialize any product candidate, if approved; and</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decline in our share price.</w:t>
      </w:r>
    </w:p>
    <w:p>
      <w:pPr>
        <w:spacing w:after="0" w:line="10" w:lineRule="exact"/>
        <w:rPr>
          <w:sz w:val="20"/>
          <w:szCs w:val="20"/>
          <w:color w:val="auto"/>
        </w:rPr>
      </w:pPr>
    </w:p>
    <w:p>
      <w:pPr>
        <w:ind w:right="80" w:firstLine="764"/>
        <w:spacing w:after="0" w:line="261" w:lineRule="auto"/>
        <w:rPr>
          <w:sz w:val="20"/>
          <w:szCs w:val="20"/>
          <w:color w:val="auto"/>
        </w:rPr>
      </w:pPr>
      <w:r>
        <w:rPr>
          <w:rFonts w:ascii="Arial" w:cs="Arial" w:eastAsia="Arial" w:hAnsi="Arial"/>
          <w:sz w:val="13"/>
          <w:szCs w:val="13"/>
          <w:color w:val="auto"/>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bexotegrast continues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We face substantial competition, which may result in others discovering, developing, or commercializing products before or more successfully than us.</w:t>
      </w:r>
    </w:p>
    <w:p>
      <w:pPr>
        <w:spacing w:after="0" w:line="94" w:lineRule="exact"/>
        <w:rPr>
          <w:sz w:val="20"/>
          <w:szCs w:val="20"/>
          <w:color w:val="auto"/>
        </w:rPr>
      </w:pPr>
    </w:p>
    <w:p>
      <w:pPr>
        <w:ind w:right="20" w:firstLine="764"/>
        <w:spacing w:after="0" w:line="262" w:lineRule="auto"/>
        <w:rPr>
          <w:sz w:val="20"/>
          <w:szCs w:val="20"/>
          <w:color w:val="auto"/>
        </w:rPr>
      </w:pPr>
      <w:r>
        <w:rPr>
          <w:rFonts w:ascii="Arial" w:cs="Arial" w:eastAsia="Arial" w:hAnsi="Arial"/>
          <w:sz w:val="14"/>
          <w:szCs w:val="14"/>
          <w:color w:val="auto"/>
        </w:rPr>
        <w:t>The development and commercialization of new drug products is highly competitive. We may face competition with respect to any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61" w:lineRule="exact"/>
        <w:rPr>
          <w:sz w:val="20"/>
          <w:szCs w:val="20"/>
          <w:color w:val="auto"/>
        </w:rPr>
      </w:pPr>
    </w:p>
    <w:p>
      <w:pPr>
        <w:ind w:right="100" w:firstLine="764"/>
        <w:spacing w:after="0" w:line="322" w:lineRule="auto"/>
        <w:rPr>
          <w:sz w:val="20"/>
          <w:szCs w:val="20"/>
          <w:color w:val="auto"/>
        </w:rPr>
      </w:pPr>
      <w:r>
        <w:rPr>
          <w:rFonts w:ascii="Arial" w:cs="Arial" w:eastAsia="Arial" w:hAnsi="Arial"/>
          <w:sz w:val="12"/>
          <w:szCs w:val="12"/>
          <w:color w:val="auto"/>
        </w:rPr>
        <w:t>There are a number of biopharmaceutical and biotechnology companies that are currently pursuing the development of products for the treatment of fibrosis. Companies that we are aware of that are targeting the treatment of various fibrosis indications through inhibiting various parts of the TGF-β pathway include companies with significant financial resources such as AbbVie</w:t>
      </w:r>
    </w:p>
    <w:p>
      <w:pPr>
        <w:spacing w:after="0" w:line="1"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Inc., AstraZeneca plc, Bristol Myers Squibb Co., Corbus Pharmaceutical, DiCE Therapeutics, Inc., FibroGen, Inc., Gilead Sciences, Inc., Galapagos NV, Morphic Therapeutics, Inc., Novartis AG, and Takeda Pharmaceutical Company.</w:t>
      </w:r>
    </w:p>
    <w:p>
      <w:pPr>
        <w:spacing w:after="0" w:line="47" w:lineRule="exact"/>
        <w:rPr>
          <w:sz w:val="20"/>
          <w:szCs w:val="20"/>
          <w:color w:val="auto"/>
        </w:rPr>
      </w:pPr>
    </w:p>
    <w:p>
      <w:pPr>
        <w:ind w:right="380" w:firstLine="764"/>
        <w:spacing w:after="0" w:line="281" w:lineRule="auto"/>
        <w:rPr>
          <w:sz w:val="20"/>
          <w:szCs w:val="20"/>
          <w:color w:val="auto"/>
        </w:rPr>
      </w:pPr>
      <w:r>
        <w:rPr>
          <w:rFonts w:ascii="Arial" w:cs="Arial" w:eastAsia="Arial" w:hAnsi="Arial"/>
          <w:sz w:val="14"/>
          <w:szCs w:val="14"/>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spacing w:after="0" w:line="47" w:lineRule="exact"/>
        <w:rPr>
          <w:sz w:val="20"/>
          <w:szCs w:val="20"/>
          <w:color w:val="auto"/>
        </w:rPr>
      </w:pPr>
    </w:p>
    <w:p>
      <w:pPr>
        <w:ind w:firstLine="764"/>
        <w:spacing w:after="0" w:line="305" w:lineRule="auto"/>
        <w:rPr>
          <w:sz w:val="20"/>
          <w:szCs w:val="20"/>
          <w:color w:val="auto"/>
        </w:rPr>
      </w:pPr>
      <w:r>
        <w:rPr>
          <w:rFonts w:ascii="Arial" w:cs="Arial" w:eastAsia="Arial" w:hAnsi="Arial"/>
          <w:sz w:val="12"/>
          <w:szCs w:val="12"/>
          <w:color w:val="auto"/>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of fibrosis as well, which could give such products significant regulatory and market timing advantages over bexotegrast or other product candidates that we may identify. Our competitors also may obtain FDA or other regulatory approval for their products more rapidly than we may obtain approval for ours,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marketing any product candidates we may develop against competitors. The availability of competitive products could limit the demand, and the price we are able to charge, for any products that we may develop and commercialize.</w:t>
      </w:r>
    </w:p>
    <w:p>
      <w:pPr>
        <w:spacing w:after="0" w:line="43"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Risks Related to Marketing, Reimbursement, Healthcare Regulations and Ongoing Regulatory Compliance</w:t>
      </w:r>
    </w:p>
    <w:p>
      <w:pPr>
        <w:spacing w:after="0" w:line="98" w:lineRule="exact"/>
        <w:rPr>
          <w:sz w:val="20"/>
          <w:szCs w:val="20"/>
          <w:color w:val="auto"/>
        </w:rPr>
      </w:pPr>
    </w:p>
    <w:p>
      <w:pPr>
        <w:ind w:right="100" w:firstLine="764"/>
        <w:spacing w:after="0" w:line="254" w:lineRule="auto"/>
        <w:rPr>
          <w:sz w:val="20"/>
          <w:szCs w:val="20"/>
          <w:color w:val="auto"/>
        </w:rPr>
      </w:pPr>
      <w:r>
        <w:rPr>
          <w:rFonts w:ascii="Arial" w:cs="Arial" w:eastAsia="Arial" w:hAnsi="Arial"/>
          <w:sz w:val="14"/>
          <w:szCs w:val="14"/>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w:t>
      </w:r>
    </w:p>
    <w:p>
      <w:pPr>
        <w:ind w:firstLine="764"/>
        <w:spacing w:after="0" w:line="270" w:lineRule="auto"/>
        <w:rPr>
          <w:sz w:val="20"/>
          <w:szCs w:val="20"/>
          <w:color w:val="auto"/>
        </w:rPr>
      </w:pPr>
      <w:r>
        <w:rPr>
          <w:rFonts w:ascii="Arial" w:cs="Arial" w:eastAsia="Arial" w:hAnsi="Arial"/>
          <w:sz w:val="13"/>
          <w:szCs w:val="13"/>
          <w:color w:val="auto"/>
        </w:rPr>
        <w:t>Even if bexotegrast or any other product candidate we develop receives marketing approval, it may nonetheless fail to gain sufficient market acceptance by physicians, patients and third-party payors.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degree of market acceptance of any product candidate, if approved for commercial sale, will depend on a number of factors, including:</w:t>
      </w:r>
    </w:p>
    <w:p>
      <w:pPr>
        <w:spacing w:after="0" w:line="110" w:lineRule="exact"/>
        <w:rPr>
          <w:sz w:val="20"/>
          <w:szCs w:val="20"/>
          <w:color w:val="auto"/>
        </w:rPr>
      </w:pPr>
    </w:p>
    <w:p>
      <w:pPr>
        <w:ind w:left="1780" w:hanging="879"/>
        <w:spacing w:after="0"/>
        <w:tabs>
          <w:tab w:leader="none" w:pos="1780" w:val="left"/>
        </w:tabs>
        <w:numPr>
          <w:ilvl w:val="0"/>
          <w:numId w:val="28"/>
        </w:numPr>
        <w:rPr>
          <w:rFonts w:ascii="Arial" w:cs="Arial" w:eastAsia="Arial" w:hAnsi="Arial"/>
          <w:sz w:val="17"/>
          <w:szCs w:val="17"/>
          <w:color w:val="auto"/>
        </w:rPr>
      </w:pPr>
      <w:r>
        <w:rPr>
          <w:rFonts w:ascii="Arial" w:cs="Arial" w:eastAsia="Arial" w:hAnsi="Arial"/>
          <w:sz w:val="14"/>
          <w:szCs w:val="14"/>
          <w:color w:val="auto"/>
        </w:rPr>
        <w:t>efficacy and potential advantages compared to alternative treatments;</w:t>
      </w:r>
    </w:p>
    <w:p>
      <w:pPr>
        <w:spacing w:after="0" w:line="74" w:lineRule="exact"/>
        <w:rPr>
          <w:rFonts w:ascii="Arial" w:cs="Arial" w:eastAsia="Arial" w:hAnsi="Arial"/>
          <w:sz w:val="17"/>
          <w:szCs w:val="17"/>
          <w:color w:val="auto"/>
        </w:rPr>
      </w:pPr>
    </w:p>
    <w:p>
      <w:pPr>
        <w:ind w:left="1780" w:hanging="879"/>
        <w:spacing w:after="0"/>
        <w:tabs>
          <w:tab w:leader="none" w:pos="1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ability to offer our products, if approved, for sale at competitive prices;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convenience and ease of administration compared to alternative treatments;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willingness of the target patient population to try new therapies and of physicians to prescribe these therapies;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recommendations with respect to our product candidates in guidelines published by various scientific organizations applicable to us and our product candidates;</w:t>
      </w:r>
    </w:p>
    <w:p>
      <w:pPr>
        <w:spacing w:after="0" w:line="105" w:lineRule="exact"/>
        <w:rPr>
          <w:rFonts w:ascii="Arial" w:cs="Arial" w:eastAsia="Arial" w:hAnsi="Arial"/>
          <w:sz w:val="13"/>
          <w:szCs w:val="13"/>
          <w:color w:val="auto"/>
        </w:rPr>
      </w:pPr>
    </w:p>
    <w:p>
      <w:pPr>
        <w:ind w:left="1780" w:hanging="879"/>
        <w:spacing w:after="0"/>
        <w:tabs>
          <w:tab w:leader="none" w:pos="1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strength of marketing and distribution support;</w:t>
      </w:r>
    </w:p>
    <w:p>
      <w:pPr>
        <w:spacing w:after="0" w:line="10" w:lineRule="exact"/>
        <w:rPr>
          <w:rFonts w:ascii="Arial" w:cs="Arial" w:eastAsia="Arial" w:hAnsi="Arial"/>
          <w:sz w:val="14"/>
          <w:szCs w:val="14"/>
          <w:color w:val="auto"/>
        </w:rPr>
      </w:pPr>
    </w:p>
    <w:p>
      <w:pPr>
        <w:ind w:left="1780" w:hanging="879"/>
        <w:spacing w:after="0"/>
        <w:tabs>
          <w:tab w:leader="none" w:pos="1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ability to obtain sufficient third-party coverage and adequate reimbursement and a positive recommendation by health technology bodies; and</w:t>
      </w:r>
    </w:p>
    <w:p>
      <w:pPr>
        <w:spacing w:after="0" w:line="81" w:lineRule="exact"/>
        <w:rPr>
          <w:rFonts w:ascii="Arial" w:cs="Arial" w:eastAsia="Arial" w:hAnsi="Arial"/>
          <w:sz w:val="14"/>
          <w:szCs w:val="14"/>
          <w:color w:val="auto"/>
        </w:rPr>
      </w:pPr>
    </w:p>
    <w:p>
      <w:pPr>
        <w:ind w:left="1780" w:hanging="879"/>
        <w:spacing w:after="0"/>
        <w:tabs>
          <w:tab w:leader="none" w:pos="1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prevalence and severity of any side effects.</w:t>
      </w:r>
    </w:p>
    <w:p>
      <w:pPr>
        <w:spacing w:after="0" w:line="94" w:lineRule="exact"/>
        <w:rPr>
          <w:sz w:val="20"/>
          <w:szCs w:val="20"/>
          <w:color w:val="auto"/>
        </w:rPr>
      </w:pPr>
    </w:p>
    <w:p>
      <w:pPr>
        <w:ind w:right="100" w:firstLine="764"/>
        <w:spacing w:after="0" w:line="281" w:lineRule="auto"/>
        <w:rPr>
          <w:sz w:val="20"/>
          <w:szCs w:val="20"/>
          <w:color w:val="auto"/>
        </w:rPr>
      </w:pPr>
      <w:r>
        <w:rPr>
          <w:rFonts w:ascii="Arial" w:cs="Arial" w:eastAsia="Arial" w:hAnsi="Arial"/>
          <w:sz w:val="14"/>
          <w:szCs w:val="14"/>
          <w:color w:val="auto"/>
        </w:rPr>
        <w:t>If government and other third-party payors do not provide coverage and adequate reimbursement levels for any products we commercialize, market acceptance and commercial success would be reduced.</w:t>
      </w:r>
    </w:p>
    <w:p>
      <w:pPr>
        <w:spacing w:after="0" w:line="47" w:lineRule="exact"/>
        <w:rPr>
          <w:sz w:val="20"/>
          <w:szCs w:val="20"/>
          <w:color w:val="auto"/>
        </w:rPr>
      </w:pPr>
    </w:p>
    <w:p>
      <w:pPr>
        <w:ind w:right="360" w:firstLine="764"/>
        <w:spacing w:after="0" w:line="281" w:lineRule="auto"/>
        <w:rPr>
          <w:sz w:val="20"/>
          <w:szCs w:val="20"/>
          <w:color w:val="auto"/>
        </w:rPr>
      </w:pPr>
      <w:r>
        <w:rPr>
          <w:rFonts w:ascii="Arial" w:cs="Arial" w:eastAsia="Arial" w:hAnsi="Arial"/>
          <w:sz w:val="14"/>
          <w:szCs w:val="14"/>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47" w:lineRule="exact"/>
        <w:rPr>
          <w:sz w:val="20"/>
          <w:szCs w:val="20"/>
          <w:color w:val="auto"/>
        </w:rPr>
      </w:pPr>
    </w:p>
    <w:p>
      <w:pPr>
        <w:ind w:right="80" w:firstLine="764"/>
        <w:spacing w:after="0" w:line="257" w:lineRule="auto"/>
        <w:rPr>
          <w:sz w:val="20"/>
          <w:szCs w:val="20"/>
          <w:color w:val="auto"/>
        </w:rPr>
      </w:pPr>
      <w:r>
        <w:rPr>
          <w:rFonts w:ascii="Arial" w:cs="Arial" w:eastAsia="Arial" w:hAnsi="Arial"/>
          <w:sz w:val="14"/>
          <w:szCs w:val="14"/>
          <w:color w:val="auto"/>
        </w:rPr>
        <w:t>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adequacy of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 Patients are unlikely to use our product candidates unless coverage is provided, and reimbursement is adequate to cover a significant portion of the cost. We cannot be sure that coverage and adequate reimbursement will be available for any product that we may develop and, if reimbursement is available, what the level of reimbursement will be.</w:t>
      </w:r>
    </w:p>
    <w:p>
      <w:pPr>
        <w:spacing w:after="0" w:line="66" w:lineRule="exact"/>
        <w:rPr>
          <w:sz w:val="20"/>
          <w:szCs w:val="20"/>
          <w:color w:val="auto"/>
        </w:rPr>
      </w:pPr>
    </w:p>
    <w:p>
      <w:pPr>
        <w:ind w:right="80" w:firstLine="764"/>
        <w:spacing w:after="0" w:line="281" w:lineRule="auto"/>
        <w:rPr>
          <w:sz w:val="20"/>
          <w:szCs w:val="20"/>
          <w:color w:val="auto"/>
        </w:rPr>
      </w:pPr>
      <w:r>
        <w:rPr>
          <w:rFonts w:ascii="Arial" w:cs="Arial" w:eastAsia="Arial" w:hAnsi="Arial"/>
          <w:sz w:val="14"/>
          <w:szCs w:val="14"/>
          <w:color w:val="auto"/>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spacing w:after="0" w:line="64" w:lineRule="exact"/>
        <w:rPr>
          <w:sz w:val="20"/>
          <w:szCs w:val="20"/>
          <w:color w:val="auto"/>
        </w:rPr>
      </w:pPr>
    </w:p>
    <w:p>
      <w:pPr>
        <w:ind w:left="1780" w:hanging="879"/>
        <w:spacing w:after="0"/>
        <w:tabs>
          <w:tab w:leader="none" w:pos="1780" w:val="left"/>
        </w:tabs>
        <w:numPr>
          <w:ilvl w:val="0"/>
          <w:numId w:val="29"/>
        </w:numPr>
        <w:rPr>
          <w:rFonts w:ascii="Arial" w:cs="Arial" w:eastAsia="Arial" w:hAnsi="Arial"/>
          <w:sz w:val="17"/>
          <w:szCs w:val="17"/>
          <w:color w:val="auto"/>
        </w:rPr>
      </w:pPr>
      <w:r>
        <w:rPr>
          <w:rFonts w:ascii="Arial" w:cs="Arial" w:eastAsia="Arial" w:hAnsi="Arial"/>
          <w:sz w:val="14"/>
          <w:szCs w:val="14"/>
          <w:color w:val="auto"/>
        </w:rPr>
        <w:t>a covered benefit under its health plan;</w:t>
      </w:r>
    </w:p>
    <w:p>
      <w:pPr>
        <w:spacing w:after="0" w:line="74" w:lineRule="exact"/>
        <w:rPr>
          <w:rFonts w:ascii="Arial" w:cs="Arial" w:eastAsia="Arial" w:hAnsi="Arial"/>
          <w:sz w:val="17"/>
          <w:szCs w:val="17"/>
          <w:color w:val="auto"/>
        </w:rPr>
      </w:pPr>
    </w:p>
    <w:p>
      <w:pPr>
        <w:ind w:left="1780" w:hanging="879"/>
        <w:spacing w:after="0"/>
        <w:tabs>
          <w:tab w:leader="none" w:pos="1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safe, effective and medically necessary;</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appropriate for the specific patient;</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cost-effective; and</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neither experimental nor investigational.</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760"/>
        <w:spacing w:after="0"/>
        <w:rPr>
          <w:sz w:val="20"/>
          <w:szCs w:val="20"/>
          <w:color w:val="auto"/>
        </w:rPr>
      </w:pPr>
      <w:r>
        <w:rPr>
          <w:rFonts w:ascii="Arial" w:cs="Arial" w:eastAsia="Arial" w:hAnsi="Arial"/>
          <w:sz w:val="14"/>
          <w:szCs w:val="14"/>
          <w:color w:val="auto"/>
        </w:rPr>
        <w:t>In the United States as well as foreign jurisdictions, no uniform policy of coverage and reimbursement for products exists among third-party payors.</w:t>
      </w:r>
    </w:p>
    <w:p>
      <w:pPr>
        <w:spacing w:after="0" w:line="94" w:lineRule="exact"/>
        <w:rPr>
          <w:sz w:val="20"/>
          <w:szCs w:val="20"/>
          <w:color w:val="auto"/>
        </w:rPr>
      </w:pPr>
    </w:p>
    <w:p>
      <w:pPr>
        <w:ind w:firstLine="764"/>
        <w:spacing w:after="0" w:line="282" w:lineRule="auto"/>
        <w:rPr>
          <w:sz w:val="20"/>
          <w:szCs w:val="20"/>
          <w:color w:val="auto"/>
        </w:rPr>
      </w:pPr>
      <w:r>
        <w:rPr>
          <w:rFonts w:ascii="Arial" w:cs="Arial" w:eastAsia="Arial" w:hAnsi="Arial"/>
          <w:sz w:val="13"/>
          <w:szCs w:val="13"/>
          <w:color w:val="auto"/>
        </w:rPr>
        <w:t>Coverage and reimbursement for products may vary depending on the payor, the insurance plan, and other factors.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our product candidates, if approved.</w:t>
      </w:r>
    </w:p>
    <w:p>
      <w:pPr>
        <w:spacing w:after="0" w:line="49" w:lineRule="exact"/>
        <w:rPr>
          <w:sz w:val="20"/>
          <w:szCs w:val="20"/>
          <w:color w:val="auto"/>
        </w:rPr>
      </w:pPr>
    </w:p>
    <w:p>
      <w:pPr>
        <w:ind w:right="80" w:firstLine="764"/>
        <w:spacing w:after="0" w:line="309" w:lineRule="auto"/>
        <w:rPr>
          <w:sz w:val="20"/>
          <w:szCs w:val="20"/>
          <w:color w:val="auto"/>
        </w:rPr>
      </w:pPr>
      <w:r>
        <w:rPr>
          <w:rFonts w:ascii="Arial" w:cs="Arial" w:eastAsia="Arial" w:hAnsi="Arial"/>
          <w:sz w:val="12"/>
          <w:szCs w:val="12"/>
          <w:color w:val="auto"/>
        </w:rPr>
        <w:t>A primary trend in the United States and European health care industries is toward cost containment, as government authorities, third-party payors, and others have attempted to control costs by limiting coverage and the amount of reimbursement available for certain treatments. Such third-party payers, including Medicare, may question the coverage of, and challenge the prices charged for medical products, and many third-party payers limit coverage and reimbursement for newly approved health care products. Moreover, reimbursement, if available, may vary according to the use of the product and the clinical setting in which it is used, may be based on reimbursement levels already set for lower cost products and may be incorporated into existing payments for other</w:t>
      </w:r>
    </w:p>
    <w:p>
      <w:pPr>
        <w:jc w:val="both"/>
        <w:ind w:right="120"/>
        <w:spacing w:after="0" w:line="267" w:lineRule="auto"/>
        <w:rPr>
          <w:sz w:val="20"/>
          <w:szCs w:val="20"/>
          <w:color w:val="auto"/>
        </w:rPr>
      </w:pPr>
      <w:r>
        <w:rPr>
          <w:rFonts w:ascii="Arial" w:cs="Arial" w:eastAsia="Arial" w:hAnsi="Arial"/>
          <w:sz w:val="14"/>
          <w:szCs w:val="14"/>
          <w:color w:val="auto"/>
        </w:rPr>
        <w:t>services. Net prices for products may be reduced by mandatory discounts or rebates required by government healthcare programs or private payers, by any future laws limiting drug prices. If we are unable to promptly obtain coverage and adequate reimbursement rates from both government-funded and private payers for any approved products that we develop there could be a material adverse effect on our operating results, our ability to raise capital needed to commercialize products and our overall financial condition.</w:t>
      </w:r>
    </w:p>
    <w:p>
      <w:pPr>
        <w:spacing w:after="0" w:line="57" w:lineRule="exact"/>
        <w:rPr>
          <w:sz w:val="20"/>
          <w:szCs w:val="20"/>
          <w:color w:val="auto"/>
        </w:rPr>
      </w:pPr>
    </w:p>
    <w:p>
      <w:pPr>
        <w:ind w:right="20" w:firstLine="764"/>
        <w:spacing w:after="0" w:line="267" w:lineRule="auto"/>
        <w:rPr>
          <w:sz w:val="20"/>
          <w:szCs w:val="20"/>
          <w:color w:val="auto"/>
        </w:rPr>
      </w:pPr>
      <w:r>
        <w:rPr>
          <w:rFonts w:ascii="Arial" w:cs="Arial" w:eastAsia="Arial" w:hAnsi="Arial"/>
          <w:sz w:val="14"/>
          <w:szCs w:val="14"/>
          <w:color w:val="auto"/>
        </w:rPr>
        <w:t>Changes to these current laws and state and federal healthcare reform measures that may be adopted in the future that impact coverage and reimbursement for drug or biologic products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248" w:lineRule="exact"/>
        <w:rPr>
          <w:sz w:val="20"/>
          <w:szCs w:val="20"/>
          <w:color w:val="auto"/>
        </w:rPr>
      </w:pPr>
    </w:p>
    <w:p>
      <w:pPr>
        <w:ind w:firstLine="764"/>
        <w:spacing w:after="0" w:line="281" w:lineRule="auto"/>
        <w:rPr>
          <w:sz w:val="20"/>
          <w:szCs w:val="20"/>
          <w:color w:val="auto"/>
        </w:rPr>
      </w:pPr>
      <w:r>
        <w:rPr>
          <w:rFonts w:ascii="Arial" w:cs="Arial" w:eastAsia="Arial" w:hAnsi="Arial"/>
          <w:sz w:val="14"/>
          <w:szCs w:val="14"/>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47" w:lineRule="exact"/>
        <w:rPr>
          <w:sz w:val="20"/>
          <w:szCs w:val="20"/>
          <w:color w:val="auto"/>
        </w:rPr>
      </w:pPr>
    </w:p>
    <w:p>
      <w:pPr>
        <w:jc w:val="both"/>
        <w:ind w:right="100" w:firstLine="764"/>
        <w:spacing w:after="0" w:line="299" w:lineRule="auto"/>
        <w:rPr>
          <w:sz w:val="20"/>
          <w:szCs w:val="20"/>
          <w:color w:val="auto"/>
        </w:rPr>
      </w:pPr>
      <w:r>
        <w:rPr>
          <w:rFonts w:ascii="Arial" w:cs="Arial" w:eastAsia="Arial" w:hAnsi="Arial"/>
          <w:sz w:val="12"/>
          <w:szCs w:val="12"/>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w:t>
      </w:r>
    </w:p>
    <w:p>
      <w:pPr>
        <w:spacing w:after="0" w:line="2"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65" w:lineRule="exact"/>
        <w:rPr>
          <w:sz w:val="20"/>
          <w:szCs w:val="20"/>
          <w:color w:val="auto"/>
        </w:rPr>
      </w:pPr>
    </w:p>
    <w:p>
      <w:pPr>
        <w:ind w:right="360" w:firstLine="764"/>
        <w:spacing w:after="0" w:line="267" w:lineRule="auto"/>
        <w:rPr>
          <w:sz w:val="20"/>
          <w:szCs w:val="20"/>
          <w:color w:val="auto"/>
        </w:rPr>
      </w:pPr>
      <w:r>
        <w:rPr>
          <w:rFonts w:ascii="Arial" w:cs="Arial" w:eastAsia="Arial" w:hAnsi="Arial"/>
          <w:sz w:val="14"/>
          <w:szCs w:val="14"/>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57" w:lineRule="exact"/>
        <w:rPr>
          <w:sz w:val="20"/>
          <w:szCs w:val="20"/>
          <w:color w:val="auto"/>
        </w:rPr>
      </w:pPr>
    </w:p>
    <w:p>
      <w:pPr>
        <w:ind w:right="60" w:firstLine="764"/>
        <w:spacing w:after="0" w:line="262" w:lineRule="auto"/>
        <w:rPr>
          <w:sz w:val="20"/>
          <w:szCs w:val="20"/>
          <w:color w:val="auto"/>
        </w:rPr>
      </w:pPr>
      <w:r>
        <w:rPr>
          <w:rFonts w:ascii="Arial" w:cs="Arial" w:eastAsia="Arial" w:hAnsi="Arial"/>
          <w:sz w:val="14"/>
          <w:szCs w:val="14"/>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53" w:lineRule="exact"/>
        <w:rPr>
          <w:sz w:val="20"/>
          <w:szCs w:val="20"/>
          <w:color w:val="auto"/>
        </w:rPr>
      </w:pPr>
    </w:p>
    <w:p>
      <w:pPr>
        <w:ind w:right="420" w:firstLine="764"/>
        <w:spacing w:after="0" w:line="368" w:lineRule="auto"/>
        <w:rPr>
          <w:sz w:val="20"/>
          <w:szCs w:val="20"/>
          <w:color w:val="auto"/>
        </w:rPr>
      </w:pPr>
      <w:r>
        <w:rPr>
          <w:rFonts w:ascii="Arial" w:cs="Arial" w:eastAsia="Arial" w:hAnsi="Arial"/>
          <w:sz w:val="12"/>
          <w:szCs w:val="12"/>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 w:lineRule="exact"/>
        <w:rPr>
          <w:sz w:val="20"/>
          <w:szCs w:val="20"/>
          <w:color w:val="auto"/>
        </w:rPr>
      </w:pPr>
    </w:p>
    <w:p>
      <w:pPr>
        <w:ind w:right="60" w:firstLine="764"/>
        <w:spacing w:after="0" w:line="257" w:lineRule="auto"/>
        <w:rPr>
          <w:sz w:val="20"/>
          <w:szCs w:val="20"/>
          <w:color w:val="auto"/>
        </w:rPr>
      </w:pPr>
      <w:r>
        <w:rPr>
          <w:rFonts w:ascii="Arial" w:cs="Arial" w:eastAsia="Arial" w:hAnsi="Arial"/>
          <w:sz w:val="14"/>
          <w:szCs w:val="14"/>
          <w:color w:val="auto"/>
        </w:rPr>
        <w:t>Healthcare providers, physicians and third-party payors in the United States and elsewhere play a primary role in the recommendation and prescription of biopharmaceutical products. Arrangements with third-party payors and customers can expose biopharmaceutical manufacturers to broadly applicable fraud and abuse and other healthcare laws and regulations, as detailed in Part I, Item 1 - Business - Government Regulation - Other Healthcare Laws. In particular, the research of our product candidates, as well as the promotion, sales and marketing of healthcare items and services, and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remuneration provided to health care professionals and their affiliates, charitable donations and other business arrangements generally. Activities subject to these laws also involve the improper use of information obtained in the course of patient recruitment for clinical trials.</w:t>
      </w:r>
    </w:p>
    <w:p>
      <w:pPr>
        <w:spacing w:after="0" w:line="66" w:lineRule="exact"/>
        <w:rPr>
          <w:sz w:val="20"/>
          <w:szCs w:val="20"/>
          <w:color w:val="auto"/>
        </w:rPr>
      </w:pPr>
    </w:p>
    <w:p>
      <w:pPr>
        <w:ind w:right="220" w:firstLine="764"/>
        <w:spacing w:after="0" w:line="281" w:lineRule="auto"/>
        <w:rPr>
          <w:sz w:val="20"/>
          <w:szCs w:val="20"/>
          <w:color w:val="auto"/>
        </w:rPr>
      </w:pPr>
      <w:r>
        <w:rPr>
          <w:rFonts w:ascii="Arial" w:cs="Arial" w:eastAsia="Arial" w:hAnsi="Arial"/>
          <w:sz w:val="14"/>
          <w:szCs w:val="14"/>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47" w:lineRule="exact"/>
        <w:rPr>
          <w:sz w:val="20"/>
          <w:szCs w:val="20"/>
          <w:color w:val="auto"/>
        </w:rPr>
      </w:pPr>
    </w:p>
    <w:p>
      <w:pPr>
        <w:ind w:right="60" w:firstLine="764"/>
        <w:spacing w:after="0" w:line="368" w:lineRule="auto"/>
        <w:rPr>
          <w:sz w:val="20"/>
          <w:szCs w:val="20"/>
          <w:color w:val="auto"/>
        </w:rPr>
      </w:pPr>
      <w:r>
        <w:rPr>
          <w:rFonts w:ascii="Arial" w:cs="Arial" w:eastAsia="Arial" w:hAnsi="Arial"/>
          <w:sz w:val="12"/>
          <w:szCs w:val="12"/>
          <w:color w:val="auto"/>
        </w:rPr>
        <w:t>The scope and enforcement of each of these laws is uncertain and subject to rapid change in the current environment of healthcare reform. Ensuring business arrangements comply with applicable healthcare laws, as well as responding to possible investigations by government authorities, can be time- and resource-consuming and can divert a company’s attention from the business.</w:t>
      </w:r>
    </w:p>
    <w:p>
      <w:pPr>
        <w:spacing w:after="0" w:line="1" w:lineRule="exact"/>
        <w:rPr>
          <w:sz w:val="20"/>
          <w:szCs w:val="20"/>
          <w:color w:val="auto"/>
        </w:rPr>
      </w:pPr>
    </w:p>
    <w:p>
      <w:pPr>
        <w:ind w:right="40" w:firstLine="764"/>
        <w:spacing w:after="0" w:line="278" w:lineRule="auto"/>
        <w:rPr>
          <w:sz w:val="20"/>
          <w:szCs w:val="20"/>
          <w:color w:val="auto"/>
        </w:rPr>
      </w:pPr>
      <w:r>
        <w:rPr>
          <w:rFonts w:ascii="Arial" w:cs="Arial" w:eastAsia="Arial" w:hAnsi="Arial"/>
          <w:sz w:val="13"/>
          <w:szCs w:val="13"/>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54" w:lineRule="exact"/>
        <w:rPr>
          <w:sz w:val="20"/>
          <w:szCs w:val="20"/>
          <w:color w:val="auto"/>
        </w:rPr>
      </w:pPr>
    </w:p>
    <w:p>
      <w:pPr>
        <w:ind w:right="500" w:firstLine="764"/>
        <w:spacing w:after="0" w:line="296" w:lineRule="auto"/>
        <w:rPr>
          <w:sz w:val="20"/>
          <w:szCs w:val="20"/>
          <w:color w:val="auto"/>
        </w:rPr>
      </w:pPr>
      <w:r>
        <w:rPr>
          <w:rFonts w:ascii="Arial" w:cs="Arial" w:eastAsia="Arial" w:hAnsi="Arial"/>
          <w:sz w:val="12"/>
          <w:szCs w:val="12"/>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 w:lineRule="exact"/>
        <w:rPr>
          <w:sz w:val="20"/>
          <w:szCs w:val="20"/>
          <w:color w:val="auto"/>
        </w:rPr>
      </w:pPr>
    </w:p>
    <w:p>
      <w:pPr>
        <w:ind w:firstLine="764"/>
        <w:spacing w:after="0" w:line="285" w:lineRule="auto"/>
        <w:rPr>
          <w:sz w:val="20"/>
          <w:szCs w:val="20"/>
          <w:color w:val="auto"/>
        </w:rPr>
      </w:pPr>
      <w:r>
        <w:rPr>
          <w:rFonts w:ascii="Arial" w:cs="Arial" w:eastAsia="Arial" w:hAnsi="Arial"/>
          <w:sz w:val="13"/>
          <w:szCs w:val="13"/>
          <w:color w:val="auto"/>
        </w:rPr>
        <w:t>If any of our product candidates are approved, they will be subject to ongoing regulatory requirements for manufacturing, labeling, packaging, storage, advertising, promotion, sampling, record-keeping, conduct of post-marketing studies, pharmacovigilance, and submission of safety, efficacy and other post-market information, including both federal</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and state requirements in the United States and requirements of comparable foreign regulatory authorities. In addition, we will be subject to continued compliance with current Good Manufacturing Practice, or cGMP, and Good Clinical Practice, or GCP, requirements for any clinical trials that we conduct post-approval.</w:t>
      </w:r>
    </w:p>
    <w:p>
      <w:pPr>
        <w:spacing w:after="0" w:line="58" w:lineRule="exact"/>
        <w:rPr>
          <w:sz w:val="20"/>
          <w:szCs w:val="20"/>
          <w:color w:val="auto"/>
        </w:rPr>
      </w:pPr>
    </w:p>
    <w:p>
      <w:pPr>
        <w:ind w:right="260" w:firstLine="764"/>
        <w:spacing w:after="0" w:line="262" w:lineRule="auto"/>
        <w:rPr>
          <w:sz w:val="20"/>
          <w:szCs w:val="20"/>
          <w:color w:val="auto"/>
        </w:rPr>
      </w:pPr>
      <w:r>
        <w:rPr>
          <w:rFonts w:ascii="Arial" w:cs="Arial" w:eastAsia="Arial" w:hAnsi="Arial"/>
          <w:sz w:val="14"/>
          <w:szCs w:val="14"/>
          <w:color w:val="auto"/>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61" w:lineRule="exact"/>
        <w:rPr>
          <w:sz w:val="20"/>
          <w:szCs w:val="20"/>
          <w:color w:val="auto"/>
        </w:rPr>
      </w:pPr>
    </w:p>
    <w:p>
      <w:pPr>
        <w:ind w:right="120" w:firstLine="764"/>
        <w:spacing w:after="0" w:line="253" w:lineRule="auto"/>
        <w:rPr>
          <w:sz w:val="20"/>
          <w:szCs w:val="20"/>
          <w:color w:val="auto"/>
        </w:rPr>
      </w:pPr>
      <w:r>
        <w:rPr>
          <w:rFonts w:ascii="Arial" w:cs="Arial" w:eastAsia="Arial" w:hAnsi="Arial"/>
          <w:sz w:val="14"/>
          <w:szCs w:val="14"/>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2" w:lineRule="exact"/>
        <w:rPr>
          <w:sz w:val="20"/>
          <w:szCs w:val="20"/>
          <w:color w:val="auto"/>
        </w:rPr>
      </w:pPr>
    </w:p>
    <w:p>
      <w:pPr>
        <w:ind w:firstLine="764"/>
        <w:spacing w:after="0" w:line="239" w:lineRule="auto"/>
        <w:rPr>
          <w:sz w:val="20"/>
          <w:szCs w:val="20"/>
          <w:color w:val="auto"/>
        </w:rPr>
      </w:pPr>
      <w:r>
        <w:rPr>
          <w:rFonts w:ascii="Arial" w:cs="Arial" w:eastAsia="Arial" w:hAnsi="Arial"/>
          <w:sz w:val="14"/>
          <w:szCs w:val="14"/>
          <w:color w:val="auto"/>
        </w:rPr>
        <w:t>The FDA or any other foreign regulatory authority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83" w:lineRule="exact"/>
        <w:rPr>
          <w:sz w:val="20"/>
          <w:szCs w:val="20"/>
          <w:color w:val="auto"/>
        </w:rPr>
      </w:pPr>
    </w:p>
    <w:p>
      <w:pPr>
        <w:ind w:left="1780" w:hanging="879"/>
        <w:spacing w:after="0"/>
        <w:tabs>
          <w:tab w:leader="none" w:pos="1780" w:val="left"/>
        </w:tabs>
        <w:numPr>
          <w:ilvl w:val="0"/>
          <w:numId w:val="30"/>
        </w:numPr>
        <w:rPr>
          <w:rFonts w:ascii="Arial" w:cs="Arial" w:eastAsia="Arial" w:hAnsi="Arial"/>
          <w:sz w:val="17"/>
          <w:szCs w:val="17"/>
          <w:color w:val="auto"/>
        </w:rPr>
      </w:pPr>
      <w:r>
        <w:rPr>
          <w:rFonts w:ascii="Arial" w:cs="Arial" w:eastAsia="Arial" w:hAnsi="Arial"/>
          <w:sz w:val="14"/>
          <w:szCs w:val="14"/>
          <w:color w:val="auto"/>
        </w:rPr>
        <w:t>restrictions on the marketing or manufacturing of our products, withdrawal of the product from the market or voluntary or mandatory product recalls;</w:t>
      </w:r>
    </w:p>
    <w:p>
      <w:pPr>
        <w:spacing w:after="0" w:line="85" w:lineRule="exact"/>
        <w:rPr>
          <w:rFonts w:ascii="Arial" w:cs="Arial" w:eastAsia="Arial" w:hAnsi="Arial"/>
          <w:sz w:val="17"/>
          <w:szCs w:val="17"/>
          <w:color w:val="auto"/>
        </w:rPr>
      </w:pPr>
    </w:p>
    <w:p>
      <w:pPr>
        <w:ind w:left="1780" w:hanging="879"/>
        <w:spacing w:after="0"/>
        <w:tabs>
          <w:tab w:leader="none" w:pos="1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fines, warning letters or holds on clinical trials;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refusal by the FDA to approve pending applications or supplements to approved applications filed by us or suspension or revocation of license approvals;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voluntary or mandatory product recalls and related publicity requirements;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total or partial suspension of production;</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product seizure or detention or refusal to permit the import or export of our product candidates; and</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injunctions or the imposition of civil or criminal penalties.</w:t>
      </w:r>
    </w:p>
    <w:p>
      <w:pPr>
        <w:spacing w:after="0" w:line="94" w:lineRule="exact"/>
        <w:rPr>
          <w:sz w:val="20"/>
          <w:szCs w:val="20"/>
          <w:color w:val="auto"/>
        </w:rPr>
      </w:pPr>
    </w:p>
    <w:p>
      <w:pPr>
        <w:ind w:firstLine="764"/>
        <w:spacing w:after="0" w:line="257" w:lineRule="auto"/>
        <w:rPr>
          <w:sz w:val="20"/>
          <w:szCs w:val="20"/>
          <w:color w:val="auto"/>
        </w:rPr>
      </w:pPr>
      <w:r>
        <w:rPr>
          <w:rFonts w:ascii="Arial" w:cs="Arial" w:eastAsia="Arial" w:hAnsi="Arial"/>
          <w:sz w:val="14"/>
          <w:szCs w:val="14"/>
          <w:color w:val="auto"/>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Ongoing healthcare legislative and regulatory reform measures may have a material adverse effect on our business and results of operations.</w:t>
      </w:r>
    </w:p>
    <w:p>
      <w:pPr>
        <w:spacing w:after="0" w:line="94" w:lineRule="exact"/>
        <w:rPr>
          <w:sz w:val="20"/>
          <w:szCs w:val="20"/>
          <w:color w:val="auto"/>
        </w:rPr>
      </w:pPr>
    </w:p>
    <w:p>
      <w:pPr>
        <w:jc w:val="both"/>
        <w:ind w:right="300" w:firstLine="764"/>
        <w:spacing w:after="0" w:line="267" w:lineRule="auto"/>
        <w:rPr>
          <w:sz w:val="20"/>
          <w:szCs w:val="20"/>
          <w:color w:val="auto"/>
        </w:rPr>
      </w:pPr>
      <w:r>
        <w:rPr>
          <w:rFonts w:ascii="Arial" w:cs="Arial" w:eastAsia="Arial" w:hAnsi="Arial"/>
          <w:sz w:val="14"/>
          <w:szCs w:val="14"/>
          <w:color w:val="auto"/>
        </w:rPr>
        <w:t>Changes in regulations, statutes or the interpretation of existing regulations governing the regulatory clearance or approval, manufacture, and marketing of regulated products or the pricing, coverage and reimbursement thereof could impact our business in the future by requiring, for example: (i) changes to our manufacturing arrangements; (ii) additions or modifications to product labeling; (iii) the recall or discontinuation of our products; or (iv) additional</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record-keeping requirements. If any such changes were to be imposed, they could adversely affect the operation of our business.</w:t>
      </w:r>
    </w:p>
    <w:p>
      <w:pPr>
        <w:spacing w:after="0" w:line="10" w:lineRule="exact"/>
        <w:rPr>
          <w:sz w:val="20"/>
          <w:szCs w:val="20"/>
          <w:color w:val="auto"/>
        </w:rPr>
      </w:pPr>
    </w:p>
    <w:p>
      <w:pPr>
        <w:ind w:right="40" w:firstLine="764"/>
        <w:spacing w:after="0" w:line="294" w:lineRule="auto"/>
        <w:rPr>
          <w:sz w:val="20"/>
          <w:szCs w:val="20"/>
          <w:color w:val="auto"/>
        </w:rPr>
      </w:pPr>
      <w:r>
        <w:rPr>
          <w:rFonts w:ascii="Arial" w:cs="Arial" w:eastAsia="Arial" w:hAnsi="Arial"/>
          <w:sz w:val="12"/>
          <w:szCs w:val="12"/>
          <w:color w:val="auto"/>
        </w:rPr>
        <w:t>In the United States, there have been and continue to be a number of legislative initiatives to contain healthcare costs, as detailed in Part I, Item 1 – Business – Government Regulation – Current and Future Healthcare Reform Legislation. For example, in August 2022, President Biden signed into law the IRA, which implements substantial changes to the Medicare program, including</w:t>
      </w:r>
    </w:p>
    <w:p>
      <w:pPr>
        <w:ind w:right="100"/>
        <w:spacing w:after="0" w:line="271" w:lineRule="auto"/>
        <w:rPr>
          <w:sz w:val="20"/>
          <w:szCs w:val="20"/>
          <w:color w:val="auto"/>
        </w:rPr>
      </w:pPr>
      <w:r>
        <w:rPr>
          <w:rFonts w:ascii="Arial" w:cs="Arial" w:eastAsia="Arial" w:hAnsi="Arial"/>
          <w:sz w:val="13"/>
          <w:szCs w:val="13"/>
          <w:color w:val="auto"/>
        </w:rPr>
        <w:t>drug pricing reforms and changes to the Medicare Part D benefit design. Among other reforms, the IRA imposes inflation rebates on drug manufacturers for products reimbursed under Medicare Parts B and D if the prices of those products increase faster than inflation; implements changes to the Medicare Part D benefit that, beginning in 2025, will cap benefit annual out-of-pocket spending at $2,000, while imposing new discount obligations for pharmaceutical manufacturers; and, beginning in 2026, establishes a “maximum fair price” for a fixed number of high spend pharmaceutical and biological products covered under Medicare Parts B and D following a price negotiation process with the Centers for Medicare and Medicaid Services.</w:t>
      </w:r>
    </w:p>
    <w:p>
      <w:pPr>
        <w:spacing w:after="0" w:line="57" w:lineRule="exact"/>
        <w:rPr>
          <w:sz w:val="20"/>
          <w:szCs w:val="20"/>
          <w:color w:val="auto"/>
        </w:rPr>
      </w:pPr>
    </w:p>
    <w:p>
      <w:pPr>
        <w:ind w:right="140" w:firstLine="764"/>
        <w:spacing w:after="0" w:line="258" w:lineRule="auto"/>
        <w:rPr>
          <w:sz w:val="20"/>
          <w:szCs w:val="20"/>
          <w:color w:val="auto"/>
        </w:rPr>
      </w:pPr>
      <w:r>
        <w:rPr>
          <w:rFonts w:ascii="Arial" w:cs="Arial" w:eastAsia="Arial" w:hAnsi="Arial"/>
          <w:sz w:val="14"/>
          <w:szCs w:val="14"/>
          <w:color w:val="auto"/>
        </w:rPr>
        <w:t>The IRA explicitly excludes from price negotiation orphan drugs designated for only one rare disease or condition and for which the only approved indication is for such disease or condition. However, those drugs with multiple orphan designations are not explicitly excluded from drug price negotiation. We cannot predict the likelihood, nature, or extent of health reform initiatives that may arise from future legislation or administrative action. However, we expect these initiatives to increase pressure on drug pricing. Further, certain broader legislation that is not targeted to the health care industry may nonetheless adversely affect our profitability.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65" w:lineRule="exact"/>
        <w:rPr>
          <w:sz w:val="20"/>
          <w:szCs w:val="20"/>
          <w:color w:val="auto"/>
        </w:rPr>
      </w:pPr>
    </w:p>
    <w:p>
      <w:pPr>
        <w:jc w:val="both"/>
        <w:ind w:firstLine="764"/>
        <w:spacing w:after="0" w:line="267" w:lineRule="auto"/>
        <w:rPr>
          <w:sz w:val="20"/>
          <w:szCs w:val="20"/>
          <w:color w:val="auto"/>
        </w:rPr>
      </w:pPr>
      <w:r>
        <w:rPr>
          <w:rFonts w:ascii="Arial" w:cs="Arial" w:eastAsia="Arial" w:hAnsi="Arial"/>
          <w:sz w:val="14"/>
          <w:szCs w:val="14"/>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7" w:lineRule="exact"/>
        <w:rPr>
          <w:sz w:val="20"/>
          <w:szCs w:val="20"/>
          <w:color w:val="auto"/>
        </w:rPr>
      </w:pPr>
    </w:p>
    <w:p>
      <w:pPr>
        <w:ind w:right="200" w:firstLine="764"/>
        <w:spacing w:after="0" w:line="253" w:lineRule="auto"/>
        <w:rPr>
          <w:sz w:val="20"/>
          <w:szCs w:val="20"/>
          <w:color w:val="auto"/>
        </w:rPr>
      </w:pPr>
      <w:r>
        <w:rPr>
          <w:rFonts w:ascii="Arial" w:cs="Arial" w:eastAsia="Arial" w:hAnsi="Arial"/>
          <w:sz w:val="14"/>
          <w:szCs w:val="14"/>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 w:lineRule="exact"/>
        <w:rPr>
          <w:sz w:val="20"/>
          <w:szCs w:val="20"/>
          <w:color w:val="auto"/>
        </w:rPr>
      </w:pPr>
    </w:p>
    <w:p>
      <w:pPr>
        <w:ind w:right="160" w:firstLine="764"/>
        <w:spacing w:after="0" w:line="293" w:lineRule="auto"/>
        <w:rPr>
          <w:sz w:val="20"/>
          <w:szCs w:val="20"/>
          <w:color w:val="auto"/>
        </w:rPr>
      </w:pPr>
      <w:r>
        <w:rPr>
          <w:rFonts w:ascii="Arial" w:cs="Arial" w:eastAsia="Arial" w:hAnsi="Arial"/>
          <w:sz w:val="12"/>
          <w:szCs w:val="12"/>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Separately, between March 2020 and February 2022, foreign and domestic inspections were largely placed on hold due to the COVID-19 pandemic.</w:t>
      </w:r>
    </w:p>
    <w:p>
      <w:pPr>
        <w:spacing w:after="0" w:line="45" w:lineRule="exact"/>
        <w:rPr>
          <w:sz w:val="20"/>
          <w:szCs w:val="20"/>
          <w:color w:val="auto"/>
        </w:rPr>
      </w:pPr>
    </w:p>
    <w:p>
      <w:pPr>
        <w:ind w:firstLine="764"/>
        <w:spacing w:after="0" w:line="319" w:lineRule="auto"/>
        <w:rPr>
          <w:sz w:val="20"/>
          <w:szCs w:val="20"/>
          <w:color w:val="auto"/>
        </w:rPr>
      </w:pPr>
      <w:r>
        <w:rPr>
          <w:rFonts w:ascii="Arial" w:cs="Arial" w:eastAsia="Arial" w:hAnsi="Arial"/>
          <w:sz w:val="12"/>
          <w:szCs w:val="12"/>
          <w:color w:val="auto"/>
        </w:rPr>
        <w:t>Regulatory authorities outside the United States may adopt similar restrictions or other policy measures in response to the COVID-19 or other future pandemics.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30"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Drug marketing and reimbursement regulations may materially affect our ability to market and secure reimbursement for our products.</w:t>
      </w:r>
    </w:p>
    <w:p>
      <w:pPr>
        <w:spacing w:after="0" w:line="10" w:lineRule="exact"/>
        <w:rPr>
          <w:sz w:val="20"/>
          <w:szCs w:val="20"/>
          <w:color w:val="auto"/>
        </w:rPr>
      </w:pPr>
    </w:p>
    <w:p>
      <w:pPr>
        <w:ind w:right="20" w:firstLine="764"/>
        <w:spacing w:after="0" w:line="261" w:lineRule="auto"/>
        <w:rPr>
          <w:sz w:val="20"/>
          <w:szCs w:val="20"/>
          <w:color w:val="auto"/>
        </w:rPr>
      </w:pPr>
      <w:r>
        <w:rPr>
          <w:rFonts w:ascii="Arial" w:cs="Arial" w:eastAsia="Arial" w:hAnsi="Arial"/>
          <w:sz w:val="13"/>
          <w:szCs w:val="13"/>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Furthermore, in many European countries (including the UK), effective access to the market depends on whether the product obtains a positive recommendation from the relevant health technology assessment body.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63" w:lineRule="exact"/>
        <w:rPr>
          <w:sz w:val="20"/>
          <w:szCs w:val="20"/>
          <w:color w:val="auto"/>
        </w:rPr>
      </w:pPr>
    </w:p>
    <w:p>
      <w:pPr>
        <w:ind w:right="200" w:firstLine="764"/>
        <w:spacing w:after="0" w:line="281" w:lineRule="auto"/>
        <w:rPr>
          <w:sz w:val="20"/>
          <w:szCs w:val="20"/>
          <w:color w:val="auto"/>
        </w:rPr>
      </w:pPr>
      <w:r>
        <w:rPr>
          <w:rFonts w:ascii="Arial" w:cs="Arial" w:eastAsia="Arial" w:hAnsi="Arial"/>
          <w:sz w:val="14"/>
          <w:szCs w:val="14"/>
          <w:color w:val="auto"/>
        </w:rPr>
        <w:t>Much like the federal Anti-Kickback Statute prohibition in the United States, the provision of benefits or advantages to induce or reward improper performance generally to induce or encourage the prescription, recommendation,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endorsement, purchase, supply, order or use of medicinal products is also prohibited in the EU. The provision of benefits or advantages to induce or reward improper performance generally is governed by the national anti-bribery laws of EU Member States, and in respect of the U.K. (which is no longer a member of the EU), the Bribery Act 2010. Infringement of these laws could result in substantial fines and imprisonment. EU Directive 2001/83/EC, which is the EU Directive governing medicinal products for human use, further provides that, where medicinal products are being promoted to persons qualified to prescribe, recommend, use, procure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2" w:lineRule="exact"/>
        <w:rPr>
          <w:sz w:val="20"/>
          <w:szCs w:val="20"/>
          <w:color w:val="auto"/>
        </w:rPr>
      </w:pPr>
    </w:p>
    <w:p>
      <w:pPr>
        <w:ind w:firstLine="764"/>
        <w:spacing w:after="0" w:line="255" w:lineRule="auto"/>
        <w:rPr>
          <w:sz w:val="20"/>
          <w:szCs w:val="20"/>
          <w:color w:val="auto"/>
        </w:rPr>
      </w:pPr>
      <w:r>
        <w:rPr>
          <w:rFonts w:ascii="Arial" w:cs="Arial" w:eastAsia="Arial" w:hAnsi="Arial"/>
          <w:sz w:val="13"/>
          <w:szCs w:val="13"/>
          <w:color w:val="auto"/>
        </w:rPr>
        <w:t>Payments made to physicians in certain EU Member States and more generally throughout Europe (including the UK) and other countries must be publicly disclosed under applicable transparency provisions..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 w:lineRule="exact"/>
        <w:rPr>
          <w:sz w:val="20"/>
          <w:szCs w:val="20"/>
          <w:color w:val="auto"/>
        </w:rPr>
      </w:pPr>
    </w:p>
    <w:p>
      <w:pPr>
        <w:ind w:right="40" w:firstLine="764"/>
        <w:spacing w:after="0" w:line="256" w:lineRule="auto"/>
        <w:rPr>
          <w:sz w:val="20"/>
          <w:szCs w:val="20"/>
          <w:color w:val="auto"/>
        </w:rPr>
      </w:pPr>
      <w:r>
        <w:rPr>
          <w:rFonts w:ascii="Arial" w:cs="Arial" w:eastAsia="Arial" w:hAnsi="Arial"/>
          <w:sz w:val="13"/>
          <w:szCs w:val="13"/>
          <w:color w:val="auto"/>
        </w:rPr>
        <w:t>In addition, in most foreign countries, including the EEA, the proposed pricing for a drug must be approved before it may be lawfully marketed. The requirements governing drug pricing and reimbursement are the prerogative of the Member States and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or maintain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Additional laws and regulations governing international operations could negatively impact or restrict our operations.</w:t>
      </w:r>
    </w:p>
    <w:p>
      <w:pPr>
        <w:spacing w:after="0" w:line="94" w:lineRule="exact"/>
        <w:rPr>
          <w:sz w:val="20"/>
          <w:szCs w:val="20"/>
          <w:color w:val="auto"/>
        </w:rPr>
      </w:pPr>
    </w:p>
    <w:p>
      <w:pPr>
        <w:ind w:firstLine="764"/>
        <w:spacing w:after="0" w:line="258" w:lineRule="auto"/>
        <w:rPr>
          <w:sz w:val="20"/>
          <w:szCs w:val="20"/>
          <w:color w:val="auto"/>
        </w:rPr>
      </w:pPr>
      <w:r>
        <w:rPr>
          <w:rFonts w:ascii="Arial" w:cs="Arial" w:eastAsia="Arial" w:hAnsi="Arial"/>
          <w:sz w:val="14"/>
          <w:szCs w:val="14"/>
          <w:color w:val="auto"/>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65" w:lineRule="exact"/>
        <w:rPr>
          <w:sz w:val="20"/>
          <w:szCs w:val="20"/>
          <w:color w:val="auto"/>
        </w:rPr>
      </w:pPr>
    </w:p>
    <w:p>
      <w:pPr>
        <w:ind w:right="160" w:firstLine="764"/>
        <w:spacing w:after="0" w:line="331" w:lineRule="auto"/>
        <w:rPr>
          <w:sz w:val="20"/>
          <w:szCs w:val="20"/>
          <w:color w:val="auto"/>
        </w:rPr>
      </w:pPr>
      <w:r>
        <w:rPr>
          <w:rFonts w:ascii="Arial" w:cs="Arial" w:eastAsia="Arial" w:hAnsi="Arial"/>
          <w:sz w:val="12"/>
          <w:szCs w:val="12"/>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spacing w:after="0" w:line="23" w:lineRule="exact"/>
        <w:rPr>
          <w:sz w:val="20"/>
          <w:szCs w:val="20"/>
          <w:color w:val="auto"/>
        </w:rPr>
      </w:pPr>
    </w:p>
    <w:p>
      <w:pPr>
        <w:ind w:right="40" w:firstLine="764"/>
        <w:spacing w:after="0" w:line="262" w:lineRule="auto"/>
        <w:rPr>
          <w:sz w:val="20"/>
          <w:szCs w:val="20"/>
          <w:color w:val="auto"/>
        </w:rPr>
      </w:pPr>
      <w:r>
        <w:rPr>
          <w:rFonts w:ascii="Arial" w:cs="Arial" w:eastAsia="Arial" w:hAnsi="Arial"/>
          <w:sz w:val="14"/>
          <w:szCs w:val="14"/>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61" w:lineRule="exact"/>
        <w:rPr>
          <w:sz w:val="20"/>
          <w:szCs w:val="20"/>
          <w:color w:val="auto"/>
        </w:rPr>
      </w:pPr>
    </w:p>
    <w:p>
      <w:pPr>
        <w:ind w:right="600" w:firstLine="764"/>
        <w:spacing w:after="0" w:line="281" w:lineRule="auto"/>
        <w:rPr>
          <w:sz w:val="20"/>
          <w:szCs w:val="20"/>
          <w:color w:val="auto"/>
        </w:rPr>
      </w:pPr>
      <w:r>
        <w:rPr>
          <w:rFonts w:ascii="Arial" w:cs="Arial" w:eastAsia="Arial" w:hAnsi="Arial"/>
          <w:sz w:val="14"/>
          <w:szCs w:val="14"/>
          <w:color w:val="auto"/>
        </w:rPr>
        <w:t>The failure to comply with laws governing international business practices may result in substantial civil and criminal penalties and suspension or debarment from government contracting. The Securities and Exchange Commission,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or SEC, also may suspend or bar issuers from trading securities on U.S. exchanges for violations of the FCPA’s accounting provisions.</w:t>
      </w:r>
    </w:p>
    <w:p>
      <w:pPr>
        <w:spacing w:after="0" w:line="94" w:lineRule="exact"/>
        <w:rPr>
          <w:sz w:val="20"/>
          <w:szCs w:val="20"/>
          <w:color w:val="auto"/>
        </w:rPr>
      </w:pPr>
    </w:p>
    <w:p>
      <w:pPr>
        <w:ind w:right="760" w:firstLine="764"/>
        <w:spacing w:after="0" w:line="281" w:lineRule="auto"/>
        <w:rPr>
          <w:sz w:val="20"/>
          <w:szCs w:val="20"/>
          <w:color w:val="auto"/>
        </w:rPr>
      </w:pPr>
      <w:r>
        <w:rPr>
          <w:rFonts w:ascii="Arial" w:cs="Arial" w:eastAsia="Arial" w:hAnsi="Arial"/>
          <w:sz w:val="14"/>
          <w:szCs w:val="14"/>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47" w:lineRule="exact"/>
        <w:rPr>
          <w:sz w:val="20"/>
          <w:szCs w:val="20"/>
          <w:color w:val="auto"/>
        </w:rPr>
      </w:pPr>
    </w:p>
    <w:p>
      <w:pPr>
        <w:ind w:firstLine="764"/>
        <w:spacing w:after="0" w:line="280" w:lineRule="auto"/>
        <w:rPr>
          <w:sz w:val="20"/>
          <w:szCs w:val="20"/>
          <w:color w:val="auto"/>
        </w:rPr>
      </w:pPr>
      <w:r>
        <w:rPr>
          <w:rFonts w:ascii="Arial" w:cs="Arial" w:eastAsia="Arial" w:hAnsi="Arial"/>
          <w:sz w:val="13"/>
          <w:szCs w:val="13"/>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4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98" w:lineRule="exact"/>
        <w:rPr>
          <w:sz w:val="20"/>
          <w:szCs w:val="20"/>
          <w:color w:val="auto"/>
        </w:rPr>
      </w:pPr>
    </w:p>
    <w:p>
      <w:pPr>
        <w:ind w:right="220" w:firstLine="764"/>
        <w:spacing w:after="0" w:line="254" w:lineRule="auto"/>
        <w:rPr>
          <w:sz w:val="20"/>
          <w:szCs w:val="20"/>
          <w:color w:val="auto"/>
        </w:rPr>
      </w:pPr>
      <w:r>
        <w:rPr>
          <w:rFonts w:ascii="Arial" w:cs="Arial" w:eastAsia="Arial" w:hAnsi="Arial"/>
          <w:sz w:val="14"/>
          <w:szCs w:val="14"/>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ind w:right="120" w:firstLine="764"/>
        <w:spacing w:after="0" w:line="239" w:lineRule="auto"/>
        <w:rPr>
          <w:sz w:val="20"/>
          <w:szCs w:val="20"/>
          <w:color w:val="auto"/>
        </w:rPr>
      </w:pPr>
      <w:r>
        <w:rPr>
          <w:rFonts w:ascii="Arial" w:cs="Arial" w:eastAsia="Arial" w:hAnsi="Arial"/>
          <w:sz w:val="14"/>
          <w:szCs w:val="14"/>
          <w:color w:val="auto"/>
        </w:rPr>
        <w:t>Our business will depend in large part on obtaining and maintaining patent, IP regulatory rights (such as data exclusivity, marketing exclusivity and patent extensions)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65" w:lineRule="exact"/>
        <w:rPr>
          <w:sz w:val="20"/>
          <w:szCs w:val="20"/>
          <w:color w:val="auto"/>
        </w:rPr>
      </w:pPr>
    </w:p>
    <w:p>
      <w:pPr>
        <w:ind w:right="40" w:firstLine="764"/>
        <w:spacing w:after="0" w:line="288" w:lineRule="auto"/>
        <w:rPr>
          <w:sz w:val="20"/>
          <w:szCs w:val="20"/>
          <w:color w:val="auto"/>
        </w:rPr>
      </w:pPr>
      <w:r>
        <w:rPr>
          <w:rFonts w:ascii="Arial" w:cs="Arial" w:eastAsia="Arial" w:hAnsi="Arial"/>
          <w:sz w:val="13"/>
          <w:szCs w:val="13"/>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46" w:lineRule="exact"/>
        <w:rPr>
          <w:sz w:val="20"/>
          <w:szCs w:val="20"/>
          <w:color w:val="auto"/>
        </w:rPr>
      </w:pPr>
    </w:p>
    <w:p>
      <w:pPr>
        <w:ind w:firstLine="764"/>
        <w:spacing w:after="0" w:line="257" w:lineRule="auto"/>
        <w:rPr>
          <w:sz w:val="20"/>
          <w:szCs w:val="20"/>
          <w:color w:val="auto"/>
        </w:rPr>
      </w:pPr>
      <w:r>
        <w:rPr>
          <w:rFonts w:ascii="Arial" w:cs="Arial" w:eastAsia="Arial" w:hAnsi="Arial"/>
          <w:sz w:val="14"/>
          <w:szCs w:val="14"/>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66" w:lineRule="exact"/>
        <w:rPr>
          <w:sz w:val="20"/>
          <w:szCs w:val="20"/>
          <w:color w:val="auto"/>
        </w:rPr>
      </w:pPr>
    </w:p>
    <w:p>
      <w:pPr>
        <w:ind w:right="300" w:firstLine="764"/>
        <w:spacing w:after="0" w:line="281" w:lineRule="auto"/>
        <w:rPr>
          <w:sz w:val="20"/>
          <w:szCs w:val="20"/>
          <w:color w:val="auto"/>
        </w:rPr>
      </w:pPr>
      <w:r>
        <w:rPr>
          <w:rFonts w:ascii="Arial" w:cs="Arial" w:eastAsia="Arial" w:hAnsi="Arial"/>
          <w:sz w:val="14"/>
          <w:szCs w:val="14"/>
          <w:color w:val="auto"/>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spacing w:after="0" w:line="47" w:lineRule="exact"/>
        <w:rPr>
          <w:sz w:val="20"/>
          <w:szCs w:val="20"/>
          <w:color w:val="auto"/>
        </w:rPr>
      </w:pPr>
    </w:p>
    <w:p>
      <w:pPr>
        <w:ind w:right="100" w:firstLine="764"/>
        <w:spacing w:after="0" w:line="262" w:lineRule="auto"/>
        <w:rPr>
          <w:sz w:val="20"/>
          <w:szCs w:val="20"/>
          <w:color w:val="auto"/>
        </w:rPr>
      </w:pPr>
      <w:r>
        <w:rPr>
          <w:rFonts w:ascii="Arial" w:cs="Arial" w:eastAsia="Arial" w:hAnsi="Arial"/>
          <w:sz w:val="14"/>
          <w:szCs w:val="14"/>
          <w:color w:val="auto"/>
        </w:rPr>
        <w:t>We cannot be certain that we were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580"/>
        <w:spacing w:after="0" w:line="281" w:lineRule="auto"/>
        <w:rPr>
          <w:sz w:val="20"/>
          <w:szCs w:val="20"/>
          <w:color w:val="auto"/>
        </w:rPr>
      </w:pPr>
      <w:r>
        <w:rPr>
          <w:rFonts w:ascii="Arial" w:cs="Arial" w:eastAsia="Arial" w:hAnsi="Arial"/>
          <w:sz w:val="14"/>
          <w:szCs w:val="14"/>
          <w:color w:val="auto"/>
        </w:rPr>
        <w:t>one claim is not entitled to a priority date before March 16, 2013, derivation proceedings can be instituted to determine whether the subject matter of a patent claim was derived from a prior inventor’s disclosure.</w:t>
      </w:r>
    </w:p>
    <w:p>
      <w:pPr>
        <w:spacing w:after="0" w:line="47" w:lineRule="exact"/>
        <w:rPr>
          <w:sz w:val="20"/>
          <w:szCs w:val="20"/>
          <w:color w:val="auto"/>
        </w:rPr>
      </w:pPr>
    </w:p>
    <w:p>
      <w:pPr>
        <w:ind w:right="20" w:firstLine="764"/>
        <w:spacing w:after="0" w:line="279" w:lineRule="auto"/>
        <w:rPr>
          <w:sz w:val="20"/>
          <w:szCs w:val="20"/>
          <w:color w:val="auto"/>
        </w:rPr>
      </w:pPr>
      <w:r>
        <w:rPr>
          <w:rFonts w:ascii="Arial" w:cs="Arial" w:eastAsia="Arial" w:hAnsi="Arial"/>
          <w:sz w:val="13"/>
          <w:szCs w:val="13"/>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obtain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53" w:lineRule="exact"/>
        <w:rPr>
          <w:sz w:val="20"/>
          <w:szCs w:val="20"/>
          <w:color w:val="auto"/>
        </w:rPr>
      </w:pPr>
    </w:p>
    <w:p>
      <w:pPr>
        <w:ind w:right="80" w:firstLine="764"/>
        <w:spacing w:after="0" w:line="278" w:lineRule="auto"/>
        <w:rPr>
          <w:sz w:val="20"/>
          <w:szCs w:val="20"/>
          <w:color w:val="auto"/>
        </w:rPr>
      </w:pPr>
      <w:r>
        <w:rPr>
          <w:rFonts w:ascii="Arial" w:cs="Arial" w:eastAsia="Arial" w:hAnsi="Arial"/>
          <w:sz w:val="13"/>
          <w:szCs w:val="13"/>
          <w:color w:val="auto"/>
        </w:rPr>
        <w:t>Recent or future patent reform legislation could increase the uncertainties and costs surrounding the prosecution of our patent applications and the enforcement or defense of our issued patents. Under the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54" w:lineRule="exact"/>
        <w:rPr>
          <w:sz w:val="20"/>
          <w:szCs w:val="20"/>
          <w:color w:val="auto"/>
        </w:rPr>
      </w:pPr>
    </w:p>
    <w:p>
      <w:pPr>
        <w:ind w:firstLine="764"/>
        <w:spacing w:after="0" w:line="281" w:lineRule="auto"/>
        <w:rPr>
          <w:sz w:val="20"/>
          <w:szCs w:val="20"/>
          <w:color w:val="auto"/>
        </w:rPr>
      </w:pPr>
      <w:r>
        <w:rPr>
          <w:rFonts w:ascii="Arial" w:cs="Arial" w:eastAsia="Arial" w:hAnsi="Arial"/>
          <w:sz w:val="14"/>
          <w:szCs w:val="14"/>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79" w:lineRule="exact"/>
        <w:rPr>
          <w:sz w:val="20"/>
          <w:szCs w:val="20"/>
          <w:color w:val="auto"/>
        </w:rPr>
      </w:pPr>
    </w:p>
    <w:p>
      <w:pPr>
        <w:ind w:left="1800" w:right="220" w:hanging="899"/>
        <w:spacing w:after="0" w:line="235" w:lineRule="auto"/>
        <w:tabs>
          <w:tab w:leader="none" w:pos="1796" w:val="left"/>
        </w:tabs>
        <w:numPr>
          <w:ilvl w:val="0"/>
          <w:numId w:val="31"/>
        </w:numPr>
        <w:rPr>
          <w:rFonts w:ascii="Arial" w:cs="Arial" w:eastAsia="Arial" w:hAnsi="Arial"/>
          <w:sz w:val="17"/>
          <w:szCs w:val="17"/>
          <w:color w:val="auto"/>
        </w:rPr>
      </w:pPr>
      <w:r>
        <w:rPr>
          <w:rFonts w:ascii="Arial" w:cs="Arial" w:eastAsia="Arial" w:hAnsi="Arial"/>
          <w:sz w:val="14"/>
          <w:szCs w:val="14"/>
          <w:color w:val="auto"/>
        </w:rPr>
        <w:t>others may be able to make or use compounds that are similar to the compositions of our product candidates but that are not covered by the claims of our patents or those of our licensors;</w:t>
      </w:r>
    </w:p>
    <w:p>
      <w:pPr>
        <w:spacing w:after="0" w:line="75" w:lineRule="exact"/>
        <w:rPr>
          <w:rFonts w:ascii="Arial" w:cs="Arial" w:eastAsia="Arial" w:hAnsi="Arial"/>
          <w:sz w:val="17"/>
          <w:szCs w:val="17"/>
          <w:color w:val="auto"/>
        </w:rPr>
      </w:pPr>
    </w:p>
    <w:p>
      <w:pPr>
        <w:ind w:left="1800" w:right="20" w:hanging="899"/>
        <w:spacing w:after="0" w:line="281" w:lineRule="auto"/>
        <w:tabs>
          <w:tab w:leader="none" w:pos="1796"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or our licensors, as the case may be, might not have been the first to file patent applications for these inventions;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others may independently develop similar or alternative technologies or duplicate any of our technologies;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it is possible that our pending patent applications will not result in issued patents;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may not be able to extend the patent term in some jurisdictions;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it is possible that there are prior public disclosures that could invalidate our or our licensors’ patents, as the case may be, or parts of our or their patents;</w:t>
      </w:r>
    </w:p>
    <w:p>
      <w:pPr>
        <w:spacing w:after="0" w:line="10" w:lineRule="exact"/>
        <w:rPr>
          <w:rFonts w:ascii="Arial" w:cs="Arial" w:eastAsia="Arial" w:hAnsi="Arial"/>
          <w:sz w:val="14"/>
          <w:szCs w:val="14"/>
          <w:color w:val="auto"/>
        </w:rPr>
      </w:pPr>
    </w:p>
    <w:p>
      <w:pPr>
        <w:ind w:left="1800" w:right="560" w:hanging="899"/>
        <w:spacing w:after="0" w:line="247" w:lineRule="auto"/>
        <w:tabs>
          <w:tab w:leader="none" w:pos="1796" w:val="left"/>
        </w:tabs>
        <w:numPr>
          <w:ilvl w:val="0"/>
          <w:numId w:val="31"/>
        </w:numPr>
        <w:rPr>
          <w:rFonts w:ascii="Arial" w:cs="Arial" w:eastAsia="Arial" w:hAnsi="Arial"/>
          <w:sz w:val="14"/>
          <w:szCs w:val="14"/>
          <w:color w:val="auto"/>
        </w:rPr>
      </w:pPr>
      <w:r>
        <w:rPr>
          <w:rFonts w:ascii="Arial" w:cs="Arial" w:eastAsia="Arial" w:hAnsi="Arial"/>
          <w:sz w:val="14"/>
          <w:szCs w:val="14"/>
          <w:color w:val="auto"/>
        </w:rPr>
        <w:t>it is possible that others may circumvent our owned or in-licensed patents or regulatory intellectual property rights such as our data protection, orphan market exclusivity and others;</w:t>
      </w:r>
    </w:p>
    <w:p>
      <w:pPr>
        <w:spacing w:after="0" w:line="70" w:lineRule="exact"/>
        <w:rPr>
          <w:rFonts w:ascii="Arial" w:cs="Arial" w:eastAsia="Arial" w:hAnsi="Arial"/>
          <w:sz w:val="14"/>
          <w:szCs w:val="14"/>
          <w:color w:val="auto"/>
        </w:rPr>
      </w:pPr>
    </w:p>
    <w:p>
      <w:pPr>
        <w:ind w:left="1800" w:right="100" w:hanging="899"/>
        <w:spacing w:after="0" w:line="281" w:lineRule="auto"/>
        <w:tabs>
          <w:tab w:leader="none" w:pos="1796" w:val="left"/>
        </w:tabs>
        <w:numPr>
          <w:ilvl w:val="0"/>
          <w:numId w:val="31"/>
        </w:numPr>
        <w:rPr>
          <w:rFonts w:ascii="Arial" w:cs="Arial" w:eastAsia="Arial" w:hAnsi="Arial"/>
          <w:sz w:val="14"/>
          <w:szCs w:val="14"/>
          <w:color w:val="auto"/>
        </w:rPr>
      </w:pPr>
      <w:r>
        <w:rPr>
          <w:rFonts w:ascii="Arial" w:cs="Arial" w:eastAsia="Arial" w:hAnsi="Arial"/>
          <w:sz w:val="14"/>
          <w:szCs w:val="14"/>
          <w:color w:val="auto"/>
        </w:rPr>
        <w:t>it is possible that there are unpublished applications or patent applications maintained in secrecy that may later issue with claims covering our products or technology similar to ours;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1780" w:hanging="879"/>
        <w:spacing w:after="0"/>
        <w:tabs>
          <w:tab w:leader="none" w:pos="17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laws of foreign countries may not protect our or our licensors’, as the case may be, proprietary rights to the same extent as the laws of the United States;</w:t>
      </w:r>
    </w:p>
    <w:p>
      <w:pPr>
        <w:spacing w:after="0" w:line="105" w:lineRule="exact"/>
        <w:rPr>
          <w:rFonts w:ascii="Arial" w:cs="Arial" w:eastAsia="Arial" w:hAnsi="Arial"/>
          <w:sz w:val="13"/>
          <w:szCs w:val="13"/>
          <w:color w:val="auto"/>
        </w:rPr>
      </w:pPr>
    </w:p>
    <w:p>
      <w:pPr>
        <w:ind w:left="1780" w:hanging="879"/>
        <w:spacing w:after="0"/>
        <w:tabs>
          <w:tab w:leader="none" w:pos="1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claims of our owned or in-licensed issued patents or patent applications, if and when issued, may not cover our product candidates;</w:t>
      </w:r>
    </w:p>
    <w:p>
      <w:pPr>
        <w:spacing w:after="0" w:line="93" w:lineRule="exact"/>
        <w:rPr>
          <w:rFonts w:ascii="Arial" w:cs="Arial" w:eastAsia="Arial" w:hAnsi="Arial"/>
          <w:sz w:val="14"/>
          <w:szCs w:val="14"/>
          <w:color w:val="auto"/>
        </w:rPr>
      </w:pPr>
    </w:p>
    <w:p>
      <w:pPr>
        <w:ind w:left="1800" w:right="40" w:hanging="899"/>
        <w:spacing w:after="0" w:line="281" w:lineRule="auto"/>
        <w:tabs>
          <w:tab w:leader="none" w:pos="1796"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owned or in-licensed issued patents may not provide us with any competitive advantages, may be narrowed in scope, or be held invalid or unenforceable as a result of legal challenges by third parties;</w:t>
      </w:r>
    </w:p>
    <w:p>
      <w:pPr>
        <w:spacing w:after="0" w:line="47" w:lineRule="exact"/>
        <w:rPr>
          <w:rFonts w:ascii="Arial" w:cs="Arial" w:eastAsia="Arial" w:hAnsi="Arial"/>
          <w:sz w:val="14"/>
          <w:szCs w:val="14"/>
          <w:color w:val="auto"/>
        </w:rPr>
      </w:pPr>
    </w:p>
    <w:p>
      <w:pPr>
        <w:ind w:left="1800" w:right="220" w:hanging="899"/>
        <w:spacing w:after="0" w:line="281" w:lineRule="auto"/>
        <w:tabs>
          <w:tab w:leader="none" w:pos="179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47" w:lineRule="exact"/>
        <w:rPr>
          <w:rFonts w:ascii="Arial" w:cs="Arial" w:eastAsia="Arial" w:hAnsi="Arial"/>
          <w:sz w:val="14"/>
          <w:szCs w:val="14"/>
          <w:color w:val="auto"/>
        </w:rPr>
      </w:pPr>
    </w:p>
    <w:p>
      <w:pPr>
        <w:ind w:left="1800" w:right="140" w:hanging="899"/>
        <w:spacing w:after="0" w:line="321" w:lineRule="auto"/>
        <w:tabs>
          <w:tab w:leader="none" w:pos="1796" w:val="left"/>
        </w:tabs>
        <w:numPr>
          <w:ilvl w:val="0"/>
          <w:numId w:val="32"/>
        </w:numPr>
        <w:rPr>
          <w:rFonts w:ascii="Arial" w:cs="Arial" w:eastAsia="Arial" w:hAnsi="Arial"/>
          <w:sz w:val="13"/>
          <w:szCs w:val="13"/>
          <w:color w:val="auto"/>
        </w:rPr>
      </w:pPr>
      <w:r>
        <w:rPr>
          <w:rFonts w:ascii="Arial" w:cs="Arial" w:eastAsia="Arial" w:hAnsi="Arial"/>
          <w:sz w:val="13"/>
          <w:szCs w:val="13"/>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24" w:lineRule="exact"/>
        <w:rPr>
          <w:rFonts w:ascii="Arial" w:cs="Arial" w:eastAsia="Arial" w:hAnsi="Arial"/>
          <w:sz w:val="13"/>
          <w:szCs w:val="13"/>
          <w:color w:val="auto"/>
        </w:rPr>
      </w:pPr>
    </w:p>
    <w:p>
      <w:pPr>
        <w:ind w:left="1800" w:right="20" w:hanging="899"/>
        <w:spacing w:after="0" w:line="281" w:lineRule="auto"/>
        <w:tabs>
          <w:tab w:leader="none" w:pos="1796"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have engaged in scientific collaborations in the past and will continue to do so in the future. Such collaborators may develop adjacent or competing products to ours that are outside the scope of our patents;</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may not develop additional proprietary technologies for which we can obtain patent protection;</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it is possible that product candidates or diagnostic tests we develop may be covered by third parties’ patents or other exclusive rights; or</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patents of others may have an adverse effect on our business.</w:t>
      </w:r>
    </w:p>
    <w:p>
      <w:pPr>
        <w:spacing w:after="0" w:line="94" w:lineRule="exact"/>
        <w:rPr>
          <w:sz w:val="20"/>
          <w:szCs w:val="20"/>
          <w:color w:val="auto"/>
        </w:rPr>
      </w:pPr>
    </w:p>
    <w:p>
      <w:pPr>
        <w:ind w:right="280" w:firstLine="764"/>
        <w:spacing w:after="0" w:line="254" w:lineRule="auto"/>
        <w:rPr>
          <w:sz w:val="20"/>
          <w:szCs w:val="20"/>
          <w:color w:val="auto"/>
        </w:rPr>
      </w:pPr>
      <w:r>
        <w:rPr>
          <w:rFonts w:ascii="Arial" w:cs="Arial" w:eastAsia="Arial" w:hAnsi="Arial"/>
          <w:sz w:val="14"/>
          <w:szCs w:val="14"/>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ind w:right="60" w:firstLine="764"/>
        <w:spacing w:after="0"/>
        <w:rPr>
          <w:sz w:val="20"/>
          <w:szCs w:val="20"/>
          <w:color w:val="auto"/>
        </w:rPr>
      </w:pPr>
      <w:r>
        <w:rPr>
          <w:rFonts w:ascii="Arial" w:cs="Arial" w:eastAsia="Arial" w:hAnsi="Arial"/>
          <w:sz w:val="14"/>
          <w:szCs w:val="14"/>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subject to antitrust law restrictions.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4"/>
          <w:szCs w:val="14"/>
          <w:color w:val="auto"/>
        </w:rPr>
        <w:t>Moreover, disputes may arise regarding intellectual property subject to a licensing agreement, including:</w:t>
      </w:r>
    </w:p>
    <w:p>
      <w:pPr>
        <w:spacing w:after="0" w:line="110" w:lineRule="exact"/>
        <w:rPr>
          <w:sz w:val="20"/>
          <w:szCs w:val="20"/>
          <w:color w:val="auto"/>
        </w:rPr>
      </w:pPr>
    </w:p>
    <w:p>
      <w:pPr>
        <w:ind w:left="1780" w:hanging="879"/>
        <w:spacing w:after="0"/>
        <w:tabs>
          <w:tab w:leader="none" w:pos="1780" w:val="left"/>
        </w:tabs>
        <w:numPr>
          <w:ilvl w:val="0"/>
          <w:numId w:val="33"/>
        </w:numPr>
        <w:rPr>
          <w:rFonts w:ascii="Arial" w:cs="Arial" w:eastAsia="Arial" w:hAnsi="Arial"/>
          <w:sz w:val="17"/>
          <w:szCs w:val="17"/>
          <w:color w:val="auto"/>
        </w:rPr>
      </w:pPr>
      <w:r>
        <w:rPr>
          <w:rFonts w:ascii="Arial" w:cs="Arial" w:eastAsia="Arial" w:hAnsi="Arial"/>
          <w:sz w:val="14"/>
          <w:szCs w:val="14"/>
          <w:color w:val="auto"/>
        </w:rPr>
        <w:t>the scope of rights granted under the license agreement and other interpretation-related issues;</w:t>
      </w:r>
    </w:p>
    <w:p>
      <w:pPr>
        <w:spacing w:after="0" w:line="74" w:lineRule="exact"/>
        <w:rPr>
          <w:rFonts w:ascii="Arial" w:cs="Arial" w:eastAsia="Arial" w:hAnsi="Arial"/>
          <w:sz w:val="17"/>
          <w:szCs w:val="17"/>
          <w:color w:val="auto"/>
        </w:rPr>
      </w:pPr>
    </w:p>
    <w:p>
      <w:pPr>
        <w:ind w:left="1780" w:hanging="879"/>
        <w:spacing w:after="0"/>
        <w:tabs>
          <w:tab w:leader="none" w:pos="17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extent to which our product candidates, technology and processes infringe on intellectual property of the licensor that is not subject to the licensing agreement;</w:t>
      </w:r>
    </w:p>
    <w:p>
      <w:pPr>
        <w:spacing w:after="0" w:line="105" w:lineRule="exact"/>
        <w:rPr>
          <w:rFonts w:ascii="Arial" w:cs="Arial" w:eastAsia="Arial" w:hAnsi="Arial"/>
          <w:sz w:val="13"/>
          <w:szCs w:val="13"/>
          <w:color w:val="auto"/>
        </w:rPr>
      </w:pPr>
    </w:p>
    <w:p>
      <w:pPr>
        <w:ind w:left="1780" w:hanging="879"/>
        <w:spacing w:after="0"/>
        <w:tabs>
          <w:tab w:leader="none" w:pos="17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sublicensing of patent and other rights under our collaborative development relationships;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diligence obligations under the license agreement and what activities satisfy those diligence obligations;</w:t>
      </w:r>
    </w:p>
    <w:p>
      <w:pPr>
        <w:spacing w:after="0" w:line="93" w:lineRule="exact"/>
        <w:rPr>
          <w:rFonts w:ascii="Arial" w:cs="Arial" w:eastAsia="Arial" w:hAnsi="Arial"/>
          <w:sz w:val="14"/>
          <w:szCs w:val="14"/>
          <w:color w:val="auto"/>
        </w:rPr>
      </w:pPr>
    </w:p>
    <w:p>
      <w:pPr>
        <w:ind w:left="1800" w:right="180" w:hanging="899"/>
        <w:spacing w:after="0" w:line="281" w:lineRule="auto"/>
        <w:tabs>
          <w:tab w:leader="none" w:pos="179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inventorship and ownership of inventions and know-how resulting from the joint creation or use of intellectual property by our licensors and us and our partners; and</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priority of invention of patented technology.</w:t>
      </w:r>
    </w:p>
    <w:p>
      <w:pPr>
        <w:spacing w:after="0" w:line="94" w:lineRule="exact"/>
        <w:rPr>
          <w:sz w:val="20"/>
          <w:szCs w:val="20"/>
          <w:color w:val="auto"/>
        </w:rPr>
      </w:pPr>
    </w:p>
    <w:p>
      <w:pPr>
        <w:ind w:firstLine="764"/>
        <w:spacing w:after="0" w:line="262" w:lineRule="auto"/>
        <w:rPr>
          <w:sz w:val="20"/>
          <w:szCs w:val="20"/>
          <w:color w:val="auto"/>
        </w:rPr>
      </w:pPr>
      <w:r>
        <w:rPr>
          <w:rFonts w:ascii="Arial" w:cs="Arial" w:eastAsia="Arial" w:hAnsi="Arial"/>
          <w:sz w:val="14"/>
          <w:szCs w:val="14"/>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47" w:lineRule="exact"/>
        <w:rPr>
          <w:sz w:val="20"/>
          <w:szCs w:val="20"/>
          <w:color w:val="auto"/>
        </w:rPr>
      </w:pPr>
    </w:p>
    <w:p>
      <w:pPr>
        <w:ind w:right="60" w:firstLine="764"/>
        <w:spacing w:after="0" w:line="260" w:lineRule="auto"/>
        <w:rPr>
          <w:sz w:val="20"/>
          <w:szCs w:val="20"/>
          <w:color w:val="auto"/>
        </w:rPr>
      </w:pPr>
      <w:r>
        <w:rPr>
          <w:rFonts w:ascii="Arial" w:cs="Arial" w:eastAsia="Arial" w:hAnsi="Arial"/>
          <w:sz w:val="14"/>
          <w:szCs w:val="14"/>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If we are unable to protect the confidentiality of our trade secrets, our business and competitive position would be harmed.</w:t>
      </w:r>
    </w:p>
    <w:p>
      <w:pPr>
        <w:spacing w:after="0" w:line="94" w:lineRule="exact"/>
        <w:rPr>
          <w:sz w:val="20"/>
          <w:szCs w:val="20"/>
          <w:color w:val="auto"/>
        </w:rPr>
      </w:pPr>
    </w:p>
    <w:p>
      <w:pPr>
        <w:ind w:firstLine="764"/>
        <w:spacing w:after="0" w:line="277" w:lineRule="auto"/>
        <w:rPr>
          <w:sz w:val="20"/>
          <w:szCs w:val="20"/>
          <w:color w:val="auto"/>
        </w:rPr>
      </w:pPr>
      <w:r>
        <w:rPr>
          <w:rFonts w:ascii="Arial" w:cs="Arial" w:eastAsia="Arial" w:hAnsi="Arial"/>
          <w:sz w:val="13"/>
          <w:szCs w:val="13"/>
          <w:color w:val="auto"/>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57" w:lineRule="exact"/>
        <w:rPr>
          <w:sz w:val="20"/>
          <w:szCs w:val="20"/>
          <w:color w:val="auto"/>
        </w:rPr>
      </w:pPr>
    </w:p>
    <w:p>
      <w:pPr>
        <w:ind w:right="140" w:firstLine="764"/>
        <w:spacing w:after="0" w:line="262" w:lineRule="auto"/>
        <w:rPr>
          <w:sz w:val="20"/>
          <w:szCs w:val="20"/>
          <w:color w:val="auto"/>
        </w:rPr>
      </w:pPr>
      <w:r>
        <w:rPr>
          <w:rFonts w:ascii="Arial" w:cs="Arial" w:eastAsia="Arial" w:hAnsi="Arial"/>
          <w:sz w:val="14"/>
          <w:szCs w:val="14"/>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61" w:lineRule="exact"/>
        <w:rPr>
          <w:sz w:val="20"/>
          <w:szCs w:val="20"/>
          <w:color w:val="auto"/>
        </w:rPr>
      </w:pPr>
    </w:p>
    <w:p>
      <w:pPr>
        <w:ind w:right="20" w:firstLine="764"/>
        <w:spacing w:after="0" w:line="280" w:lineRule="auto"/>
        <w:rPr>
          <w:sz w:val="20"/>
          <w:szCs w:val="20"/>
          <w:color w:val="auto"/>
        </w:rPr>
      </w:pPr>
      <w:r>
        <w:rPr>
          <w:rFonts w:ascii="Arial" w:cs="Arial" w:eastAsia="Arial" w:hAnsi="Arial"/>
          <w:sz w:val="13"/>
          <w:szCs w:val="13"/>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52"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Third-party claims of intellectual property infringement may prevent or delay our product discovery and development efforts.</w:t>
      </w:r>
    </w:p>
    <w:p>
      <w:pPr>
        <w:spacing w:after="0" w:line="94" w:lineRule="exact"/>
        <w:rPr>
          <w:sz w:val="20"/>
          <w:szCs w:val="20"/>
          <w:color w:val="auto"/>
        </w:rPr>
      </w:pPr>
    </w:p>
    <w:p>
      <w:pPr>
        <w:ind w:right="140" w:firstLine="764"/>
        <w:spacing w:after="0" w:line="260" w:lineRule="auto"/>
        <w:rPr>
          <w:sz w:val="20"/>
          <w:szCs w:val="20"/>
          <w:color w:val="auto"/>
        </w:rPr>
      </w:pPr>
      <w:r>
        <w:rPr>
          <w:rFonts w:ascii="Arial" w:cs="Arial" w:eastAsia="Arial" w:hAnsi="Arial"/>
          <w:sz w:val="14"/>
          <w:szCs w:val="14"/>
          <w:color w:val="auto"/>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4"/>
          <w:szCs w:val="14"/>
          <w:color w:val="auto"/>
        </w:rPr>
        <w:t>If a third-party claims that we infringe its intellectual property rights, we may face a number of issues, including, but not limited to:</w:t>
      </w:r>
    </w:p>
    <w:p>
      <w:pPr>
        <w:spacing w:after="0" w:line="125" w:lineRule="exact"/>
        <w:rPr>
          <w:sz w:val="20"/>
          <w:szCs w:val="20"/>
          <w:color w:val="auto"/>
        </w:rPr>
      </w:pPr>
    </w:p>
    <w:p>
      <w:pPr>
        <w:ind w:left="1800" w:right="280" w:hanging="899"/>
        <w:spacing w:after="0" w:line="235" w:lineRule="auto"/>
        <w:tabs>
          <w:tab w:leader="none" w:pos="1796" w:val="left"/>
        </w:tabs>
        <w:numPr>
          <w:ilvl w:val="0"/>
          <w:numId w:val="34"/>
        </w:numPr>
        <w:rPr>
          <w:rFonts w:ascii="Arial" w:cs="Arial" w:eastAsia="Arial" w:hAnsi="Arial"/>
          <w:sz w:val="17"/>
          <w:szCs w:val="17"/>
          <w:color w:val="auto"/>
        </w:rPr>
      </w:pPr>
      <w:r>
        <w:rPr>
          <w:rFonts w:ascii="Arial" w:cs="Arial" w:eastAsia="Arial" w:hAnsi="Arial"/>
          <w:sz w:val="14"/>
          <w:szCs w:val="14"/>
          <w:color w:val="auto"/>
        </w:rPr>
        <w:t>infringement and other intellectual property claims which, regardless of merit, may be expensive and time-consuming to litigate and may divert our management’s attention from our core business;</w:t>
      </w:r>
    </w:p>
    <w:p>
      <w:pPr>
        <w:spacing w:after="0" w:line="75" w:lineRule="exact"/>
        <w:rPr>
          <w:rFonts w:ascii="Arial" w:cs="Arial" w:eastAsia="Arial" w:hAnsi="Arial"/>
          <w:sz w:val="17"/>
          <w:szCs w:val="17"/>
          <w:color w:val="auto"/>
        </w:rPr>
      </w:pPr>
    </w:p>
    <w:p>
      <w:pPr>
        <w:ind w:left="1800" w:right="100" w:hanging="899"/>
        <w:spacing w:after="0" w:line="321" w:lineRule="auto"/>
        <w:tabs>
          <w:tab w:leader="none" w:pos="1796" w:val="left"/>
        </w:tabs>
        <w:numPr>
          <w:ilvl w:val="0"/>
          <w:numId w:val="34"/>
        </w:numPr>
        <w:rPr>
          <w:rFonts w:ascii="Arial" w:cs="Arial" w:eastAsia="Arial" w:hAnsi="Arial"/>
          <w:sz w:val="13"/>
          <w:szCs w:val="13"/>
          <w:color w:val="auto"/>
        </w:rPr>
      </w:pPr>
      <w:r>
        <w:rPr>
          <w:rFonts w:ascii="Arial" w:cs="Arial" w:eastAsia="Arial" w:hAnsi="Arial"/>
          <w:sz w:val="13"/>
          <w:szCs w:val="13"/>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24" w:lineRule="exact"/>
        <w:rPr>
          <w:rFonts w:ascii="Arial" w:cs="Arial" w:eastAsia="Arial" w:hAnsi="Arial"/>
          <w:sz w:val="13"/>
          <w:szCs w:val="13"/>
          <w:color w:val="auto"/>
        </w:rPr>
      </w:pPr>
    </w:p>
    <w:p>
      <w:pPr>
        <w:ind w:left="1800" w:right="100" w:hanging="899"/>
        <w:spacing w:after="0" w:line="281" w:lineRule="auto"/>
        <w:tabs>
          <w:tab w:leader="none" w:pos="1796" w:val="left"/>
        </w:tabs>
        <w:numPr>
          <w:ilvl w:val="0"/>
          <w:numId w:val="34"/>
        </w:numPr>
        <w:rPr>
          <w:rFonts w:ascii="Arial" w:cs="Arial" w:eastAsia="Arial" w:hAnsi="Arial"/>
          <w:sz w:val="14"/>
          <w:szCs w:val="14"/>
          <w:color w:val="auto"/>
        </w:rPr>
      </w:pPr>
      <w:r>
        <w:rPr>
          <w:rFonts w:ascii="Arial" w:cs="Arial" w:eastAsia="Arial" w:hAnsi="Arial"/>
          <w:sz w:val="14"/>
          <w:szCs w:val="14"/>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47" w:lineRule="exact"/>
        <w:rPr>
          <w:rFonts w:ascii="Arial" w:cs="Arial" w:eastAsia="Arial" w:hAnsi="Arial"/>
          <w:sz w:val="14"/>
          <w:szCs w:val="14"/>
          <w:color w:val="auto"/>
        </w:rPr>
      </w:pPr>
    </w:p>
    <w:p>
      <w:pPr>
        <w:ind w:left="1800" w:right="40" w:hanging="899"/>
        <w:spacing w:after="0" w:line="267" w:lineRule="auto"/>
        <w:tabs>
          <w:tab w:leader="none" w:pos="1796" w:val="left"/>
        </w:tabs>
        <w:numPr>
          <w:ilvl w:val="0"/>
          <w:numId w:val="34"/>
        </w:numPr>
        <w:rPr>
          <w:rFonts w:ascii="Arial" w:cs="Arial" w:eastAsia="Arial" w:hAnsi="Arial"/>
          <w:sz w:val="14"/>
          <w:szCs w:val="14"/>
          <w:color w:val="auto"/>
        </w:rPr>
      </w:pPr>
      <w:r>
        <w:rPr>
          <w:rFonts w:ascii="Arial" w:cs="Arial" w:eastAsia="Arial" w:hAnsi="Arial"/>
          <w:sz w:val="14"/>
          <w:szCs w:val="14"/>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56" w:lineRule="exact"/>
        <w:rPr>
          <w:rFonts w:ascii="Arial" w:cs="Arial" w:eastAsia="Arial" w:hAnsi="Arial"/>
          <w:sz w:val="14"/>
          <w:szCs w:val="14"/>
          <w:color w:val="auto"/>
        </w:rPr>
      </w:pPr>
    </w:p>
    <w:p>
      <w:pPr>
        <w:ind w:left="1780" w:hanging="879"/>
        <w:spacing w:after="0"/>
        <w:tabs>
          <w:tab w:leader="none" w:pos="17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redesigning our product candidates or processes so they do not infringe, which may not be possible or may require substantial monetary expenditures and time.</w:t>
      </w:r>
    </w:p>
    <w:p>
      <w:pPr>
        <w:spacing w:after="0" w:line="105" w:lineRule="exact"/>
        <w:rPr>
          <w:sz w:val="20"/>
          <w:szCs w:val="20"/>
          <w:color w:val="auto"/>
        </w:rPr>
      </w:pPr>
    </w:p>
    <w:p>
      <w:pPr>
        <w:ind w:right="80" w:firstLine="764"/>
        <w:spacing w:after="0" w:line="288" w:lineRule="auto"/>
        <w:rPr>
          <w:sz w:val="20"/>
          <w:szCs w:val="20"/>
          <w:color w:val="auto"/>
        </w:rPr>
      </w:pPr>
      <w:r>
        <w:rPr>
          <w:rFonts w:ascii="Arial" w:cs="Arial" w:eastAsia="Arial" w:hAnsi="Arial"/>
          <w:sz w:val="13"/>
          <w:szCs w:val="13"/>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46" w:lineRule="exact"/>
        <w:rPr>
          <w:sz w:val="20"/>
          <w:szCs w:val="20"/>
          <w:color w:val="auto"/>
        </w:rPr>
      </w:pPr>
    </w:p>
    <w:p>
      <w:pPr>
        <w:ind w:right="220" w:firstLine="764"/>
        <w:spacing w:after="0" w:line="281" w:lineRule="auto"/>
        <w:rPr>
          <w:sz w:val="20"/>
          <w:szCs w:val="20"/>
          <w:color w:val="auto"/>
        </w:rPr>
      </w:pPr>
      <w:r>
        <w:rPr>
          <w:rFonts w:ascii="Arial" w:cs="Arial" w:eastAsia="Arial" w:hAnsi="Arial"/>
          <w:sz w:val="14"/>
          <w:szCs w:val="14"/>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47" w:lineRule="exact"/>
        <w:rPr>
          <w:sz w:val="20"/>
          <w:szCs w:val="20"/>
          <w:color w:val="auto"/>
        </w:rPr>
      </w:pPr>
    </w:p>
    <w:p>
      <w:pPr>
        <w:ind w:right="40" w:firstLine="764"/>
        <w:spacing w:after="0" w:line="284" w:lineRule="auto"/>
        <w:rPr>
          <w:sz w:val="20"/>
          <w:szCs w:val="20"/>
          <w:color w:val="auto"/>
        </w:rPr>
      </w:pPr>
      <w:r>
        <w:rPr>
          <w:rFonts w:ascii="Arial" w:cs="Arial" w:eastAsia="Arial" w:hAnsi="Arial"/>
          <w:sz w:val="13"/>
          <w:szCs w:val="13"/>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49"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Third parties may assert that we are employing their proprietary technology without authorization.</w:t>
      </w:r>
    </w:p>
    <w:p>
      <w:pPr>
        <w:spacing w:after="0" w:line="94" w:lineRule="exact"/>
        <w:rPr>
          <w:sz w:val="20"/>
          <w:szCs w:val="20"/>
          <w:color w:val="auto"/>
        </w:rPr>
      </w:pPr>
    </w:p>
    <w:p>
      <w:pPr>
        <w:ind w:firstLine="764"/>
        <w:spacing w:after="0" w:line="260" w:lineRule="auto"/>
        <w:rPr>
          <w:sz w:val="20"/>
          <w:szCs w:val="20"/>
          <w:color w:val="auto"/>
        </w:rPr>
      </w:pPr>
      <w:r>
        <w:rPr>
          <w:rFonts w:ascii="Arial" w:cs="Arial" w:eastAsia="Arial" w:hAnsi="Arial"/>
          <w:sz w:val="14"/>
          <w:szCs w:val="14"/>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60"/>
        <w:spacing w:after="0" w:line="284" w:lineRule="auto"/>
        <w:rPr>
          <w:sz w:val="20"/>
          <w:szCs w:val="20"/>
          <w:color w:val="auto"/>
        </w:rPr>
      </w:pPr>
      <w:r>
        <w:rPr>
          <w:rFonts w:ascii="Arial" w:cs="Arial" w:eastAsia="Arial" w:hAnsi="Arial"/>
          <w:sz w:val="13"/>
          <w:szCs w:val="13"/>
          <w:color w:val="auto"/>
        </w:rPr>
        <w:t>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49" w:lineRule="exact"/>
        <w:rPr>
          <w:sz w:val="20"/>
          <w:szCs w:val="20"/>
          <w:color w:val="auto"/>
        </w:rPr>
      </w:pPr>
    </w:p>
    <w:p>
      <w:pPr>
        <w:ind w:right="40" w:firstLine="764"/>
        <w:spacing w:after="0" w:line="280" w:lineRule="auto"/>
        <w:rPr>
          <w:sz w:val="20"/>
          <w:szCs w:val="20"/>
          <w:color w:val="auto"/>
        </w:rPr>
      </w:pPr>
      <w:r>
        <w:rPr>
          <w:rFonts w:ascii="Arial" w:cs="Arial" w:eastAsia="Arial" w:hAnsi="Arial"/>
          <w:sz w:val="13"/>
          <w:szCs w:val="13"/>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52"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Third parties may assert that our employees or consultants have wrongfully used or disclosed confidential information or misappropriated trade secrets.</w:t>
      </w:r>
    </w:p>
    <w:p>
      <w:pPr>
        <w:spacing w:after="0" w:line="94" w:lineRule="exact"/>
        <w:rPr>
          <w:sz w:val="20"/>
          <w:szCs w:val="20"/>
          <w:color w:val="auto"/>
        </w:rPr>
      </w:pPr>
    </w:p>
    <w:p>
      <w:pPr>
        <w:ind w:firstLine="764"/>
        <w:spacing w:after="0" w:line="302" w:lineRule="auto"/>
        <w:rPr>
          <w:sz w:val="20"/>
          <w:szCs w:val="20"/>
          <w:color w:val="auto"/>
        </w:rPr>
      </w:pPr>
      <w:r>
        <w:rPr>
          <w:rFonts w:ascii="Arial" w:cs="Arial" w:eastAsia="Arial" w:hAnsi="Arial"/>
          <w:sz w:val="12"/>
          <w:szCs w:val="12"/>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42"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We may not be successful in obtaining or maintaining necessary rights to develop any future product candidates on acceptable terms.</w:t>
      </w:r>
    </w:p>
    <w:p>
      <w:pPr>
        <w:spacing w:after="0" w:line="94" w:lineRule="exact"/>
        <w:rPr>
          <w:sz w:val="20"/>
          <w:szCs w:val="20"/>
          <w:color w:val="auto"/>
        </w:rPr>
      </w:pPr>
    </w:p>
    <w:p>
      <w:pPr>
        <w:ind w:right="160" w:firstLine="764"/>
        <w:spacing w:after="0" w:line="281" w:lineRule="auto"/>
        <w:rPr>
          <w:sz w:val="20"/>
          <w:szCs w:val="20"/>
          <w:color w:val="auto"/>
        </w:rPr>
      </w:pPr>
      <w:r>
        <w:rPr>
          <w:rFonts w:ascii="Arial" w:cs="Arial" w:eastAsia="Arial" w:hAnsi="Arial"/>
          <w:sz w:val="14"/>
          <w:szCs w:val="14"/>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47" w:lineRule="exact"/>
        <w:rPr>
          <w:sz w:val="20"/>
          <w:szCs w:val="20"/>
          <w:color w:val="auto"/>
        </w:rPr>
      </w:pPr>
    </w:p>
    <w:p>
      <w:pPr>
        <w:ind w:right="100" w:firstLine="764"/>
        <w:spacing w:after="0" w:line="257" w:lineRule="auto"/>
        <w:rPr>
          <w:sz w:val="20"/>
          <w:szCs w:val="20"/>
          <w:color w:val="auto"/>
        </w:rPr>
      </w:pPr>
      <w:r>
        <w:rPr>
          <w:rFonts w:ascii="Arial" w:cs="Arial" w:eastAsia="Arial" w:hAnsi="Arial"/>
          <w:sz w:val="14"/>
          <w:szCs w:val="14"/>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firstLine="764"/>
        <w:spacing w:after="0" w:line="260" w:lineRule="auto"/>
        <w:rPr>
          <w:sz w:val="20"/>
          <w:szCs w:val="20"/>
          <w:color w:val="auto"/>
        </w:rPr>
      </w:pPr>
      <w:r>
        <w:rPr>
          <w:rFonts w:ascii="Arial" w:cs="Arial" w:eastAsia="Arial" w:hAnsi="Arial"/>
          <w:sz w:val="14"/>
          <w:szCs w:val="14"/>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62" w:lineRule="exact"/>
        <w:rPr>
          <w:sz w:val="20"/>
          <w:szCs w:val="20"/>
          <w:color w:val="auto"/>
        </w:rPr>
      </w:pPr>
    </w:p>
    <w:p>
      <w:pPr>
        <w:jc w:val="both"/>
        <w:ind w:right="20" w:firstLine="764"/>
        <w:spacing w:after="0" w:line="319" w:lineRule="auto"/>
        <w:rPr>
          <w:sz w:val="20"/>
          <w:szCs w:val="20"/>
          <w:color w:val="auto"/>
        </w:rPr>
      </w:pPr>
      <w:r>
        <w:rPr>
          <w:rFonts w:ascii="Arial" w:cs="Arial" w:eastAsia="Arial" w:hAnsi="Arial"/>
          <w:sz w:val="12"/>
          <w:szCs w:val="12"/>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30" w:lineRule="exact"/>
        <w:rPr>
          <w:sz w:val="20"/>
          <w:szCs w:val="20"/>
          <w:color w:val="auto"/>
        </w:rPr>
      </w:pPr>
    </w:p>
    <w:p>
      <w:pPr>
        <w:ind w:left="760"/>
        <w:spacing w:after="0"/>
        <w:rPr>
          <w:sz w:val="20"/>
          <w:szCs w:val="20"/>
          <w:color w:val="auto"/>
        </w:rPr>
      </w:pPr>
      <w:r>
        <w:rPr>
          <w:rFonts w:ascii="Arial" w:cs="Arial" w:eastAsia="Arial" w:hAnsi="Arial"/>
          <w:sz w:val="13"/>
          <w:szCs w:val="13"/>
          <w:b w:val="1"/>
          <w:bCs w:val="1"/>
          <w:i w:val="1"/>
          <w:iCs w:val="1"/>
          <w:color w:val="auto"/>
        </w:rPr>
        <w:t>We may be involved in lawsuits to protect or enforce our patents or the patents of our licensors, which could be expensive, time-consuming and unsuccessful.</w:t>
      </w:r>
    </w:p>
    <w:p>
      <w:pPr>
        <w:spacing w:after="0" w:line="105" w:lineRule="exact"/>
        <w:rPr>
          <w:sz w:val="20"/>
          <w:szCs w:val="20"/>
          <w:color w:val="auto"/>
        </w:rPr>
      </w:pPr>
    </w:p>
    <w:p>
      <w:pPr>
        <w:ind w:right="120" w:firstLine="764"/>
        <w:spacing w:after="0" w:line="284" w:lineRule="auto"/>
        <w:rPr>
          <w:sz w:val="20"/>
          <w:szCs w:val="20"/>
          <w:color w:val="auto"/>
        </w:rPr>
      </w:pPr>
      <w:r>
        <w:rPr>
          <w:rFonts w:ascii="Arial" w:cs="Arial" w:eastAsia="Arial" w:hAnsi="Arial"/>
          <w:sz w:val="13"/>
          <w:szCs w:val="13"/>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49" w:lineRule="exact"/>
        <w:rPr>
          <w:sz w:val="20"/>
          <w:szCs w:val="20"/>
          <w:color w:val="auto"/>
        </w:rPr>
      </w:pPr>
    </w:p>
    <w:p>
      <w:pPr>
        <w:ind w:right="180" w:firstLine="764"/>
        <w:spacing w:after="0" w:line="267" w:lineRule="auto"/>
        <w:rPr>
          <w:sz w:val="20"/>
          <w:szCs w:val="20"/>
          <w:color w:val="auto"/>
        </w:rPr>
      </w:pPr>
      <w:r>
        <w:rPr>
          <w:rFonts w:ascii="Arial" w:cs="Arial" w:eastAsia="Arial" w:hAnsi="Arial"/>
          <w:sz w:val="14"/>
          <w:szCs w:val="14"/>
          <w:color w:val="auto"/>
        </w:rPr>
        <w:t>We may choose to challenge the patentability of claims in a third-party’s U.S. patent by requesting that the USPTO review the patent claims in an ex-parte re-examination, inter partes review or post-grant review proceedings. These proceedings are expensive and may consume our time or other resources. We may choose to challenge a third-party’s patent in patent opposition proceedings in the European Patent Office, or EPO, or other foreign patent office.</w:t>
      </w:r>
    </w:p>
    <w:p>
      <w:pPr>
        <w:spacing w:after="0" w:line="57" w:lineRule="exact"/>
        <w:rPr>
          <w:sz w:val="20"/>
          <w:szCs w:val="20"/>
          <w:color w:val="auto"/>
        </w:rPr>
      </w:pPr>
    </w:p>
    <w:p>
      <w:pPr>
        <w:ind w:right="200" w:firstLine="764"/>
        <w:spacing w:after="0" w:line="281" w:lineRule="auto"/>
        <w:rPr>
          <w:sz w:val="20"/>
          <w:szCs w:val="20"/>
          <w:color w:val="auto"/>
        </w:rPr>
      </w:pPr>
      <w:r>
        <w:rPr>
          <w:rFonts w:ascii="Arial" w:cs="Arial" w:eastAsia="Arial" w:hAnsi="Arial"/>
          <w:sz w:val="14"/>
          <w:szCs w:val="14"/>
          <w:color w:val="auto"/>
        </w:rPr>
        <w:t>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47" w:lineRule="exact"/>
        <w:rPr>
          <w:sz w:val="20"/>
          <w:szCs w:val="20"/>
          <w:color w:val="auto"/>
        </w:rPr>
      </w:pPr>
    </w:p>
    <w:p>
      <w:pPr>
        <w:ind w:right="60" w:firstLine="764"/>
        <w:spacing w:after="0" w:line="279" w:lineRule="auto"/>
        <w:rPr>
          <w:sz w:val="20"/>
          <w:szCs w:val="20"/>
          <w:color w:val="auto"/>
        </w:rPr>
      </w:pPr>
      <w:r>
        <w:rPr>
          <w:rFonts w:ascii="Arial" w:cs="Arial" w:eastAsia="Arial" w:hAnsi="Arial"/>
          <w:sz w:val="13"/>
          <w:szCs w:val="13"/>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53" w:lineRule="exact"/>
        <w:rPr>
          <w:sz w:val="20"/>
          <w:szCs w:val="20"/>
          <w:color w:val="auto"/>
        </w:rPr>
      </w:pPr>
    </w:p>
    <w:p>
      <w:pPr>
        <w:ind w:right="80" w:firstLine="764"/>
        <w:spacing w:after="0" w:line="282" w:lineRule="auto"/>
        <w:rPr>
          <w:sz w:val="20"/>
          <w:szCs w:val="20"/>
          <w:color w:val="auto"/>
        </w:rPr>
      </w:pPr>
      <w:r>
        <w:rPr>
          <w:rFonts w:ascii="Arial" w:cs="Arial" w:eastAsia="Arial" w:hAnsi="Arial"/>
          <w:sz w:val="13"/>
          <w:szCs w:val="13"/>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0" w:firstLine="764"/>
        <w:spacing w:after="0" w:line="267"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57" w:lineRule="exact"/>
        <w:rPr>
          <w:sz w:val="20"/>
          <w:szCs w:val="20"/>
          <w:color w:val="auto"/>
        </w:rPr>
      </w:pPr>
    </w:p>
    <w:p>
      <w:pPr>
        <w:ind w:right="620" w:firstLine="764"/>
        <w:spacing w:after="0" w:line="321" w:lineRule="auto"/>
        <w:rPr>
          <w:sz w:val="20"/>
          <w:szCs w:val="20"/>
          <w:color w:val="auto"/>
        </w:rPr>
      </w:pPr>
      <w:r>
        <w:rPr>
          <w:rFonts w:ascii="Arial" w:cs="Arial" w:eastAsia="Arial" w:hAnsi="Arial"/>
          <w:sz w:val="13"/>
          <w:szCs w:val="13"/>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4" w:lineRule="exact"/>
        <w:rPr>
          <w:sz w:val="20"/>
          <w:szCs w:val="20"/>
          <w:color w:val="auto"/>
        </w:rPr>
      </w:pPr>
    </w:p>
    <w:p>
      <w:pPr>
        <w:ind w:firstLine="764"/>
        <w:spacing w:after="0" w:line="280" w:lineRule="auto"/>
        <w:rPr>
          <w:sz w:val="20"/>
          <w:szCs w:val="20"/>
          <w:color w:val="auto"/>
        </w:rPr>
      </w:pPr>
      <w:r>
        <w:rPr>
          <w:rFonts w:ascii="Arial" w:cs="Arial" w:eastAsia="Arial" w:hAnsi="Arial"/>
          <w:sz w:val="13"/>
          <w:szCs w:val="13"/>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52"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Any patents covering our product candidates could be found invalid or unenforceable if challenged in court or the USPTO (or foreign patent offices).</w:t>
      </w:r>
    </w:p>
    <w:p>
      <w:pPr>
        <w:spacing w:after="0" w:line="94" w:lineRule="exact"/>
        <w:rPr>
          <w:sz w:val="20"/>
          <w:szCs w:val="20"/>
          <w:color w:val="auto"/>
        </w:rPr>
      </w:pPr>
    </w:p>
    <w:p>
      <w:pPr>
        <w:ind w:right="20" w:firstLine="764"/>
        <w:spacing w:after="0" w:line="278" w:lineRule="auto"/>
        <w:rPr>
          <w:sz w:val="20"/>
          <w:szCs w:val="20"/>
          <w:color w:val="auto"/>
        </w:rPr>
      </w:pPr>
      <w:r>
        <w:rPr>
          <w:rFonts w:ascii="Arial" w:cs="Arial" w:eastAsia="Arial" w:hAnsi="Arial"/>
          <w:sz w:val="13"/>
          <w:szCs w:val="13"/>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54" w:lineRule="exact"/>
        <w:rPr>
          <w:sz w:val="20"/>
          <w:szCs w:val="20"/>
          <w:color w:val="auto"/>
        </w:rPr>
      </w:pPr>
    </w:p>
    <w:p>
      <w:pPr>
        <w:ind w:right="20" w:firstLine="764"/>
        <w:spacing w:after="0" w:line="260" w:lineRule="auto"/>
        <w:rPr>
          <w:sz w:val="20"/>
          <w:szCs w:val="20"/>
          <w:color w:val="auto"/>
        </w:rPr>
      </w:pPr>
      <w:r>
        <w:rPr>
          <w:rFonts w:ascii="Arial" w:cs="Arial" w:eastAsia="Arial" w:hAnsi="Arial"/>
          <w:sz w:val="14"/>
          <w:szCs w:val="14"/>
          <w:color w:val="auto"/>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2044, without taking into account any possible patent term adjustments or extensions. However, we cannot be assured that the USPTO, EPO or other relevant foreign patent offices will grant any of these patent applications.</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3"/>
          <w:szCs w:val="13"/>
          <w:b w:val="1"/>
          <w:bCs w:val="1"/>
          <w:i w:val="1"/>
          <w:iCs w:val="1"/>
          <w:color w:val="auto"/>
        </w:rPr>
        <w:t>Changes in patent law in the U.S. and in foreign jurisdictions could diminish the value of patents in general, thereby impairing our ability to protect our products.</w:t>
      </w:r>
    </w:p>
    <w:p>
      <w:pPr>
        <w:spacing w:after="0" w:line="105" w:lineRule="exact"/>
        <w:rPr>
          <w:sz w:val="20"/>
          <w:szCs w:val="20"/>
          <w:color w:val="auto"/>
        </w:rPr>
      </w:pPr>
    </w:p>
    <w:p>
      <w:pPr>
        <w:ind w:firstLine="764"/>
        <w:spacing w:after="0" w:line="257" w:lineRule="auto"/>
        <w:rPr>
          <w:sz w:val="20"/>
          <w:szCs w:val="20"/>
          <w:color w:val="auto"/>
        </w:rPr>
      </w:pPr>
      <w:r>
        <w:rPr>
          <w:rFonts w:ascii="Arial" w:cs="Arial" w:eastAsia="Arial" w:hAnsi="Arial"/>
          <w:sz w:val="14"/>
          <w:szCs w:val="14"/>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Leahy-Smith America Invents Act, or the America Invents Act, enacted in September 2011, the United States transitioned to a first inventor to file system.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auto"/>
        </w:rPr>
        <w:t>licensors were the first to either (i) file any patent application related to our product candidates or (ii) invent any of the inventions claimed in our or our licensor’s patents or patent applications.</w:t>
      </w:r>
    </w:p>
    <w:p>
      <w:pPr>
        <w:spacing w:after="0" w:line="105" w:lineRule="exact"/>
        <w:rPr>
          <w:sz w:val="20"/>
          <w:szCs w:val="20"/>
          <w:color w:val="auto"/>
        </w:rPr>
      </w:pPr>
    </w:p>
    <w:p>
      <w:pPr>
        <w:ind w:firstLine="764"/>
        <w:spacing w:after="0" w:line="272" w:lineRule="auto"/>
        <w:rPr>
          <w:sz w:val="20"/>
          <w:szCs w:val="20"/>
          <w:color w:val="auto"/>
        </w:rPr>
      </w:pPr>
      <w:r>
        <w:rPr>
          <w:rFonts w:ascii="Arial" w:cs="Arial" w:eastAsia="Arial" w:hAnsi="Arial"/>
          <w:sz w:val="13"/>
          <w:szCs w:val="13"/>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4" w:lineRule="exact"/>
        <w:rPr>
          <w:sz w:val="20"/>
          <w:szCs w:val="20"/>
          <w:color w:val="auto"/>
        </w:rPr>
      </w:pPr>
    </w:p>
    <w:p>
      <w:pPr>
        <w:ind w:right="200" w:firstLine="764"/>
        <w:spacing w:after="0" w:line="239" w:lineRule="auto"/>
        <w:rPr>
          <w:sz w:val="20"/>
          <w:szCs w:val="20"/>
          <w:color w:val="auto"/>
        </w:rPr>
      </w:pPr>
      <w:r>
        <w:rPr>
          <w:rFonts w:ascii="Arial" w:cs="Arial" w:eastAsia="Arial" w:hAnsi="Arial"/>
          <w:sz w:val="14"/>
          <w:szCs w:val="14"/>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the USPTO, and courts or legislative bodies in foreign jurisdictions, the laws and regulations governing patents could change in unpredictable ways that could have a material adverse effect on our existing patent portfolio and our ability to protect and enforce our intellectual property in the future.</w:t>
      </w:r>
    </w:p>
    <w:p>
      <w:pPr>
        <w:spacing w:after="0" w:line="78"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We have limited foreign intellectual property rights and may not be able to protect our intellectual property rights throughout the world.</w:t>
      </w:r>
    </w:p>
    <w:p>
      <w:pPr>
        <w:spacing w:after="0" w:line="94" w:lineRule="exact"/>
        <w:rPr>
          <w:sz w:val="20"/>
          <w:szCs w:val="20"/>
          <w:color w:val="auto"/>
        </w:rPr>
      </w:pPr>
    </w:p>
    <w:p>
      <w:pPr>
        <w:ind w:right="60" w:firstLine="764"/>
        <w:spacing w:after="0" w:line="280" w:lineRule="auto"/>
        <w:rPr>
          <w:sz w:val="20"/>
          <w:szCs w:val="20"/>
          <w:color w:val="auto"/>
        </w:rPr>
      </w:pPr>
      <w:r>
        <w:rPr>
          <w:rFonts w:ascii="Arial" w:cs="Arial" w:eastAsia="Arial" w:hAnsi="Arial"/>
          <w:sz w:val="13"/>
          <w:szCs w:val="13"/>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52" w:lineRule="exact"/>
        <w:rPr>
          <w:sz w:val="20"/>
          <w:szCs w:val="20"/>
          <w:color w:val="auto"/>
        </w:rPr>
      </w:pPr>
    </w:p>
    <w:p>
      <w:pPr>
        <w:ind w:right="40" w:firstLine="764"/>
        <w:spacing w:after="0" w:line="279" w:lineRule="auto"/>
        <w:rPr>
          <w:sz w:val="20"/>
          <w:szCs w:val="20"/>
          <w:color w:val="auto"/>
        </w:rPr>
      </w:pPr>
      <w:r>
        <w:rPr>
          <w:rFonts w:ascii="Arial" w:cs="Arial" w:eastAsia="Arial" w:hAnsi="Arial"/>
          <w:sz w:val="13"/>
          <w:szCs w:val="13"/>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53"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Patent terms may be inadequate to protect our competitive position on our product candidates for an adequate amount of time.</w:t>
      </w:r>
    </w:p>
    <w:p>
      <w:pPr>
        <w:spacing w:after="0" w:line="94" w:lineRule="exact"/>
        <w:rPr>
          <w:sz w:val="20"/>
          <w:szCs w:val="20"/>
          <w:color w:val="auto"/>
        </w:rPr>
      </w:pPr>
    </w:p>
    <w:p>
      <w:pPr>
        <w:ind w:right="60" w:firstLine="764"/>
        <w:spacing w:after="0" w:line="262" w:lineRule="auto"/>
        <w:rPr>
          <w:sz w:val="20"/>
          <w:szCs w:val="20"/>
          <w:color w:val="auto"/>
        </w:rPr>
      </w:pPr>
      <w:r>
        <w:rPr>
          <w:rFonts w:ascii="Arial" w:cs="Arial" w:eastAsia="Arial" w:hAnsi="Arial"/>
          <w:sz w:val="14"/>
          <w:szCs w:val="14"/>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color w:val="auto"/>
        </w:rPr>
        <w:t>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47" w:lineRule="exact"/>
        <w:rPr>
          <w:sz w:val="20"/>
          <w:szCs w:val="20"/>
          <w:color w:val="auto"/>
        </w:rPr>
      </w:pPr>
    </w:p>
    <w:p>
      <w:pPr>
        <w:ind w:right="300" w:firstLine="764"/>
        <w:spacing w:after="0" w:line="281" w:lineRule="auto"/>
        <w:rPr>
          <w:sz w:val="20"/>
          <w:szCs w:val="20"/>
          <w:color w:val="auto"/>
        </w:rPr>
      </w:pPr>
      <w:r>
        <w:rPr>
          <w:rFonts w:ascii="Arial" w:cs="Arial" w:eastAsia="Arial" w:hAnsi="Arial"/>
          <w:sz w:val="14"/>
          <w:szCs w:val="14"/>
          <w:color w:val="auto"/>
        </w:rPr>
        <w:t>At the EU level, the Court of Justice of the European Union, or CJEU, has recently narrowed the availability of patent term extension for second medical use therefore affecting the scope of patent protection available.</w:t>
      </w:r>
    </w:p>
    <w:p>
      <w:pPr>
        <w:spacing w:after="0" w:line="47"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If we do not obtain patent term extension and data exclusivity for any product candidates we may develop, our business may be materially harmed.</w:t>
      </w:r>
    </w:p>
    <w:p>
      <w:pPr>
        <w:spacing w:after="0" w:line="94" w:lineRule="exact"/>
        <w:rPr>
          <w:sz w:val="20"/>
          <w:szCs w:val="20"/>
          <w:color w:val="auto"/>
        </w:rPr>
      </w:pPr>
    </w:p>
    <w:p>
      <w:pPr>
        <w:ind w:firstLine="764"/>
        <w:spacing w:after="0" w:line="277" w:lineRule="auto"/>
        <w:rPr>
          <w:sz w:val="20"/>
          <w:szCs w:val="20"/>
          <w:color w:val="auto"/>
        </w:rPr>
      </w:pPr>
      <w:r>
        <w:rPr>
          <w:rFonts w:ascii="Arial" w:cs="Arial" w:eastAsia="Arial" w:hAnsi="Arial"/>
          <w:sz w:val="13"/>
          <w:szCs w:val="13"/>
          <w:color w:val="auto"/>
        </w:rPr>
        <w:t>Depending upon the timing, duration, and specifics of any FDA or foreign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within the EU, regulatory protections afforded to medicinal products such as data exclusivity, marketing protection, market exclusivity for orphan indications and pediatric extensions are currently under review and is likely to be curtailed in future years. If we are unable to obtain patent term extension or the term of any such extension is less than we request, or if data exclusivity or other regulatory protections are reduced, our competitors may obtain approval of competing products following our patent expiration, and our business, financial condition, results of operations, and prospects could be materially harmed.</w:t>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2"/>
          <w:szCs w:val="12"/>
          <w:b w:val="1"/>
          <w:bCs w:val="1"/>
          <w:i w:val="1"/>
          <w:iCs w:val="1"/>
          <w:color w:val="auto"/>
        </w:rPr>
        <w:t>If our trademarks and trade names are not adequately protected, then we may not be able to build name recognition in our markets of interest and our business may be adversely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affected.</w:t>
      </w:r>
    </w:p>
    <w:p>
      <w:pPr>
        <w:spacing w:after="0" w:line="83" w:lineRule="exact"/>
        <w:rPr>
          <w:sz w:val="20"/>
          <w:szCs w:val="20"/>
          <w:color w:val="auto"/>
        </w:rPr>
      </w:pPr>
    </w:p>
    <w:p>
      <w:pPr>
        <w:jc w:val="both"/>
        <w:ind w:right="20" w:firstLine="764"/>
        <w:spacing w:after="0" w:line="297" w:lineRule="auto"/>
        <w:rPr>
          <w:sz w:val="20"/>
          <w:szCs w:val="20"/>
          <w:color w:val="auto"/>
        </w:rPr>
      </w:pPr>
      <w:r>
        <w:rPr>
          <w:rFonts w:ascii="Arial" w:cs="Arial" w:eastAsia="Arial" w:hAnsi="Arial"/>
          <w:sz w:val="13"/>
          <w:szCs w:val="13"/>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Intellectual property rights do not necessarily address all potential threats to our competitive advantage.</w:t>
      </w:r>
    </w:p>
    <w:p>
      <w:pPr>
        <w:spacing w:after="0" w:line="19" w:lineRule="exact"/>
        <w:rPr>
          <w:sz w:val="20"/>
          <w:szCs w:val="20"/>
          <w:color w:val="auto"/>
        </w:rPr>
      </w:pPr>
    </w:p>
    <w:p>
      <w:pPr>
        <w:ind w:right="320" w:firstLine="341"/>
        <w:spacing w:after="0" w:line="250" w:lineRule="auto"/>
        <w:rPr>
          <w:sz w:val="20"/>
          <w:szCs w:val="20"/>
          <w:color w:val="auto"/>
        </w:rPr>
      </w:pPr>
      <w:r>
        <w:rPr>
          <w:rFonts w:ascii="Arial" w:cs="Arial" w:eastAsia="Arial" w:hAnsi="Arial"/>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96" w:lineRule="exact"/>
        <w:rPr>
          <w:sz w:val="20"/>
          <w:szCs w:val="20"/>
          <w:color w:val="auto"/>
        </w:rPr>
      </w:pPr>
    </w:p>
    <w:p>
      <w:pPr>
        <w:ind w:left="1780" w:hanging="879"/>
        <w:spacing w:after="0"/>
        <w:tabs>
          <w:tab w:leader="none" w:pos="1780" w:val="left"/>
        </w:tabs>
        <w:numPr>
          <w:ilvl w:val="0"/>
          <w:numId w:val="35"/>
        </w:numPr>
        <w:rPr>
          <w:rFonts w:ascii="Arial" w:cs="Arial" w:eastAsia="Arial" w:hAnsi="Arial"/>
          <w:sz w:val="16"/>
          <w:szCs w:val="16"/>
          <w:color w:val="auto"/>
        </w:rPr>
      </w:pPr>
      <w:r>
        <w:rPr>
          <w:rFonts w:ascii="Arial" w:cs="Arial" w:eastAsia="Arial" w:hAnsi="Arial"/>
          <w:sz w:val="13"/>
          <w:szCs w:val="13"/>
          <w:color w:val="auto"/>
        </w:rPr>
        <w:t>others may be able to make drug candidates that are similar to ours but that are not covered by the claims of the patents that we own or have exclusively licensed;</w:t>
      </w:r>
    </w:p>
    <w:p>
      <w:pPr>
        <w:spacing w:after="0" w:line="74" w:lineRule="exact"/>
        <w:rPr>
          <w:rFonts w:ascii="Arial" w:cs="Arial" w:eastAsia="Arial" w:hAnsi="Arial"/>
          <w:sz w:val="16"/>
          <w:szCs w:val="16"/>
          <w:color w:val="auto"/>
        </w:rPr>
      </w:pPr>
    </w:p>
    <w:p>
      <w:pPr>
        <w:ind w:left="1800" w:right="40" w:hanging="899"/>
        <w:spacing w:after="0" w:line="281" w:lineRule="auto"/>
        <w:tabs>
          <w:tab w:leader="none" w:pos="1796"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or our licensors or future collaborators might not have been the first to make the inventions covered by the issued patent or pending patent application that we own or have exclusively licensed;</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or our licensors or future collaborators might not have been the first to file patent applications covering certain of our inventions;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others may independently develop similar or alternative technologies or duplicate any of our technologies without infringing our intellectual property rights;</w:t>
      </w:r>
    </w:p>
    <w:p>
      <w:pPr>
        <w:spacing w:after="0" w:line="105" w:lineRule="exact"/>
        <w:rPr>
          <w:rFonts w:ascii="Arial" w:cs="Arial" w:eastAsia="Arial" w:hAnsi="Arial"/>
          <w:sz w:val="13"/>
          <w:szCs w:val="13"/>
          <w:color w:val="auto"/>
        </w:rPr>
      </w:pPr>
    </w:p>
    <w:p>
      <w:pPr>
        <w:ind w:left="1780" w:hanging="879"/>
        <w:spacing w:after="0"/>
        <w:tabs>
          <w:tab w:leader="none" w:pos="1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it is possible that our pending patent applications will not lead to issued patents;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issued patents that we own or have exclusively licensed may be held invalid or unenforceable, as a result of legal challenges by our competitors;</w:t>
      </w:r>
    </w:p>
    <w:p>
      <w:pPr>
        <w:spacing w:after="0" w:line="93" w:lineRule="exact"/>
        <w:rPr>
          <w:rFonts w:ascii="Arial" w:cs="Arial" w:eastAsia="Arial" w:hAnsi="Arial"/>
          <w:sz w:val="14"/>
          <w:szCs w:val="14"/>
          <w:color w:val="auto"/>
        </w:rPr>
      </w:pPr>
    </w:p>
    <w:p>
      <w:pPr>
        <w:ind w:left="1800" w:right="240" w:hanging="899"/>
        <w:spacing w:after="0" w:line="281" w:lineRule="auto"/>
        <w:tabs>
          <w:tab w:leader="none" w:pos="1796"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may not develop additional proprietary technologies that are patentable;</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1800" w:right="200" w:hanging="899"/>
        <w:spacing w:after="0" w:line="321" w:lineRule="auto"/>
        <w:tabs>
          <w:tab w:leader="none" w:pos="1796" w:val="left"/>
        </w:tabs>
        <w:numPr>
          <w:ilvl w:val="0"/>
          <w:numId w:val="36"/>
        </w:numPr>
        <w:rPr>
          <w:rFonts w:ascii="Arial" w:cs="Arial" w:eastAsia="Arial" w:hAnsi="Arial"/>
          <w:sz w:val="13"/>
          <w:szCs w:val="13"/>
          <w:color w:val="auto"/>
        </w:rPr>
      </w:pPr>
      <w:r>
        <w:rPr>
          <w:rFonts w:ascii="Arial" w:cs="Arial" w:eastAsia="Arial" w:hAnsi="Arial"/>
          <w:sz w:val="13"/>
          <w:szCs w:val="13"/>
          <w:color w:val="auto"/>
        </w:rPr>
        <w:t>we cannot predict the scope of protection of any patent issuing based on our patent applications, including whether the patent applications that we own or in-license will result in issued patents with claims that cover our drug candidates, drug products or uses thereof in the United States or in other foreign countries;</w:t>
      </w:r>
    </w:p>
    <w:p>
      <w:pPr>
        <w:spacing w:after="0" w:line="24" w:lineRule="exact"/>
        <w:rPr>
          <w:rFonts w:ascii="Arial" w:cs="Arial" w:eastAsia="Arial" w:hAnsi="Arial"/>
          <w:sz w:val="13"/>
          <w:szCs w:val="13"/>
          <w:color w:val="auto"/>
        </w:rPr>
      </w:pPr>
    </w:p>
    <w:p>
      <w:pPr>
        <w:ind w:left="1800" w:right="80" w:hanging="899"/>
        <w:spacing w:after="0" w:line="281" w:lineRule="auto"/>
        <w:tabs>
          <w:tab w:leader="none" w:pos="179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claims of any patent issuing based on our patent applications may not provide protection against competitors or any competitive advantages, or may be challenged by third parties;</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if enforced, a court may not hold that our patents are valid, enforceable and/or infringed;</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may need to initiate litigation or administrative proceedings to enforce and/or defend our patent rights which will be costly whether we win or lose;</w:t>
      </w:r>
    </w:p>
    <w:p>
      <w:pPr>
        <w:spacing w:after="0" w:line="93" w:lineRule="exact"/>
        <w:rPr>
          <w:rFonts w:ascii="Arial" w:cs="Arial" w:eastAsia="Arial" w:hAnsi="Arial"/>
          <w:sz w:val="14"/>
          <w:szCs w:val="14"/>
          <w:color w:val="auto"/>
        </w:rPr>
      </w:pPr>
    </w:p>
    <w:p>
      <w:pPr>
        <w:ind w:left="1800" w:right="360" w:hanging="899"/>
        <w:spacing w:after="0" w:line="281" w:lineRule="auto"/>
        <w:tabs>
          <w:tab w:leader="none" w:pos="1796"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may choose not to file a patent application in order to maintain certain trade secrets or know-how, and a third party may subsequently file a patent application covering such intellectual property;</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may fail to adequately protect and police our trademarks and trade secrets;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other parties may independently develop the technology covered by our trade secrets; and</w:t>
      </w:r>
    </w:p>
    <w:p>
      <w:pPr>
        <w:spacing w:after="0" w:line="93" w:lineRule="exact"/>
        <w:rPr>
          <w:rFonts w:ascii="Arial" w:cs="Arial" w:eastAsia="Arial" w:hAnsi="Arial"/>
          <w:sz w:val="14"/>
          <w:szCs w:val="14"/>
          <w:color w:val="auto"/>
        </w:rPr>
      </w:pPr>
    </w:p>
    <w:p>
      <w:pPr>
        <w:ind w:left="1800" w:right="60" w:hanging="899"/>
        <w:spacing w:after="0" w:line="281" w:lineRule="auto"/>
        <w:tabs>
          <w:tab w:leader="none" w:pos="179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patents of others may have an adverse effect on our business, including if others obtain patents claiming subject matter similar to or improving that covered by our patents and patent applications.</w:t>
      </w:r>
    </w:p>
    <w:p>
      <w:pPr>
        <w:spacing w:after="0" w:line="47" w:lineRule="exact"/>
        <w:rPr>
          <w:sz w:val="20"/>
          <w:szCs w:val="20"/>
          <w:color w:val="auto"/>
        </w:rPr>
      </w:pPr>
    </w:p>
    <w:p>
      <w:pPr>
        <w:ind w:left="760"/>
        <w:spacing w:after="0"/>
        <w:rPr>
          <w:sz w:val="20"/>
          <w:szCs w:val="20"/>
          <w:color w:val="auto"/>
        </w:rPr>
      </w:pPr>
      <w:r>
        <w:rPr>
          <w:rFonts w:ascii="Arial" w:cs="Arial" w:eastAsia="Arial" w:hAnsi="Arial"/>
          <w:sz w:val="14"/>
          <w:szCs w:val="14"/>
          <w:color w:val="auto"/>
        </w:rPr>
        <w:t>Should any of these events occur, they could significantly harm our business, financial condition, results of operations, and prospects.</w:t>
      </w:r>
    </w:p>
    <w:p>
      <w:pPr>
        <w:spacing w:after="0" w:line="365"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Risks Related to Our Reliance on Third Parties</w:t>
      </w:r>
    </w:p>
    <w:p>
      <w:pPr>
        <w:spacing w:after="0" w:line="98" w:lineRule="exact"/>
        <w:rPr>
          <w:sz w:val="20"/>
          <w:szCs w:val="20"/>
          <w:color w:val="auto"/>
        </w:rPr>
      </w:pPr>
    </w:p>
    <w:p>
      <w:pPr>
        <w:ind w:right="220" w:firstLine="764"/>
        <w:spacing w:after="0" w:line="262" w:lineRule="auto"/>
        <w:rPr>
          <w:sz w:val="20"/>
          <w:szCs w:val="20"/>
          <w:color w:val="auto"/>
        </w:rPr>
      </w:pPr>
      <w:r>
        <w:rPr>
          <w:rFonts w:ascii="Arial" w:cs="Arial" w:eastAsia="Arial" w:hAnsi="Arial"/>
          <w:sz w:val="14"/>
          <w:szCs w:val="14"/>
          <w:b w:val="1"/>
          <w:bCs w:val="1"/>
          <w:i w:val="1"/>
          <w:iCs w:val="1"/>
          <w:color w:val="auto"/>
        </w:rPr>
        <w:t>We have entered into a collaboration agreement with Novartis for the development of PLN-1474, and may in the future seek to enter into collaborations with third parties for the development and commercialization of other product candidates. If we fail to enter into such collaborations, or if our collaborations are not successful, we may be unable to continue development of such product candidates, we would not receive any contemplated milestone payments or royalties, and we could fail to capitalize on the market potential of such product candidates.</w:t>
      </w:r>
    </w:p>
    <w:p>
      <w:pPr>
        <w:spacing w:after="0" w:line="61" w:lineRule="exact"/>
        <w:rPr>
          <w:sz w:val="20"/>
          <w:szCs w:val="20"/>
          <w:color w:val="auto"/>
        </w:rPr>
      </w:pPr>
    </w:p>
    <w:p>
      <w:pPr>
        <w:ind w:firstLine="764"/>
        <w:spacing w:after="0" w:line="257" w:lineRule="auto"/>
        <w:rPr>
          <w:sz w:val="20"/>
          <w:szCs w:val="20"/>
          <w:color w:val="auto"/>
        </w:rPr>
      </w:pPr>
      <w:r>
        <w:rPr>
          <w:rFonts w:ascii="Arial" w:cs="Arial" w:eastAsia="Arial" w:hAnsi="Arial"/>
          <w:sz w:val="14"/>
          <w:szCs w:val="14"/>
          <w:color w:val="auto"/>
        </w:rPr>
        <w:t>In October 2019, we entered into a license and collaboration agreement with Novartis for the development and commercialization of our then preclinical product candidate, PLN-1474, and up to three integrin research targets. In December 2019, we received an upfront license payment of $50.0 million for the worldwide exclusive license to PLN-1474 and have subsequently earned $29.0 million of the $416.0 million developmental, regulatory and commercial milestones under the arrangement. In the second quarter of 2022 we recognized a $4.0 million target validation fee as Novartis exercised their right to opt-in to a research program and secured an exclusive license to compounds associated with an integrin reseach target. Pursuant to the Novartis Agreement, as amended, we expect to receive research and development funding totaling up to $20.0 million for PLN-1474 development services and funding of up to $18.4 million for optional research and development services on the integrin research targets. Substantially all of the services contemplated under the development plan and associated with integrin research targets had been completed as of December 31, 2022.</w:t>
      </w:r>
    </w:p>
    <w:p>
      <w:pPr>
        <w:spacing w:after="0" w:line="66" w:lineRule="exact"/>
        <w:rPr>
          <w:sz w:val="20"/>
          <w:szCs w:val="20"/>
          <w:color w:val="auto"/>
        </w:rPr>
      </w:pPr>
    </w:p>
    <w:p>
      <w:pPr>
        <w:ind w:right="60" w:firstLine="764"/>
        <w:spacing w:after="0" w:line="260" w:lineRule="auto"/>
        <w:rPr>
          <w:sz w:val="20"/>
          <w:szCs w:val="20"/>
          <w:color w:val="auto"/>
        </w:rPr>
      </w:pPr>
      <w:r>
        <w:rPr>
          <w:rFonts w:ascii="Arial" w:cs="Arial" w:eastAsia="Arial" w:hAnsi="Arial"/>
          <w:sz w:val="14"/>
          <w:szCs w:val="14"/>
          <w:color w:val="auto"/>
        </w:rPr>
        <w:t>As part of a broad strategic realignment, Novartis has discontinued clinical development in NASH and, as a result, discontinued development of PLN-1474. In February 2023, Novartis issued a termination notice for the collaboration and license agreement, and returned global rights to Pliant for PLN-1474. We may pursue additional collaborations to further clinical development of PLN-1474. Accordingly, we may become reliant upon the efforts and capabilities of others with respect to the advancement of this candidate. If we or our potential future collaborators are unable to successfully advance the development of our product candidates, including PLN-1474, or achieve milestones, revenue and cash resources from milestone payments under our collaboration agreements will be substantially less than expected.</w:t>
      </w:r>
    </w:p>
    <w:p>
      <w:pPr>
        <w:spacing w:after="0" w:line="62" w:lineRule="exact"/>
        <w:rPr>
          <w:sz w:val="20"/>
          <w:szCs w:val="20"/>
          <w:color w:val="auto"/>
        </w:rPr>
      </w:pPr>
    </w:p>
    <w:p>
      <w:pPr>
        <w:ind w:right="200" w:firstLine="764"/>
        <w:spacing w:after="0" w:line="297" w:lineRule="auto"/>
        <w:rPr>
          <w:sz w:val="20"/>
          <w:szCs w:val="20"/>
          <w:color w:val="auto"/>
        </w:rPr>
      </w:pPr>
      <w:r>
        <w:rPr>
          <w:rFonts w:ascii="Arial" w:cs="Arial" w:eastAsia="Arial" w:hAnsi="Arial"/>
          <w:sz w:val="13"/>
          <w:szCs w:val="13"/>
          <w:color w:val="auto"/>
        </w:rPr>
        <w:t>In addition, to the extent that any of our existing or future collaborators were to terminate a collaboration agreement, we may be forced to independently develop these product candidates, including funding preclinical or clinical trials, assuming marketing and distribution costs and defending intellectual property rights, or, in certain instances, abandon product candidates altogether, any of which could result in a change to our business plan and a material and adverse effect on our business, financial condition, results of operations and prospects.</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380" w:firstLine="764"/>
        <w:spacing w:after="0" w:line="368" w:lineRule="auto"/>
        <w:rPr>
          <w:sz w:val="20"/>
          <w:szCs w:val="20"/>
          <w:color w:val="auto"/>
        </w:rPr>
      </w:pPr>
      <w:r>
        <w:rPr>
          <w:rFonts w:ascii="Arial" w:cs="Arial" w:eastAsia="Arial" w:hAnsi="Arial"/>
          <w:sz w:val="12"/>
          <w:szCs w:val="12"/>
          <w:b w:val="1"/>
          <w:bCs w:val="1"/>
          <w:i w:val="1"/>
          <w:iCs w:val="1"/>
          <w:color w:val="auto"/>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any potential product candidates.</w:t>
      </w:r>
    </w:p>
    <w:p>
      <w:pPr>
        <w:spacing w:after="0" w:line="1" w:lineRule="exact"/>
        <w:rPr>
          <w:sz w:val="20"/>
          <w:szCs w:val="20"/>
          <w:color w:val="auto"/>
        </w:rPr>
      </w:pPr>
    </w:p>
    <w:p>
      <w:pPr>
        <w:ind w:right="720" w:firstLine="764"/>
        <w:spacing w:after="0" w:line="368" w:lineRule="auto"/>
        <w:rPr>
          <w:sz w:val="20"/>
          <w:szCs w:val="20"/>
          <w:color w:val="auto"/>
        </w:rPr>
      </w:pPr>
      <w:r>
        <w:rPr>
          <w:rFonts w:ascii="Arial" w:cs="Arial" w:eastAsia="Arial" w:hAnsi="Arial"/>
          <w:sz w:val="12"/>
          <w:szCs w:val="12"/>
          <w:color w:val="auto"/>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spacing w:after="0" w:line="1" w:lineRule="exact"/>
        <w:rPr>
          <w:sz w:val="20"/>
          <w:szCs w:val="20"/>
          <w:color w:val="auto"/>
        </w:rPr>
      </w:pPr>
    </w:p>
    <w:p>
      <w:pPr>
        <w:ind w:firstLine="764"/>
        <w:spacing w:after="0" w:line="279" w:lineRule="auto"/>
        <w:rPr>
          <w:sz w:val="20"/>
          <w:szCs w:val="20"/>
          <w:color w:val="auto"/>
        </w:rPr>
      </w:pPr>
      <w:r>
        <w:rPr>
          <w:rFonts w:ascii="Arial" w:cs="Arial" w:eastAsia="Arial" w:hAnsi="Arial"/>
          <w:sz w:val="13"/>
          <w:szCs w:val="13"/>
          <w:color w:val="auto"/>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spacing w:after="0" w:line="53" w:lineRule="exact"/>
        <w:rPr>
          <w:sz w:val="20"/>
          <w:szCs w:val="20"/>
          <w:color w:val="auto"/>
        </w:rPr>
      </w:pPr>
    </w:p>
    <w:p>
      <w:pPr>
        <w:ind w:firstLine="764"/>
        <w:spacing w:after="0" w:line="267" w:lineRule="auto"/>
        <w:rPr>
          <w:sz w:val="20"/>
          <w:szCs w:val="20"/>
          <w:color w:val="auto"/>
        </w:rPr>
      </w:pPr>
      <w:r>
        <w:rPr>
          <w:rFonts w:ascii="Arial" w:cs="Arial" w:eastAsia="Arial" w:hAnsi="Arial"/>
          <w:sz w:val="14"/>
          <w:szCs w:val="14"/>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57" w:lineRule="exact"/>
        <w:rPr>
          <w:sz w:val="20"/>
          <w:szCs w:val="20"/>
          <w:color w:val="auto"/>
        </w:rPr>
      </w:pPr>
    </w:p>
    <w:p>
      <w:pPr>
        <w:ind w:right="20" w:firstLine="764"/>
        <w:spacing w:after="0" w:line="279" w:lineRule="auto"/>
        <w:rPr>
          <w:sz w:val="20"/>
          <w:szCs w:val="20"/>
          <w:color w:val="auto"/>
        </w:rPr>
      </w:pPr>
      <w:r>
        <w:rPr>
          <w:rFonts w:ascii="Arial" w:cs="Arial" w:eastAsia="Arial" w:hAnsi="Arial"/>
          <w:sz w:val="13"/>
          <w:szCs w:val="13"/>
          <w:color w:val="auto"/>
        </w:rPr>
        <w:t>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the COVID-19 pandemic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53" w:lineRule="exact"/>
        <w:rPr>
          <w:sz w:val="20"/>
          <w:szCs w:val="20"/>
          <w:color w:val="auto"/>
        </w:rPr>
      </w:pPr>
    </w:p>
    <w:p>
      <w:pPr>
        <w:ind w:right="320" w:firstLine="764"/>
        <w:spacing w:after="0" w:line="281" w:lineRule="auto"/>
        <w:rPr>
          <w:sz w:val="20"/>
          <w:szCs w:val="20"/>
          <w:color w:val="auto"/>
        </w:rPr>
      </w:pPr>
      <w:r>
        <w:rPr>
          <w:rFonts w:ascii="Arial" w:cs="Arial" w:eastAsia="Arial" w:hAnsi="Arial"/>
          <w:sz w:val="14"/>
          <w:szCs w:val="14"/>
          <w:color w:val="auto"/>
        </w:rPr>
        <w:t>If any of our relationships with these third-party CROs or others terminate, we may not be able to enter into arrangements with alternative CROs or other third parties or to do so on commercially reasonable terms.</w:t>
      </w:r>
    </w:p>
    <w:p>
      <w:pPr>
        <w:spacing w:after="0" w:line="47" w:lineRule="exact"/>
        <w:rPr>
          <w:sz w:val="20"/>
          <w:szCs w:val="20"/>
          <w:color w:val="auto"/>
        </w:rPr>
      </w:pPr>
    </w:p>
    <w:p>
      <w:pPr>
        <w:ind w:right="180" w:firstLine="764"/>
        <w:spacing w:after="0" w:line="262" w:lineRule="auto"/>
        <w:rPr>
          <w:sz w:val="20"/>
          <w:szCs w:val="20"/>
          <w:color w:val="auto"/>
        </w:rPr>
      </w:pPr>
      <w:r>
        <w:rPr>
          <w:rFonts w:ascii="Arial" w:cs="Arial" w:eastAsia="Arial" w:hAnsi="Arial"/>
          <w:sz w:val="14"/>
          <w:szCs w:val="14"/>
          <w:color w:val="auto"/>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61" w:lineRule="exact"/>
        <w:rPr>
          <w:sz w:val="20"/>
          <w:szCs w:val="20"/>
          <w:color w:val="auto"/>
        </w:rPr>
      </w:pPr>
    </w:p>
    <w:p>
      <w:pPr>
        <w:ind w:right="400" w:firstLine="764"/>
        <w:spacing w:after="0" w:line="281" w:lineRule="auto"/>
        <w:rPr>
          <w:sz w:val="20"/>
          <w:szCs w:val="20"/>
          <w:color w:val="auto"/>
        </w:rPr>
      </w:pPr>
      <w:r>
        <w:rPr>
          <w:rFonts w:ascii="Arial" w:cs="Arial" w:eastAsia="Arial" w:hAnsi="Arial"/>
          <w:sz w:val="14"/>
          <w:szCs w:val="14"/>
          <w:b w:val="1"/>
          <w:bCs w:val="1"/>
          <w:i w:val="1"/>
          <w:iCs w:val="1"/>
          <w:color w:val="auto"/>
        </w:rPr>
        <w:t>We rely on third parties for tissue samples and other materials required for our research and development activities, and if we are unable to reach agreements with these third parties our research and development activities would be delayed.</w:t>
      </w:r>
    </w:p>
    <w:p>
      <w:pPr>
        <w:spacing w:after="0" w:line="47" w:lineRule="exact"/>
        <w:rPr>
          <w:sz w:val="20"/>
          <w:szCs w:val="20"/>
          <w:color w:val="auto"/>
        </w:rPr>
      </w:pPr>
    </w:p>
    <w:p>
      <w:pPr>
        <w:ind w:firstLine="764"/>
        <w:spacing w:after="0" w:line="313" w:lineRule="auto"/>
        <w:rPr>
          <w:sz w:val="20"/>
          <w:szCs w:val="20"/>
          <w:color w:val="auto"/>
        </w:rPr>
      </w:pPr>
      <w:r>
        <w:rPr>
          <w:rFonts w:ascii="Arial" w:cs="Arial" w:eastAsia="Arial" w:hAnsi="Arial"/>
          <w:sz w:val="12"/>
          <w:szCs w:val="12"/>
          <w:color w:val="auto"/>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such agreements, our research and development activities will be delayed and our ability to implement a key part of our development strategy will be compromised.</w:t>
      </w:r>
    </w:p>
    <w:p>
      <w:pPr>
        <w:spacing w:after="0" w:line="94" w:lineRule="exact"/>
        <w:rPr>
          <w:sz w:val="20"/>
          <w:szCs w:val="20"/>
          <w:color w:val="auto"/>
        </w:rPr>
      </w:pPr>
    </w:p>
    <w:p>
      <w:pPr>
        <w:ind w:right="160" w:firstLine="764"/>
        <w:spacing w:after="0" w:line="273" w:lineRule="auto"/>
        <w:rPr>
          <w:sz w:val="20"/>
          <w:szCs w:val="20"/>
          <w:color w:val="auto"/>
        </w:rPr>
      </w:pPr>
      <w:r>
        <w:rPr>
          <w:rFonts w:ascii="Arial" w:cs="Arial" w:eastAsia="Arial" w:hAnsi="Arial"/>
          <w:sz w:val="13"/>
          <w:szCs w:val="13"/>
          <w:b w:val="1"/>
          <w:bCs w:val="1"/>
          <w:i w:val="1"/>
          <w:iCs w:val="1"/>
          <w:color w:val="auto"/>
        </w:rPr>
        <w:t>Because we rely on third-party manufacturing and supply vendors, including single-source vendors and vendors in foreign jurisdictions, including China, our supply of research and development, preclinical and clinical development materials may become limited or interrupted or may not be of satisfactory quantity or quality.</w:t>
      </w:r>
    </w:p>
    <w:p>
      <w:pPr>
        <w:spacing w:after="0" w:line="1" w:lineRule="exact"/>
        <w:rPr>
          <w:sz w:val="20"/>
          <w:szCs w:val="20"/>
          <w:color w:val="auto"/>
        </w:rPr>
      </w:pPr>
    </w:p>
    <w:p>
      <w:pPr>
        <w:ind w:right="40" w:firstLine="764"/>
        <w:spacing w:after="0" w:line="281" w:lineRule="auto"/>
        <w:rPr>
          <w:sz w:val="20"/>
          <w:szCs w:val="20"/>
          <w:color w:val="auto"/>
        </w:rPr>
      </w:pPr>
      <w:r>
        <w:rPr>
          <w:rFonts w:ascii="Arial" w:cs="Arial" w:eastAsia="Arial" w:hAnsi="Arial"/>
          <w:sz w:val="12"/>
          <w:szCs w:val="12"/>
          <w:color w:val="auto"/>
        </w:rPr>
        <w:t>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including due to ongoing effects of the COVID-19 pandemic. In addition, we rely on vendors in foreign jurisdictions, including China for our clinical drug supply for bexotagrast. If this supply is interrupted for business or geopolitical reasons, the development of bexotagrast could be materially delayed. In particular, any replacement of our manufacturers could require significant time, effort and expertise because there may be a limited number of qualified replacements and the process to transfer technology and initiate manufacturing is complex and time consuming. In addition, three vaccines for COVID-19 were granted Emergency Use Authorization by the FDA in late 2020 and early 2021. The resultant demand for vaccines and potential for manufacturing facilities and materials to be commandeered under the Defense Production Act of 1950, equivalent foreign legislation or heightened demand on manufacturers may make it more difficult to obtain materials or manufacturing slots for the products needed for our development efforts, which could lead to delays in our clinical trials and scientific development efforts.</w:t>
      </w:r>
    </w:p>
    <w:p>
      <w:pPr>
        <w:spacing w:after="0" w:line="54" w:lineRule="exact"/>
        <w:rPr>
          <w:sz w:val="20"/>
          <w:szCs w:val="20"/>
          <w:color w:val="auto"/>
        </w:rPr>
      </w:pPr>
    </w:p>
    <w:p>
      <w:pPr>
        <w:ind w:right="60" w:firstLine="764"/>
        <w:spacing w:after="0" w:line="272" w:lineRule="auto"/>
        <w:rPr>
          <w:sz w:val="20"/>
          <w:szCs w:val="20"/>
          <w:color w:val="auto"/>
        </w:rPr>
      </w:pPr>
      <w:r>
        <w:rPr>
          <w:rFonts w:ascii="Arial" w:cs="Arial" w:eastAsia="Arial" w:hAnsi="Arial"/>
          <w:sz w:val="13"/>
          <w:szCs w:val="13"/>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4" w:lineRule="exact"/>
        <w:rPr>
          <w:sz w:val="20"/>
          <w:szCs w:val="20"/>
          <w:color w:val="auto"/>
        </w:rPr>
      </w:pPr>
    </w:p>
    <w:p>
      <w:pPr>
        <w:ind w:firstLine="764"/>
        <w:spacing w:after="0" w:line="239" w:lineRule="auto"/>
        <w:rPr>
          <w:sz w:val="20"/>
          <w:szCs w:val="20"/>
          <w:color w:val="auto"/>
        </w:rPr>
      </w:pPr>
      <w:r>
        <w:rPr>
          <w:rFonts w:ascii="Arial" w:cs="Arial" w:eastAsia="Arial" w:hAnsi="Arial"/>
          <w:sz w:val="14"/>
          <w:szCs w:val="14"/>
          <w:color w:val="auto"/>
        </w:rPr>
        <w:t>We expect to continue to rely on third-party manufacturers if we receive regulatory approval for bexotegrast or any other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and comply with cGMP could adversely affect our business in a number of ways, including:</w:t>
      </w:r>
    </w:p>
    <w:p>
      <w:pPr>
        <w:spacing w:after="0" w:line="94" w:lineRule="exact"/>
        <w:rPr>
          <w:sz w:val="20"/>
          <w:szCs w:val="20"/>
          <w:color w:val="auto"/>
        </w:rPr>
      </w:pPr>
    </w:p>
    <w:p>
      <w:pPr>
        <w:ind w:left="1780" w:hanging="879"/>
        <w:spacing w:after="0"/>
        <w:tabs>
          <w:tab w:leader="none" w:pos="1780" w:val="left"/>
        </w:tabs>
        <w:numPr>
          <w:ilvl w:val="0"/>
          <w:numId w:val="37"/>
        </w:numPr>
        <w:rPr>
          <w:rFonts w:ascii="Arial" w:cs="Arial" w:eastAsia="Arial" w:hAnsi="Arial"/>
          <w:sz w:val="17"/>
          <w:szCs w:val="17"/>
          <w:color w:val="auto"/>
        </w:rPr>
      </w:pPr>
      <w:r>
        <w:rPr>
          <w:rFonts w:ascii="Arial" w:cs="Arial" w:eastAsia="Arial" w:hAnsi="Arial"/>
          <w:sz w:val="14"/>
          <w:szCs w:val="14"/>
          <w:color w:val="auto"/>
        </w:rPr>
        <w:t>an inability to initiate or continue clinical trials of product candidates under development;</w:t>
      </w:r>
    </w:p>
    <w:p>
      <w:pPr>
        <w:spacing w:after="0" w:line="74" w:lineRule="exact"/>
        <w:rPr>
          <w:rFonts w:ascii="Arial" w:cs="Arial" w:eastAsia="Arial" w:hAnsi="Arial"/>
          <w:sz w:val="17"/>
          <w:szCs w:val="17"/>
          <w:color w:val="auto"/>
        </w:rPr>
      </w:pPr>
    </w:p>
    <w:p>
      <w:pPr>
        <w:ind w:left="1780" w:hanging="879"/>
        <w:spacing w:after="0"/>
        <w:tabs>
          <w:tab w:leader="none" w:pos="1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delay in submitting regulatory applications, or receiving regulatory approvals, for product candidates;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loss of the cooperation of an existing or future collaborator;</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subjecting third-party manufacturing facilities or our manufacturing facilities to additional inspections by regulatory authorities;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requirements to cease distribution or to recall batches of our product candidates; and</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the event of approval to market and commercialize a product candidate, an inability to meet commercial demands for our products.</w:t>
      </w:r>
    </w:p>
    <w:p>
      <w:pPr>
        <w:spacing w:after="0" w:line="10" w:lineRule="exact"/>
        <w:rPr>
          <w:sz w:val="20"/>
          <w:szCs w:val="20"/>
          <w:color w:val="auto"/>
        </w:rPr>
      </w:pPr>
    </w:p>
    <w:p>
      <w:pPr>
        <w:ind w:right="40" w:firstLine="764"/>
        <w:spacing w:after="0" w:line="239" w:lineRule="auto"/>
        <w:rPr>
          <w:sz w:val="20"/>
          <w:szCs w:val="20"/>
          <w:color w:val="auto"/>
        </w:rPr>
      </w:pPr>
      <w:r>
        <w:rPr>
          <w:rFonts w:ascii="Arial" w:cs="Arial" w:eastAsia="Arial" w:hAnsi="Arial"/>
          <w:sz w:val="14"/>
          <w:szCs w:val="14"/>
          <w:color w:val="auto"/>
        </w:rPr>
        <w:t>We rely on a sole supplier for the manufacture of bexotegrast. If this sole supplier is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00" w:firstLine="764"/>
        <w:spacing w:after="0" w:line="258" w:lineRule="auto"/>
        <w:rPr>
          <w:sz w:val="20"/>
          <w:szCs w:val="20"/>
          <w:color w:val="auto"/>
        </w:rPr>
      </w:pPr>
      <w:r>
        <w:rPr>
          <w:rFonts w:ascii="Arial" w:cs="Arial" w:eastAsia="Arial" w:hAnsi="Arial"/>
          <w:sz w:val="14"/>
          <w:szCs w:val="14"/>
          <w:color w:val="auto"/>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spacing w:after="0" w:line="65" w:lineRule="exact"/>
        <w:rPr>
          <w:sz w:val="20"/>
          <w:szCs w:val="20"/>
          <w:color w:val="auto"/>
        </w:rPr>
      </w:pPr>
    </w:p>
    <w:p>
      <w:pPr>
        <w:ind w:right="100" w:firstLine="764"/>
        <w:spacing w:after="0" w:line="281" w:lineRule="auto"/>
        <w:rPr>
          <w:sz w:val="20"/>
          <w:szCs w:val="20"/>
          <w:color w:val="auto"/>
        </w:rPr>
      </w:pPr>
      <w:r>
        <w:rPr>
          <w:rFonts w:ascii="Arial" w:cs="Arial" w:eastAsia="Arial" w:hAnsi="Arial"/>
          <w:sz w:val="14"/>
          <w:szCs w:val="14"/>
          <w:b w:val="1"/>
          <w:bCs w:val="1"/>
          <w:i w:val="1"/>
          <w:iCs w:val="1"/>
          <w:color w:val="auto"/>
        </w:rPr>
        <w:t>Our existing collaborations and future collaborations are and will be important to our business. If we are unable to enter into new collaborations, or if these collaborations are not successful, our business could be adversely affected.</w:t>
      </w:r>
    </w:p>
    <w:p>
      <w:pPr>
        <w:spacing w:after="0" w:line="47" w:lineRule="exact"/>
        <w:rPr>
          <w:sz w:val="20"/>
          <w:szCs w:val="20"/>
          <w:color w:val="auto"/>
        </w:rPr>
      </w:pPr>
    </w:p>
    <w:p>
      <w:pPr>
        <w:ind w:right="180" w:firstLine="764"/>
        <w:spacing w:after="0" w:line="267" w:lineRule="auto"/>
        <w:rPr>
          <w:sz w:val="20"/>
          <w:szCs w:val="20"/>
          <w:color w:val="auto"/>
        </w:rPr>
      </w:pPr>
      <w:r>
        <w:rPr>
          <w:rFonts w:ascii="Arial" w:cs="Arial" w:eastAsia="Arial" w:hAnsi="Arial"/>
          <w:sz w:val="14"/>
          <w:szCs w:val="14"/>
          <w:color w:val="auto"/>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and may in the future enter into collaborations with other companies to provide us with important technologies and funding for our programs and technology.</w:t>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4"/>
          <w:szCs w:val="14"/>
          <w:color w:val="auto"/>
        </w:rPr>
        <w:t>Our existing collaborations and any future collaborations we enter into may pose a number of risks, including the following:</w:t>
      </w:r>
    </w:p>
    <w:p>
      <w:pPr>
        <w:spacing w:after="0" w:line="110" w:lineRule="exact"/>
        <w:rPr>
          <w:sz w:val="20"/>
          <w:szCs w:val="20"/>
          <w:color w:val="auto"/>
        </w:rPr>
      </w:pPr>
    </w:p>
    <w:p>
      <w:pPr>
        <w:ind w:left="1780" w:hanging="879"/>
        <w:spacing w:after="0"/>
        <w:tabs>
          <w:tab w:leader="none" w:pos="1780" w:val="left"/>
        </w:tabs>
        <w:numPr>
          <w:ilvl w:val="0"/>
          <w:numId w:val="38"/>
        </w:numPr>
        <w:rPr>
          <w:rFonts w:ascii="Arial" w:cs="Arial" w:eastAsia="Arial" w:hAnsi="Arial"/>
          <w:sz w:val="17"/>
          <w:szCs w:val="17"/>
          <w:color w:val="auto"/>
        </w:rPr>
      </w:pPr>
      <w:r>
        <w:rPr>
          <w:rFonts w:ascii="Arial" w:cs="Arial" w:eastAsia="Arial" w:hAnsi="Arial"/>
          <w:sz w:val="14"/>
          <w:szCs w:val="14"/>
          <w:color w:val="auto"/>
        </w:rPr>
        <w:t>collaborators have significant discretion in determining the efforts and resources that they will apply;</w:t>
      </w:r>
    </w:p>
    <w:p>
      <w:pPr>
        <w:spacing w:after="0" w:line="90" w:lineRule="exact"/>
        <w:rPr>
          <w:rFonts w:ascii="Arial" w:cs="Arial" w:eastAsia="Arial" w:hAnsi="Arial"/>
          <w:sz w:val="17"/>
          <w:szCs w:val="17"/>
          <w:color w:val="auto"/>
        </w:rPr>
      </w:pPr>
    </w:p>
    <w:p>
      <w:pPr>
        <w:ind w:left="1780" w:hanging="879"/>
        <w:spacing w:after="0"/>
        <w:tabs>
          <w:tab w:leader="none" w:pos="1780" w:val="left"/>
        </w:tabs>
        <w:numPr>
          <w:ilvl w:val="0"/>
          <w:numId w:val="38"/>
        </w:numPr>
        <w:rPr>
          <w:rFonts w:ascii="Arial" w:cs="Arial" w:eastAsia="Arial" w:hAnsi="Arial"/>
          <w:sz w:val="17"/>
          <w:szCs w:val="17"/>
          <w:color w:val="auto"/>
        </w:rPr>
      </w:pPr>
      <w:r>
        <w:rPr>
          <w:rFonts w:ascii="Arial" w:cs="Arial" w:eastAsia="Arial" w:hAnsi="Arial"/>
          <w:sz w:val="14"/>
          <w:szCs w:val="14"/>
          <w:color w:val="auto"/>
        </w:rPr>
        <w:t>collaborators may not perform their obligations as expected;</w:t>
      </w:r>
    </w:p>
    <w:p>
      <w:pPr>
        <w:spacing w:after="0" w:line="106" w:lineRule="exact"/>
        <w:rPr>
          <w:rFonts w:ascii="Arial" w:cs="Arial" w:eastAsia="Arial" w:hAnsi="Arial"/>
          <w:sz w:val="17"/>
          <w:szCs w:val="17"/>
          <w:color w:val="auto"/>
        </w:rPr>
      </w:pPr>
    </w:p>
    <w:p>
      <w:pPr>
        <w:ind w:left="1800" w:hanging="899"/>
        <w:spacing w:after="0" w:line="248" w:lineRule="auto"/>
        <w:tabs>
          <w:tab w:leader="none" w:pos="1796" w:val="left"/>
        </w:tabs>
        <w:numPr>
          <w:ilvl w:val="0"/>
          <w:numId w:val="38"/>
        </w:numPr>
        <w:rPr>
          <w:rFonts w:ascii="Arial" w:cs="Arial" w:eastAsia="Arial" w:hAnsi="Arial"/>
          <w:sz w:val="17"/>
          <w:szCs w:val="17"/>
          <w:color w:val="auto"/>
        </w:rPr>
      </w:pPr>
      <w:r>
        <w:rPr>
          <w:rFonts w:ascii="Arial" w:cs="Arial" w:eastAsia="Arial" w:hAnsi="Arial"/>
          <w:sz w:val="14"/>
          <w:szCs w:val="14"/>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101" w:lineRule="exact"/>
        <w:rPr>
          <w:rFonts w:ascii="Arial" w:cs="Arial" w:eastAsia="Arial" w:hAnsi="Arial"/>
          <w:sz w:val="17"/>
          <w:szCs w:val="17"/>
          <w:color w:val="auto"/>
        </w:rPr>
      </w:pPr>
    </w:p>
    <w:p>
      <w:pPr>
        <w:ind w:left="1800" w:right="200" w:hanging="899"/>
        <w:spacing w:after="0" w:line="235" w:lineRule="auto"/>
        <w:tabs>
          <w:tab w:leader="none" w:pos="1796" w:val="left"/>
        </w:tabs>
        <w:numPr>
          <w:ilvl w:val="0"/>
          <w:numId w:val="38"/>
        </w:numPr>
        <w:rPr>
          <w:rFonts w:ascii="Arial" w:cs="Arial" w:eastAsia="Arial" w:hAnsi="Arial"/>
          <w:sz w:val="17"/>
          <w:szCs w:val="17"/>
          <w:color w:val="auto"/>
        </w:rPr>
      </w:pPr>
      <w:r>
        <w:rPr>
          <w:rFonts w:ascii="Arial" w:cs="Arial" w:eastAsia="Arial" w:hAnsi="Arial"/>
          <w:sz w:val="14"/>
          <w:szCs w:val="14"/>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07" w:lineRule="exact"/>
        <w:rPr>
          <w:rFonts w:ascii="Arial" w:cs="Arial" w:eastAsia="Arial" w:hAnsi="Arial"/>
          <w:sz w:val="17"/>
          <w:szCs w:val="17"/>
          <w:color w:val="auto"/>
        </w:rPr>
      </w:pPr>
    </w:p>
    <w:p>
      <w:pPr>
        <w:ind w:left="1800" w:right="200" w:hanging="899"/>
        <w:spacing w:after="0" w:line="241" w:lineRule="auto"/>
        <w:tabs>
          <w:tab w:leader="none" w:pos="1796" w:val="left"/>
        </w:tabs>
        <w:numPr>
          <w:ilvl w:val="0"/>
          <w:numId w:val="38"/>
        </w:numPr>
        <w:rPr>
          <w:rFonts w:ascii="Arial" w:cs="Arial" w:eastAsia="Arial" w:hAnsi="Arial"/>
          <w:sz w:val="17"/>
          <w:szCs w:val="17"/>
          <w:color w:val="auto"/>
        </w:rPr>
      </w:pPr>
      <w:r>
        <w:rPr>
          <w:rFonts w:ascii="Arial" w:cs="Arial" w:eastAsia="Arial" w:hAnsi="Arial"/>
          <w:sz w:val="14"/>
          <w:szCs w:val="14"/>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106" w:lineRule="exact"/>
        <w:rPr>
          <w:rFonts w:ascii="Arial" w:cs="Arial" w:eastAsia="Arial" w:hAnsi="Arial"/>
          <w:sz w:val="17"/>
          <w:szCs w:val="17"/>
          <w:color w:val="auto"/>
        </w:rPr>
      </w:pPr>
    </w:p>
    <w:p>
      <w:pPr>
        <w:ind w:left="1800" w:right="160" w:hanging="899"/>
        <w:spacing w:after="0" w:line="235" w:lineRule="auto"/>
        <w:tabs>
          <w:tab w:leader="none" w:pos="1796" w:val="left"/>
        </w:tabs>
        <w:numPr>
          <w:ilvl w:val="0"/>
          <w:numId w:val="38"/>
        </w:numPr>
        <w:rPr>
          <w:rFonts w:ascii="Arial" w:cs="Arial" w:eastAsia="Arial" w:hAnsi="Arial"/>
          <w:sz w:val="17"/>
          <w:szCs w:val="17"/>
          <w:color w:val="auto"/>
        </w:rPr>
      </w:pPr>
      <w:r>
        <w:rPr>
          <w:rFonts w:ascii="Arial" w:cs="Arial" w:eastAsia="Arial" w:hAnsi="Arial"/>
          <w:sz w:val="14"/>
          <w:szCs w:val="14"/>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07" w:lineRule="exact"/>
        <w:rPr>
          <w:rFonts w:ascii="Arial" w:cs="Arial" w:eastAsia="Arial" w:hAnsi="Arial"/>
          <w:sz w:val="17"/>
          <w:szCs w:val="17"/>
          <w:color w:val="auto"/>
        </w:rPr>
      </w:pPr>
    </w:p>
    <w:p>
      <w:pPr>
        <w:ind w:left="1800" w:right="100" w:hanging="899"/>
        <w:spacing w:after="0" w:line="235" w:lineRule="auto"/>
        <w:tabs>
          <w:tab w:leader="none" w:pos="1796" w:val="left"/>
        </w:tabs>
        <w:numPr>
          <w:ilvl w:val="0"/>
          <w:numId w:val="38"/>
        </w:numPr>
        <w:rPr>
          <w:rFonts w:ascii="Arial" w:cs="Arial" w:eastAsia="Arial" w:hAnsi="Arial"/>
          <w:sz w:val="17"/>
          <w:szCs w:val="17"/>
          <w:color w:val="auto"/>
        </w:rPr>
      </w:pPr>
      <w:r>
        <w:rPr>
          <w:rFonts w:ascii="Arial" w:cs="Arial" w:eastAsia="Arial" w:hAnsi="Arial"/>
          <w:sz w:val="14"/>
          <w:szCs w:val="14"/>
          <w:color w:val="auto"/>
        </w:rPr>
        <w:t>collaborators may fail to comply with applicable regulatory requirements regarding the development, manufacture, distribution or marketing of a product candidate or product;</w:t>
      </w:r>
    </w:p>
    <w:p>
      <w:pPr>
        <w:spacing w:after="0" w:line="107" w:lineRule="exact"/>
        <w:rPr>
          <w:rFonts w:ascii="Arial" w:cs="Arial" w:eastAsia="Arial" w:hAnsi="Arial"/>
          <w:sz w:val="17"/>
          <w:szCs w:val="17"/>
          <w:color w:val="auto"/>
        </w:rPr>
      </w:pPr>
    </w:p>
    <w:p>
      <w:pPr>
        <w:ind w:left="1800" w:right="120" w:hanging="899"/>
        <w:spacing w:after="0" w:line="245" w:lineRule="auto"/>
        <w:tabs>
          <w:tab w:leader="none" w:pos="1796" w:val="left"/>
        </w:tabs>
        <w:numPr>
          <w:ilvl w:val="0"/>
          <w:numId w:val="38"/>
        </w:numPr>
        <w:rPr>
          <w:rFonts w:ascii="Arial" w:cs="Arial" w:eastAsia="Arial" w:hAnsi="Arial"/>
          <w:sz w:val="17"/>
          <w:szCs w:val="17"/>
          <w:color w:val="auto"/>
        </w:rPr>
      </w:pPr>
      <w:r>
        <w:rPr>
          <w:rFonts w:ascii="Arial" w:cs="Arial" w:eastAsia="Arial" w:hAnsi="Arial"/>
          <w:sz w:val="14"/>
          <w:szCs w:val="14"/>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98" w:lineRule="exact"/>
        <w:rPr>
          <w:rFonts w:ascii="Arial" w:cs="Arial" w:eastAsia="Arial" w:hAnsi="Arial"/>
          <w:sz w:val="17"/>
          <w:szCs w:val="17"/>
          <w:color w:val="auto"/>
        </w:rPr>
      </w:pPr>
    </w:p>
    <w:p>
      <w:pPr>
        <w:ind w:left="1780" w:hanging="879"/>
        <w:spacing w:after="0"/>
        <w:tabs>
          <w:tab w:leader="none" w:pos="1780" w:val="left"/>
        </w:tabs>
        <w:numPr>
          <w:ilvl w:val="0"/>
          <w:numId w:val="38"/>
        </w:numPr>
        <w:rPr>
          <w:rFonts w:ascii="Arial" w:cs="Arial" w:eastAsia="Arial" w:hAnsi="Arial"/>
          <w:sz w:val="16"/>
          <w:szCs w:val="16"/>
          <w:color w:val="auto"/>
        </w:rPr>
      </w:pPr>
      <w:r>
        <w:rPr>
          <w:rFonts w:ascii="Arial" w:cs="Arial" w:eastAsia="Arial" w:hAnsi="Arial"/>
          <w:sz w:val="13"/>
          <w:szCs w:val="13"/>
          <w:color w:val="auto"/>
        </w:rPr>
        <w:t>collaborators may not provide us with timely and accurate information regarding development progress and activity under any future license agreement, which could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adversely impact our ability to report progress to our investors and otherwise plan development of our product candidates;</w:t>
      </w:r>
    </w:p>
    <w:p>
      <w:pPr>
        <w:spacing w:after="0" w:line="125" w:lineRule="exact"/>
        <w:rPr>
          <w:sz w:val="20"/>
          <w:szCs w:val="20"/>
          <w:color w:val="auto"/>
        </w:rPr>
      </w:pPr>
    </w:p>
    <w:p>
      <w:pPr>
        <w:ind w:left="1800" w:hanging="899"/>
        <w:spacing w:after="0" w:line="241" w:lineRule="auto"/>
        <w:tabs>
          <w:tab w:leader="none" w:pos="1796" w:val="left"/>
        </w:tabs>
        <w:numPr>
          <w:ilvl w:val="0"/>
          <w:numId w:val="39"/>
        </w:numPr>
        <w:rPr>
          <w:rFonts w:ascii="Arial" w:cs="Arial" w:eastAsia="Arial" w:hAnsi="Arial"/>
          <w:sz w:val="17"/>
          <w:szCs w:val="17"/>
          <w:color w:val="auto"/>
        </w:rPr>
      </w:pPr>
      <w:r>
        <w:rPr>
          <w:rFonts w:ascii="Arial" w:cs="Arial" w:eastAsia="Arial" w:hAnsi="Arial"/>
          <w:sz w:val="14"/>
          <w:szCs w:val="14"/>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06" w:lineRule="exact"/>
        <w:rPr>
          <w:rFonts w:ascii="Arial" w:cs="Arial" w:eastAsia="Arial" w:hAnsi="Arial"/>
          <w:sz w:val="17"/>
          <w:szCs w:val="17"/>
          <w:color w:val="auto"/>
        </w:rPr>
      </w:pPr>
    </w:p>
    <w:p>
      <w:pPr>
        <w:ind w:left="1800" w:right="20" w:hanging="899"/>
        <w:spacing w:after="0" w:line="235" w:lineRule="auto"/>
        <w:tabs>
          <w:tab w:leader="none" w:pos="1796" w:val="left"/>
        </w:tabs>
        <w:numPr>
          <w:ilvl w:val="0"/>
          <w:numId w:val="39"/>
        </w:numPr>
        <w:rPr>
          <w:rFonts w:ascii="Arial" w:cs="Arial" w:eastAsia="Arial" w:hAnsi="Arial"/>
          <w:sz w:val="17"/>
          <w:szCs w:val="17"/>
          <w:color w:val="auto"/>
        </w:rPr>
      </w:pPr>
      <w:r>
        <w:rPr>
          <w:rFonts w:ascii="Arial" w:cs="Arial" w:eastAsia="Arial" w:hAnsi="Arial"/>
          <w:sz w:val="14"/>
          <w:szCs w:val="14"/>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91" w:lineRule="exact"/>
        <w:rPr>
          <w:rFonts w:ascii="Arial" w:cs="Arial" w:eastAsia="Arial" w:hAnsi="Arial"/>
          <w:sz w:val="17"/>
          <w:szCs w:val="17"/>
          <w:color w:val="auto"/>
        </w:rPr>
      </w:pPr>
    </w:p>
    <w:p>
      <w:pPr>
        <w:ind w:left="1780" w:hanging="879"/>
        <w:spacing w:after="0"/>
        <w:tabs>
          <w:tab w:leader="none" w:pos="1780" w:val="left"/>
        </w:tabs>
        <w:numPr>
          <w:ilvl w:val="0"/>
          <w:numId w:val="39"/>
        </w:numPr>
        <w:rPr>
          <w:rFonts w:ascii="Arial" w:cs="Arial" w:eastAsia="Arial" w:hAnsi="Arial"/>
          <w:sz w:val="17"/>
          <w:szCs w:val="17"/>
          <w:color w:val="auto"/>
        </w:rPr>
      </w:pPr>
      <w:r>
        <w:rPr>
          <w:rFonts w:ascii="Arial" w:cs="Arial" w:eastAsia="Arial" w:hAnsi="Arial"/>
          <w:sz w:val="14"/>
          <w:szCs w:val="14"/>
          <w:color w:val="auto"/>
        </w:rPr>
        <w:t>collaborators may infringe the intellectual property rights of third parties, which may expose us to litigation and potential liability;</w:t>
      </w:r>
    </w:p>
    <w:p>
      <w:pPr>
        <w:spacing w:after="0" w:line="117" w:lineRule="exact"/>
        <w:rPr>
          <w:rFonts w:ascii="Arial" w:cs="Arial" w:eastAsia="Arial" w:hAnsi="Arial"/>
          <w:sz w:val="17"/>
          <w:szCs w:val="17"/>
          <w:color w:val="auto"/>
        </w:rPr>
      </w:pPr>
    </w:p>
    <w:p>
      <w:pPr>
        <w:ind w:left="1800" w:right="100" w:hanging="899"/>
        <w:spacing w:after="0" w:line="235" w:lineRule="auto"/>
        <w:tabs>
          <w:tab w:leader="none" w:pos="1796" w:val="left"/>
        </w:tabs>
        <w:numPr>
          <w:ilvl w:val="0"/>
          <w:numId w:val="39"/>
        </w:numPr>
        <w:rPr>
          <w:rFonts w:ascii="Arial" w:cs="Arial" w:eastAsia="Arial" w:hAnsi="Arial"/>
          <w:sz w:val="17"/>
          <w:szCs w:val="17"/>
          <w:color w:val="auto"/>
        </w:rPr>
      </w:pPr>
      <w:r>
        <w:rPr>
          <w:rFonts w:ascii="Arial" w:cs="Arial" w:eastAsia="Arial" w:hAnsi="Arial"/>
          <w:sz w:val="14"/>
          <w:szCs w:val="14"/>
          <w:color w:val="auto"/>
        </w:rPr>
        <w:t>if a collaborator of ours is involved in a business combination, the collaborator might deemphasize or terminate the development or commercialization of any product candidate licensed to it by us; and</w:t>
      </w:r>
    </w:p>
    <w:p>
      <w:pPr>
        <w:spacing w:after="0" w:line="107" w:lineRule="exact"/>
        <w:rPr>
          <w:rFonts w:ascii="Arial" w:cs="Arial" w:eastAsia="Arial" w:hAnsi="Arial"/>
          <w:sz w:val="17"/>
          <w:szCs w:val="17"/>
          <w:color w:val="auto"/>
        </w:rPr>
      </w:pPr>
    </w:p>
    <w:p>
      <w:pPr>
        <w:ind w:left="1800" w:right="820" w:hanging="899"/>
        <w:spacing w:after="0" w:line="235" w:lineRule="auto"/>
        <w:tabs>
          <w:tab w:leader="none" w:pos="1796" w:val="left"/>
        </w:tabs>
        <w:numPr>
          <w:ilvl w:val="0"/>
          <w:numId w:val="39"/>
        </w:numPr>
        <w:rPr>
          <w:rFonts w:ascii="Arial" w:cs="Arial" w:eastAsia="Arial" w:hAnsi="Arial"/>
          <w:sz w:val="17"/>
          <w:szCs w:val="17"/>
          <w:color w:val="auto"/>
        </w:rPr>
      </w:pPr>
      <w:r>
        <w:rPr>
          <w:rFonts w:ascii="Arial" w:cs="Arial" w:eastAsia="Arial" w:hAnsi="Arial"/>
          <w:sz w:val="14"/>
          <w:szCs w:val="14"/>
          <w:color w:val="auto"/>
        </w:rPr>
        <w:t>collaborations may be terminated by the collaborator, and, if terminated, we could be required to raise additional capital to pursue further development or commercialization of the applicable product candidates.</w:t>
      </w:r>
    </w:p>
    <w:p>
      <w:pPr>
        <w:spacing w:after="0" w:line="75" w:lineRule="exact"/>
        <w:rPr>
          <w:sz w:val="20"/>
          <w:szCs w:val="20"/>
          <w:color w:val="auto"/>
        </w:rPr>
      </w:pPr>
    </w:p>
    <w:p>
      <w:pPr>
        <w:ind w:right="80" w:firstLine="764"/>
        <w:spacing w:after="0" w:line="297" w:lineRule="auto"/>
        <w:rPr>
          <w:sz w:val="20"/>
          <w:szCs w:val="20"/>
          <w:color w:val="auto"/>
        </w:rPr>
      </w:pPr>
      <w:r>
        <w:rPr>
          <w:rFonts w:ascii="Arial" w:cs="Arial" w:eastAsia="Arial" w:hAnsi="Arial"/>
          <w:sz w:val="13"/>
          <w:szCs w:val="13"/>
          <w:color w:val="auto"/>
        </w:rPr>
        <w:t>If our existing collaborations and any future collaborations we enter into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Report also apply to the activities of our therapeutic collaborators.</w:t>
      </w:r>
    </w:p>
    <w:p>
      <w:pPr>
        <w:spacing w:after="0" w:line="39" w:lineRule="exact"/>
        <w:rPr>
          <w:sz w:val="20"/>
          <w:szCs w:val="20"/>
          <w:color w:val="auto"/>
        </w:rPr>
      </w:pPr>
    </w:p>
    <w:p>
      <w:pPr>
        <w:ind w:right="140" w:firstLine="764"/>
        <w:spacing w:after="0" w:line="281" w:lineRule="auto"/>
        <w:rPr>
          <w:sz w:val="20"/>
          <w:szCs w:val="20"/>
          <w:color w:val="auto"/>
        </w:rPr>
      </w:pPr>
      <w:r>
        <w:rPr>
          <w:rFonts w:ascii="Arial" w:cs="Arial" w:eastAsia="Arial" w:hAnsi="Arial"/>
          <w:sz w:val="14"/>
          <w:szCs w:val="14"/>
          <w:color w:val="auto"/>
        </w:rPr>
        <w:t>Additionally, if one of our existing or future collaborators terminates its agreement with us, we may find it more difficult to attract new collaborators and our perception in the business and financial communities could be adversely affected.</w:t>
      </w:r>
    </w:p>
    <w:p>
      <w:pPr>
        <w:spacing w:after="0" w:line="47" w:lineRule="exact"/>
        <w:rPr>
          <w:sz w:val="20"/>
          <w:szCs w:val="20"/>
          <w:color w:val="auto"/>
        </w:rPr>
      </w:pPr>
    </w:p>
    <w:p>
      <w:pPr>
        <w:ind w:firstLine="764"/>
        <w:spacing w:after="0" w:line="301" w:lineRule="auto"/>
        <w:rPr>
          <w:sz w:val="20"/>
          <w:szCs w:val="20"/>
          <w:color w:val="auto"/>
        </w:rPr>
      </w:pPr>
      <w:r>
        <w:rPr>
          <w:rFonts w:ascii="Arial" w:cs="Arial" w:eastAsia="Arial" w:hAnsi="Arial"/>
          <w:sz w:val="12"/>
          <w:szCs w:val="12"/>
          <w:color w:val="auto"/>
        </w:rPr>
        <w:t>We face significant competition in seeking appropriate collaborators for our product candidates, and the negotiation process is time-consuming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420" w:firstLine="764"/>
        <w:spacing w:after="0" w:line="281" w:lineRule="auto"/>
        <w:rPr>
          <w:sz w:val="20"/>
          <w:szCs w:val="20"/>
          <w:color w:val="auto"/>
        </w:rPr>
      </w:pPr>
      <w:r>
        <w:rPr>
          <w:rFonts w:ascii="Arial" w:cs="Arial" w:eastAsia="Arial" w:hAnsi="Arial"/>
          <w:sz w:val="14"/>
          <w:szCs w:val="14"/>
          <w:b w:val="1"/>
          <w:bCs w:val="1"/>
          <w:i w:val="1"/>
          <w:iCs w:val="1"/>
          <w:color w:val="auto"/>
        </w:rPr>
        <w:t>Our collaborators, prospective collaborators, and suppliers may need assurances that our financial resources and stability on a stand-alone basis are sufficient to satisfy their requirements for doing or continuing to do business with us.</w:t>
      </w:r>
    </w:p>
    <w:p>
      <w:pPr>
        <w:spacing w:after="0" w:line="47" w:lineRule="exact"/>
        <w:rPr>
          <w:sz w:val="20"/>
          <w:szCs w:val="20"/>
          <w:color w:val="auto"/>
        </w:rPr>
      </w:pPr>
    </w:p>
    <w:p>
      <w:pPr>
        <w:ind w:right="300" w:firstLine="764"/>
        <w:spacing w:after="0" w:line="297" w:lineRule="auto"/>
        <w:rPr>
          <w:sz w:val="20"/>
          <w:szCs w:val="20"/>
          <w:color w:val="auto"/>
        </w:rPr>
      </w:pPr>
      <w:r>
        <w:rPr>
          <w:rFonts w:ascii="Arial" w:cs="Arial" w:eastAsia="Arial" w:hAnsi="Arial"/>
          <w:sz w:val="13"/>
          <w:szCs w:val="13"/>
          <w:color w:val="auto"/>
        </w:rPr>
        <w:t>Some of our collaborators, prospective collaborators, and suppliers may need assurances that our financial resources and stability on a stand-alone basis are sufficient to satisfy their requirements for doing or continuing to do business with us. If our collaborators, prospective collaborators or suppliers are not satisfied with our financial resources and stability, it could have a material adverse effect on our ability to develop our drug candidates, enter into licenses or other agreements and on our business, financial condition or results of operations.</w:t>
      </w:r>
    </w:p>
    <w:p>
      <w:pPr>
        <w:spacing w:after="0" w:line="35"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Risks Related to Managing Our Business and Operations</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The outbreak of the coronavirus disease, COVID-19, could adversely impact our business, including our preclinical studies and clinical trials.</w:t>
      </w:r>
    </w:p>
    <w:p>
      <w:pPr>
        <w:spacing w:after="0" w:line="94" w:lineRule="exact"/>
        <w:rPr>
          <w:sz w:val="20"/>
          <w:szCs w:val="20"/>
          <w:color w:val="auto"/>
        </w:rPr>
      </w:pPr>
    </w:p>
    <w:p>
      <w:pPr>
        <w:ind w:firstLine="764"/>
        <w:spacing w:after="0" w:line="258" w:lineRule="auto"/>
        <w:rPr>
          <w:sz w:val="20"/>
          <w:szCs w:val="20"/>
          <w:color w:val="auto"/>
        </w:rPr>
      </w:pPr>
      <w:r>
        <w:rPr>
          <w:rFonts w:ascii="Arial" w:cs="Arial" w:eastAsia="Arial" w:hAnsi="Arial"/>
          <w:sz w:val="14"/>
          <w:szCs w:val="14"/>
          <w:color w:val="auto"/>
        </w:rPr>
        <w:t>The outbreak of COVID-19 and government measures taken in response thereto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initial spread of COVID-19, we significantly limited access to our executive offices with the majority of our administrative employees continuing their work outside of our offices and limited the presence of our staff in the laboratory and in the administrative spaces to levels that adhere to social distancing protocols. As a result of the COVID-19 pandemic, we have experienced disruptions and may continue to experience disruptions that could severely impact our business, preclinical studies and clinical trials, including:</w:t>
      </w:r>
    </w:p>
    <w:p>
      <w:pPr>
        <w:spacing w:after="0" w:line="81" w:lineRule="exact"/>
        <w:rPr>
          <w:sz w:val="20"/>
          <w:szCs w:val="20"/>
          <w:color w:val="auto"/>
        </w:rPr>
      </w:pPr>
    </w:p>
    <w:p>
      <w:pPr>
        <w:ind w:left="1780" w:hanging="879"/>
        <w:spacing w:after="0"/>
        <w:tabs>
          <w:tab w:leader="none" w:pos="1780" w:val="left"/>
        </w:tabs>
        <w:numPr>
          <w:ilvl w:val="0"/>
          <w:numId w:val="40"/>
        </w:numPr>
        <w:rPr>
          <w:rFonts w:ascii="Arial" w:cs="Arial" w:eastAsia="Arial" w:hAnsi="Arial"/>
          <w:sz w:val="17"/>
          <w:szCs w:val="17"/>
          <w:color w:val="auto"/>
        </w:rPr>
      </w:pPr>
      <w:r>
        <w:rPr>
          <w:rFonts w:ascii="Arial" w:cs="Arial" w:eastAsia="Arial" w:hAnsi="Arial"/>
          <w:sz w:val="14"/>
          <w:szCs w:val="14"/>
          <w:color w:val="auto"/>
        </w:rPr>
        <w:t>delays or difficulties in commencing enrollment of patients in our clinical trials</w:t>
      </w:r>
    </w:p>
    <w:p>
      <w:pPr>
        <w:spacing w:after="0" w:line="106" w:lineRule="exact"/>
        <w:rPr>
          <w:rFonts w:ascii="Arial" w:cs="Arial" w:eastAsia="Arial" w:hAnsi="Arial"/>
          <w:sz w:val="17"/>
          <w:szCs w:val="17"/>
          <w:color w:val="auto"/>
        </w:rPr>
      </w:pPr>
    </w:p>
    <w:p>
      <w:pPr>
        <w:ind w:left="1800" w:right="420" w:hanging="899"/>
        <w:spacing w:after="0" w:line="235" w:lineRule="auto"/>
        <w:tabs>
          <w:tab w:leader="none" w:pos="1796" w:val="left"/>
        </w:tabs>
        <w:numPr>
          <w:ilvl w:val="0"/>
          <w:numId w:val="40"/>
        </w:numPr>
        <w:rPr>
          <w:rFonts w:ascii="Arial" w:cs="Arial" w:eastAsia="Arial" w:hAnsi="Arial"/>
          <w:sz w:val="17"/>
          <w:szCs w:val="17"/>
          <w:color w:val="auto"/>
        </w:rPr>
      </w:pPr>
      <w:r>
        <w:rPr>
          <w:rFonts w:ascii="Arial" w:cs="Arial" w:eastAsia="Arial" w:hAnsi="Arial"/>
          <w:sz w:val="14"/>
          <w:szCs w:val="14"/>
          <w:color w:val="auto"/>
        </w:rPr>
        <w:t>the impact from potential delays, including potential difficulties in clinical site initiation and related processes such as in recruiting clinical site investigators and clinical site staff;</w:t>
      </w:r>
    </w:p>
    <w:p>
      <w:pPr>
        <w:spacing w:after="0" w:line="91" w:lineRule="exact"/>
        <w:rPr>
          <w:rFonts w:ascii="Arial" w:cs="Arial" w:eastAsia="Arial" w:hAnsi="Arial"/>
          <w:sz w:val="17"/>
          <w:szCs w:val="17"/>
          <w:color w:val="auto"/>
        </w:rPr>
      </w:pPr>
    </w:p>
    <w:p>
      <w:pPr>
        <w:ind w:left="1780" w:hanging="879"/>
        <w:spacing w:after="0"/>
        <w:tabs>
          <w:tab w:leader="none" w:pos="1780" w:val="left"/>
        </w:tabs>
        <w:numPr>
          <w:ilvl w:val="0"/>
          <w:numId w:val="40"/>
        </w:numPr>
        <w:rPr>
          <w:rFonts w:ascii="Arial" w:cs="Arial" w:eastAsia="Arial" w:hAnsi="Arial"/>
          <w:sz w:val="17"/>
          <w:szCs w:val="17"/>
          <w:color w:val="auto"/>
        </w:rPr>
      </w:pPr>
      <w:r>
        <w:rPr>
          <w:rFonts w:ascii="Arial" w:cs="Arial" w:eastAsia="Arial" w:hAnsi="Arial"/>
          <w:sz w:val="14"/>
          <w:szCs w:val="14"/>
          <w:color w:val="auto"/>
        </w:rPr>
        <w:t>diversion of healthcare resources, including employee resources, away from the conduct of preclinical studies and clinical trials;</w:t>
      </w:r>
    </w:p>
    <w:p>
      <w:pPr>
        <w:spacing w:after="0" w:line="117" w:lineRule="exact"/>
        <w:rPr>
          <w:rFonts w:ascii="Arial" w:cs="Arial" w:eastAsia="Arial" w:hAnsi="Arial"/>
          <w:sz w:val="17"/>
          <w:szCs w:val="17"/>
          <w:color w:val="auto"/>
        </w:rPr>
      </w:pPr>
    </w:p>
    <w:p>
      <w:pPr>
        <w:ind w:left="1800" w:right="100" w:hanging="899"/>
        <w:spacing w:after="0" w:line="235" w:lineRule="auto"/>
        <w:tabs>
          <w:tab w:leader="none" w:pos="1796" w:val="left"/>
        </w:tabs>
        <w:numPr>
          <w:ilvl w:val="0"/>
          <w:numId w:val="40"/>
        </w:numPr>
        <w:rPr>
          <w:rFonts w:ascii="Arial" w:cs="Arial" w:eastAsia="Arial" w:hAnsi="Arial"/>
          <w:sz w:val="17"/>
          <w:szCs w:val="17"/>
          <w:color w:val="auto"/>
        </w:rPr>
      </w:pPr>
      <w:r>
        <w:rPr>
          <w:rFonts w:ascii="Arial" w:cs="Arial" w:eastAsia="Arial" w:hAnsi="Arial"/>
          <w:sz w:val="14"/>
          <w:szCs w:val="14"/>
          <w:color w:val="auto"/>
        </w:rPr>
        <w:t>interruption of key clinical trial activities, such as clinical trial site data monitoring, due to any future limitations on travel or interruption of clinical trial subject visits and study procedures that are deemed non-essential, which may impact the integrity of subject data and clinical study endpoints;</w:t>
      </w:r>
    </w:p>
    <w:p>
      <w:pPr>
        <w:spacing w:after="0" w:line="91" w:lineRule="exact"/>
        <w:rPr>
          <w:rFonts w:ascii="Arial" w:cs="Arial" w:eastAsia="Arial" w:hAnsi="Arial"/>
          <w:sz w:val="17"/>
          <w:szCs w:val="17"/>
          <w:color w:val="auto"/>
        </w:rPr>
      </w:pPr>
    </w:p>
    <w:p>
      <w:pPr>
        <w:ind w:left="1780" w:hanging="879"/>
        <w:spacing w:after="0"/>
        <w:tabs>
          <w:tab w:leader="none" w:pos="1780" w:val="left"/>
        </w:tabs>
        <w:numPr>
          <w:ilvl w:val="0"/>
          <w:numId w:val="40"/>
        </w:numPr>
        <w:rPr>
          <w:rFonts w:ascii="Arial" w:cs="Arial" w:eastAsia="Arial" w:hAnsi="Arial"/>
          <w:sz w:val="17"/>
          <w:szCs w:val="17"/>
          <w:color w:val="auto"/>
        </w:rPr>
      </w:pPr>
      <w:r>
        <w:rPr>
          <w:rFonts w:ascii="Arial" w:cs="Arial" w:eastAsia="Arial" w:hAnsi="Arial"/>
          <w:sz w:val="14"/>
          <w:szCs w:val="14"/>
          <w:color w:val="auto"/>
        </w:rPr>
        <w:t>interruption or delays in the operations of the FDA or other regulatory authorities, which may impact review and approval timelines;</w:t>
      </w:r>
    </w:p>
    <w:p>
      <w:pPr>
        <w:spacing w:after="0" w:line="106" w:lineRule="exact"/>
        <w:rPr>
          <w:rFonts w:ascii="Arial" w:cs="Arial" w:eastAsia="Arial" w:hAnsi="Arial"/>
          <w:sz w:val="17"/>
          <w:szCs w:val="17"/>
          <w:color w:val="auto"/>
        </w:rPr>
      </w:pPr>
    </w:p>
    <w:p>
      <w:pPr>
        <w:ind w:left="1800" w:right="580" w:hanging="899"/>
        <w:spacing w:after="0" w:line="235" w:lineRule="auto"/>
        <w:tabs>
          <w:tab w:leader="none" w:pos="1796" w:val="left"/>
        </w:tabs>
        <w:numPr>
          <w:ilvl w:val="0"/>
          <w:numId w:val="40"/>
        </w:numPr>
        <w:rPr>
          <w:rFonts w:ascii="Arial" w:cs="Arial" w:eastAsia="Arial" w:hAnsi="Arial"/>
          <w:sz w:val="17"/>
          <w:szCs w:val="17"/>
          <w:color w:val="auto"/>
        </w:rPr>
      </w:pPr>
      <w:r>
        <w:rPr>
          <w:rFonts w:ascii="Arial" w:cs="Arial" w:eastAsia="Arial" w:hAnsi="Arial"/>
          <w:sz w:val="14"/>
          <w:szCs w:val="14"/>
          <w:color w:val="auto"/>
        </w:rPr>
        <w:t>interruption of, or delays in receiving, supplies of our product candidates from our contract manufacturing organizations due to staffing shortages, production slowdowns or stoppages and disruptions in delivery systems;</w:t>
      </w:r>
    </w:p>
    <w:p>
      <w:pPr>
        <w:spacing w:after="0" w:line="91" w:lineRule="exact"/>
        <w:rPr>
          <w:rFonts w:ascii="Arial" w:cs="Arial" w:eastAsia="Arial" w:hAnsi="Arial"/>
          <w:sz w:val="17"/>
          <w:szCs w:val="17"/>
          <w:color w:val="auto"/>
        </w:rPr>
      </w:pPr>
    </w:p>
    <w:p>
      <w:pPr>
        <w:ind w:left="1780" w:hanging="879"/>
        <w:spacing w:after="0"/>
        <w:tabs>
          <w:tab w:leader="none" w:pos="1780" w:val="left"/>
        </w:tabs>
        <w:numPr>
          <w:ilvl w:val="0"/>
          <w:numId w:val="40"/>
        </w:numPr>
        <w:rPr>
          <w:rFonts w:ascii="Arial" w:cs="Arial" w:eastAsia="Arial" w:hAnsi="Arial"/>
          <w:sz w:val="17"/>
          <w:szCs w:val="17"/>
          <w:color w:val="auto"/>
        </w:rPr>
      </w:pPr>
      <w:r>
        <w:rPr>
          <w:rFonts w:ascii="Arial" w:cs="Arial" w:eastAsia="Arial" w:hAnsi="Arial"/>
          <w:sz w:val="14"/>
          <w:szCs w:val="14"/>
          <w:color w:val="auto"/>
        </w:rPr>
        <w:t>interruptions in preclinical studies due to restricted or limited operations at our laboratory facility; and</w:t>
      </w:r>
    </w:p>
    <w:p>
      <w:pPr>
        <w:spacing w:after="0" w:line="90" w:lineRule="exact"/>
        <w:rPr>
          <w:rFonts w:ascii="Arial" w:cs="Arial" w:eastAsia="Arial" w:hAnsi="Arial"/>
          <w:sz w:val="17"/>
          <w:szCs w:val="17"/>
          <w:color w:val="auto"/>
        </w:rPr>
      </w:pPr>
    </w:p>
    <w:p>
      <w:pPr>
        <w:ind w:left="1780" w:hanging="879"/>
        <w:spacing w:after="0"/>
        <w:tabs>
          <w:tab w:leader="none" w:pos="1780" w:val="left"/>
        </w:tabs>
        <w:numPr>
          <w:ilvl w:val="0"/>
          <w:numId w:val="40"/>
        </w:numPr>
        <w:rPr>
          <w:rFonts w:ascii="Arial" w:cs="Arial" w:eastAsia="Arial" w:hAnsi="Arial"/>
          <w:sz w:val="17"/>
          <w:szCs w:val="17"/>
          <w:color w:val="auto"/>
        </w:rPr>
      </w:pPr>
      <w:r>
        <w:rPr>
          <w:rFonts w:ascii="Arial" w:cs="Arial" w:eastAsia="Arial" w:hAnsi="Arial"/>
          <w:sz w:val="14"/>
          <w:szCs w:val="14"/>
          <w:color w:val="auto"/>
        </w:rPr>
        <w:t>interruption or delays to our sourced discovery and clinical activities.</w:t>
      </w:r>
    </w:p>
    <w:p>
      <w:pPr>
        <w:spacing w:after="0" w:line="85" w:lineRule="exact"/>
        <w:rPr>
          <w:sz w:val="20"/>
          <w:szCs w:val="20"/>
          <w:color w:val="auto"/>
        </w:rPr>
      </w:pPr>
    </w:p>
    <w:p>
      <w:pPr>
        <w:ind w:right="40" w:firstLine="764"/>
        <w:spacing w:after="0" w:line="313" w:lineRule="auto"/>
        <w:rPr>
          <w:sz w:val="20"/>
          <w:szCs w:val="20"/>
          <w:color w:val="auto"/>
        </w:rPr>
      </w:pPr>
      <w:r>
        <w:rPr>
          <w:rFonts w:ascii="Arial" w:cs="Arial" w:eastAsia="Arial" w:hAnsi="Arial"/>
          <w:sz w:val="12"/>
          <w:szCs w:val="12"/>
          <w:color w:val="auto"/>
        </w:rPr>
        <w:t>The COVID-19 pandemic continues to rapidly evolve and new variants and subvariants of the virus continue to emerge. The extent to which the outbreak impacts our business, preclinical studies and clinical trials will depend on future developments, which are highly uncertain and cannot be predicted with confidence, such as the ultimate geographic spread of the disease, the duration of the pandemic, renewed travel restrictions and social distancing in the United States and other countries, business closures or business disruptions and the effectiveness of actions taken in the United States and other countries to contain and treat the disease. The foregoing disruptions, and other continued disruptions to our business in connection with the COVID-19 pandemic, could have a material adverse impact on our business, financial condition or results of operations. In addition, the COVID-19 pandemic heightens many of the other risks and uncertainties discussed herein.</w:t>
      </w:r>
    </w:p>
    <w:p>
      <w:pPr>
        <w:spacing w:after="0" w:line="34"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We may encounter difficulties in managing our growth, which could adversely affect our operations.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0" w:firstLine="764"/>
        <w:spacing w:after="0" w:line="262" w:lineRule="auto"/>
        <w:rPr>
          <w:sz w:val="20"/>
          <w:szCs w:val="20"/>
          <w:color w:val="auto"/>
        </w:rPr>
      </w:pPr>
      <w:r>
        <w:rPr>
          <w:rFonts w:ascii="Arial" w:cs="Arial" w:eastAsia="Arial" w:hAnsi="Arial"/>
          <w:sz w:val="14"/>
          <w:szCs w:val="14"/>
          <w:color w:val="auto"/>
        </w:rPr>
        <w:t>As of December 31, 2022, we had 124 full-time employees. As our clinical development and commercialization plans and strategies develop,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spacing w:after="0" w:line="68" w:lineRule="exact"/>
        <w:rPr>
          <w:sz w:val="20"/>
          <w:szCs w:val="20"/>
          <w:color w:val="auto"/>
        </w:rPr>
      </w:pPr>
    </w:p>
    <w:p>
      <w:pPr>
        <w:ind w:left="1780" w:hanging="879"/>
        <w:spacing w:after="0"/>
        <w:tabs>
          <w:tab w:leader="none" w:pos="1780" w:val="left"/>
        </w:tabs>
        <w:numPr>
          <w:ilvl w:val="0"/>
          <w:numId w:val="41"/>
        </w:numPr>
        <w:rPr>
          <w:rFonts w:ascii="Arial" w:cs="Arial" w:eastAsia="Arial" w:hAnsi="Arial"/>
          <w:sz w:val="17"/>
          <w:szCs w:val="17"/>
          <w:color w:val="auto"/>
        </w:rPr>
      </w:pPr>
      <w:r>
        <w:rPr>
          <w:rFonts w:ascii="Arial" w:cs="Arial" w:eastAsia="Arial" w:hAnsi="Arial"/>
          <w:sz w:val="14"/>
          <w:szCs w:val="14"/>
          <w:color w:val="auto"/>
        </w:rPr>
        <w:t>identifying, recruiting, integrating, maintaining and motivating additional employees;</w:t>
      </w:r>
    </w:p>
    <w:p>
      <w:pPr>
        <w:ind w:left="1800" w:right="60" w:hanging="899"/>
        <w:spacing w:after="0" w:line="247" w:lineRule="auto"/>
        <w:tabs>
          <w:tab w:leader="none" w:pos="1796" w:val="left"/>
        </w:tabs>
        <w:numPr>
          <w:ilvl w:val="0"/>
          <w:numId w:val="41"/>
        </w:numPr>
        <w:rPr>
          <w:rFonts w:ascii="Arial" w:cs="Arial" w:eastAsia="Arial" w:hAnsi="Arial"/>
          <w:sz w:val="14"/>
          <w:szCs w:val="14"/>
          <w:color w:val="auto"/>
        </w:rPr>
      </w:pPr>
      <w:r>
        <w:rPr>
          <w:rFonts w:ascii="Arial" w:cs="Arial" w:eastAsia="Arial" w:hAnsi="Arial"/>
          <w:sz w:val="14"/>
          <w:szCs w:val="14"/>
          <w:color w:val="auto"/>
        </w:rPr>
        <w:t>managing our development and commercialization efforts effectively, including the clinical and FDA review process for bexotegrast and any other product candidates, while complying with our contractual obligations to contractors and other third parties; and</w:t>
      </w:r>
    </w:p>
    <w:p>
      <w:pPr>
        <w:spacing w:after="0" w:line="86" w:lineRule="exact"/>
        <w:rPr>
          <w:rFonts w:ascii="Arial" w:cs="Arial" w:eastAsia="Arial" w:hAnsi="Arial"/>
          <w:sz w:val="14"/>
          <w:szCs w:val="14"/>
          <w:color w:val="auto"/>
        </w:rPr>
      </w:pPr>
    </w:p>
    <w:p>
      <w:pPr>
        <w:ind w:left="1780" w:hanging="879"/>
        <w:spacing w:after="0"/>
        <w:tabs>
          <w:tab w:leader="none" w:pos="1780" w:val="left"/>
        </w:tabs>
        <w:numPr>
          <w:ilvl w:val="0"/>
          <w:numId w:val="41"/>
        </w:numPr>
        <w:rPr>
          <w:rFonts w:ascii="Arial" w:cs="Arial" w:eastAsia="Arial" w:hAnsi="Arial"/>
          <w:sz w:val="17"/>
          <w:szCs w:val="17"/>
          <w:color w:val="auto"/>
        </w:rPr>
      </w:pPr>
      <w:r>
        <w:rPr>
          <w:rFonts w:ascii="Arial" w:cs="Arial" w:eastAsia="Arial" w:hAnsi="Arial"/>
          <w:sz w:val="14"/>
          <w:szCs w:val="14"/>
          <w:color w:val="auto"/>
        </w:rPr>
        <w:t>improving our operational, financial and management controls, reporting systems and procedures.</w:t>
      </w:r>
    </w:p>
    <w:p>
      <w:pPr>
        <w:spacing w:after="0" w:line="75" w:lineRule="exact"/>
        <w:rPr>
          <w:sz w:val="20"/>
          <w:szCs w:val="20"/>
          <w:color w:val="auto"/>
        </w:rPr>
      </w:pPr>
    </w:p>
    <w:p>
      <w:pPr>
        <w:ind w:right="100" w:firstLine="764"/>
        <w:spacing w:after="0" w:line="321" w:lineRule="auto"/>
        <w:rPr>
          <w:sz w:val="20"/>
          <w:szCs w:val="20"/>
          <w:color w:val="auto"/>
        </w:rPr>
      </w:pPr>
      <w:r>
        <w:rPr>
          <w:rFonts w:ascii="Arial" w:cs="Arial" w:eastAsia="Arial" w:hAnsi="Arial"/>
          <w:sz w:val="13"/>
          <w:szCs w:val="13"/>
          <w:color w:val="auto"/>
        </w:rPr>
        <w:t>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24" w:lineRule="exact"/>
        <w:rPr>
          <w:sz w:val="20"/>
          <w:szCs w:val="20"/>
          <w:color w:val="auto"/>
        </w:rPr>
      </w:pPr>
    </w:p>
    <w:p>
      <w:pPr>
        <w:ind w:right="20" w:firstLine="764"/>
        <w:spacing w:after="0" w:line="272" w:lineRule="auto"/>
        <w:rPr>
          <w:sz w:val="20"/>
          <w:szCs w:val="20"/>
          <w:color w:val="auto"/>
        </w:rPr>
      </w:pPr>
      <w:r>
        <w:rPr>
          <w:rFonts w:ascii="Arial" w:cs="Arial" w:eastAsia="Arial" w:hAnsi="Arial"/>
          <w:sz w:val="13"/>
          <w:szCs w:val="13"/>
          <w:color w:val="auto"/>
        </w:rPr>
        <w:t>We currently rely, and for the foreseeable future will continue to rely, in substantial part on certain independent organizations, advisors and consultants to provide certain services, including contract manufacturers and companies focused on research and development and discovery activities.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clinical trials may be extended, delayed or terminated, and we may not be able to obtain, or may be substantially delayed in obtaining,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3" w:lineRule="exact"/>
        <w:rPr>
          <w:sz w:val="20"/>
          <w:szCs w:val="20"/>
          <w:color w:val="auto"/>
        </w:rPr>
      </w:pPr>
    </w:p>
    <w:p>
      <w:pPr>
        <w:ind w:right="80" w:firstLine="764"/>
        <w:spacing w:after="0" w:line="242" w:lineRule="auto"/>
        <w:rPr>
          <w:sz w:val="20"/>
          <w:szCs w:val="20"/>
          <w:color w:val="auto"/>
        </w:rPr>
      </w:pPr>
      <w:r>
        <w:rPr>
          <w:rFonts w:ascii="Arial" w:cs="Arial" w:eastAsia="Arial" w:hAnsi="Arial"/>
          <w:sz w:val="14"/>
          <w:szCs w:val="14"/>
          <w:color w:val="auto"/>
        </w:rPr>
        <w:t>If we are not able to effectively expand our organization by hiring new employees and expanding our groups of consultants and contractors, we may not be able to successfully implement the tasks necessary to further develop and commercialize bexotegrast or any other product candidates and, accordingly, may not achieve our research, development and commercialization goals.</w:t>
      </w:r>
    </w:p>
    <w:p>
      <w:pPr>
        <w:spacing w:after="0" w:line="74" w:lineRule="exact"/>
        <w:rPr>
          <w:sz w:val="20"/>
          <w:szCs w:val="20"/>
          <w:color w:val="auto"/>
        </w:rPr>
      </w:pPr>
    </w:p>
    <w:p>
      <w:pPr>
        <w:ind w:right="280" w:firstLine="764"/>
        <w:spacing w:after="0" w:line="267" w:lineRule="auto"/>
        <w:rPr>
          <w:sz w:val="20"/>
          <w:szCs w:val="20"/>
          <w:color w:val="auto"/>
        </w:rPr>
      </w:pPr>
      <w:r>
        <w:rPr>
          <w:rFonts w:ascii="Arial" w:cs="Arial" w:eastAsia="Arial" w:hAnsi="Arial"/>
          <w:sz w:val="14"/>
          <w:szCs w:val="14"/>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57" w:lineRule="exact"/>
        <w:rPr>
          <w:sz w:val="20"/>
          <w:szCs w:val="20"/>
          <w:color w:val="auto"/>
        </w:rPr>
      </w:pPr>
    </w:p>
    <w:p>
      <w:pPr>
        <w:ind w:right="420" w:firstLine="764"/>
        <w:spacing w:after="0" w:line="281" w:lineRule="auto"/>
        <w:rPr>
          <w:sz w:val="20"/>
          <w:szCs w:val="20"/>
          <w:color w:val="auto"/>
        </w:rPr>
      </w:pPr>
      <w:r>
        <w:rPr>
          <w:rFonts w:ascii="Arial" w:cs="Arial" w:eastAsia="Arial" w:hAnsi="Arial"/>
          <w:sz w:val="14"/>
          <w:szCs w:val="14"/>
          <w:b w:val="1"/>
          <w:bCs w:val="1"/>
          <w:i w:val="1"/>
          <w:iCs w:val="1"/>
          <w:color w:val="auto"/>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spacing w:after="0" w:line="47" w:lineRule="exact"/>
        <w:rPr>
          <w:sz w:val="20"/>
          <w:szCs w:val="20"/>
          <w:color w:val="auto"/>
        </w:rPr>
      </w:pPr>
    </w:p>
    <w:p>
      <w:pPr>
        <w:ind w:firstLine="764"/>
        <w:spacing w:after="0" w:line="319" w:lineRule="auto"/>
        <w:rPr>
          <w:sz w:val="20"/>
          <w:szCs w:val="20"/>
          <w:color w:val="auto"/>
        </w:rPr>
      </w:pPr>
      <w:r>
        <w:rPr>
          <w:rFonts w:ascii="Arial" w:cs="Arial" w:eastAsia="Arial" w:hAnsi="Arial"/>
          <w:sz w:val="12"/>
          <w:szCs w:val="12"/>
          <w:color w:val="auto"/>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Bernard Coulie, M.D., Ph.D., our President and Chief Executive Officer, Keith Cummings, M.D., our Chief Financial Officer, Johannes (Hans) Hull, J.D., our Chief Business Officer and Éric Lefebvre, M.D., our Chief Medical Officer. The loss of the services of any of our executive officers, other key employees and other scientific and medical advisors, and our inability to find suitable replacements could result in delays in product development and harm our business.</w:t>
      </w:r>
    </w:p>
    <w:p>
      <w:pPr>
        <w:spacing w:after="0" w:line="30" w:lineRule="exact"/>
        <w:rPr>
          <w:sz w:val="20"/>
          <w:szCs w:val="20"/>
          <w:color w:val="auto"/>
        </w:rPr>
      </w:pPr>
    </w:p>
    <w:p>
      <w:pPr>
        <w:ind w:right="300" w:firstLine="764"/>
        <w:spacing w:after="0" w:line="321" w:lineRule="auto"/>
        <w:rPr>
          <w:sz w:val="20"/>
          <w:szCs w:val="20"/>
          <w:color w:val="auto"/>
        </w:rPr>
      </w:pPr>
      <w:r>
        <w:rPr>
          <w:rFonts w:ascii="Arial" w:cs="Arial" w:eastAsia="Arial" w:hAnsi="Arial"/>
          <w:sz w:val="13"/>
          <w:szCs w:val="13"/>
          <w:color w:val="auto"/>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w:t>
      </w:r>
    </w:p>
    <w:p>
      <w:pPr>
        <w:spacing w:after="0" w:line="24" w:lineRule="exact"/>
        <w:rPr>
          <w:sz w:val="20"/>
          <w:szCs w:val="20"/>
          <w:color w:val="auto"/>
        </w:rPr>
      </w:pPr>
    </w:p>
    <w:p>
      <w:pPr>
        <w:ind w:firstLine="764"/>
        <w:spacing w:after="0" w:line="288" w:lineRule="auto"/>
        <w:rPr>
          <w:sz w:val="20"/>
          <w:szCs w:val="20"/>
          <w:color w:val="auto"/>
        </w:rPr>
      </w:pPr>
      <w:r>
        <w:rPr>
          <w:rFonts w:ascii="Arial" w:cs="Arial" w:eastAsia="Arial" w:hAnsi="Arial"/>
          <w:sz w:val="13"/>
          <w:szCs w:val="13"/>
          <w:color w:val="auto"/>
        </w:rPr>
        <w:t>To induce valuable employees to remain at our company, in addition to salary and cash incentives, we have provided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spacing w:after="0" w:line="47" w:lineRule="exact"/>
        <w:rPr>
          <w:sz w:val="20"/>
          <w:szCs w:val="20"/>
          <w:color w:val="auto"/>
        </w:rPr>
      </w:pPr>
    </w:p>
    <w:p>
      <w:pPr>
        <w:ind w:right="20" w:firstLine="764"/>
        <w:spacing w:after="0" w:line="368" w:lineRule="auto"/>
        <w:rPr>
          <w:sz w:val="20"/>
          <w:szCs w:val="20"/>
          <w:color w:val="auto"/>
        </w:rPr>
      </w:pPr>
      <w:r>
        <w:rPr>
          <w:rFonts w:ascii="Arial" w:cs="Arial" w:eastAsia="Arial" w:hAnsi="Arial"/>
          <w:sz w:val="12"/>
          <w:szCs w:val="12"/>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spacing w:after="0" w:line="1" w:lineRule="exact"/>
        <w:rPr>
          <w:sz w:val="20"/>
          <w:szCs w:val="20"/>
          <w:color w:val="auto"/>
        </w:rPr>
      </w:pPr>
    </w:p>
    <w:p>
      <w:pPr>
        <w:ind w:right="60" w:firstLine="764"/>
        <w:spacing w:after="0" w:line="279" w:lineRule="auto"/>
        <w:rPr>
          <w:sz w:val="20"/>
          <w:szCs w:val="20"/>
          <w:color w:val="auto"/>
        </w:rPr>
      </w:pPr>
      <w:r>
        <w:rPr>
          <w:rFonts w:ascii="Arial" w:cs="Arial" w:eastAsia="Arial" w:hAnsi="Arial"/>
          <w:sz w:val="13"/>
          <w:szCs w:val="13"/>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In addition, global climate change could result in certain types of natural disasters occurring more frequently or with more intense effects.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spacing w:after="0" w:line="53" w:lineRule="exact"/>
        <w:rPr>
          <w:sz w:val="20"/>
          <w:szCs w:val="20"/>
          <w:color w:val="auto"/>
        </w:rPr>
      </w:pPr>
    </w:p>
    <w:p>
      <w:pPr>
        <w:ind w:right="100" w:firstLine="764"/>
        <w:spacing w:after="0" w:line="284" w:lineRule="auto"/>
        <w:rPr>
          <w:sz w:val="20"/>
          <w:szCs w:val="20"/>
          <w:color w:val="auto"/>
        </w:rPr>
      </w:pPr>
      <w:r>
        <w:rPr>
          <w:rFonts w:ascii="Arial" w:cs="Arial" w:eastAsia="Arial" w:hAnsi="Arial"/>
          <w:sz w:val="13"/>
          <w:szCs w:val="13"/>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spacing w:after="0" w:line="49" w:lineRule="exact"/>
        <w:rPr>
          <w:sz w:val="20"/>
          <w:szCs w:val="20"/>
          <w:color w:val="auto"/>
        </w:rPr>
      </w:pPr>
    </w:p>
    <w:p>
      <w:pPr>
        <w:ind w:right="680" w:firstLine="764"/>
        <w:spacing w:after="0" w:line="281" w:lineRule="auto"/>
        <w:rPr>
          <w:sz w:val="20"/>
          <w:szCs w:val="20"/>
          <w:color w:val="auto"/>
        </w:rPr>
      </w:pPr>
      <w:r>
        <w:rPr>
          <w:rFonts w:ascii="Arial" w:cs="Arial" w:eastAsia="Arial" w:hAnsi="Arial"/>
          <w:sz w:val="14"/>
          <w:szCs w:val="14"/>
          <w:b w:val="1"/>
          <w:bCs w:val="1"/>
          <w:i w:val="1"/>
          <w:iCs w:val="1"/>
          <w:color w:val="auto"/>
        </w:rPr>
        <w:t>Our employees, independent contractors, consultants, commercial partners, collaborators and vendors may engage in misconduct or other improper activities, including noncompliance with regulatory standards and requirements.</w:t>
      </w:r>
    </w:p>
    <w:p>
      <w:pPr>
        <w:spacing w:after="0" w:line="47" w:lineRule="exact"/>
        <w:rPr>
          <w:sz w:val="20"/>
          <w:szCs w:val="20"/>
          <w:color w:val="auto"/>
        </w:rPr>
      </w:pPr>
    </w:p>
    <w:p>
      <w:pPr>
        <w:ind w:firstLine="764"/>
        <w:spacing w:after="0" w:line="276" w:lineRule="auto"/>
        <w:rPr>
          <w:sz w:val="20"/>
          <w:szCs w:val="20"/>
          <w:color w:val="auto"/>
        </w:rPr>
      </w:pPr>
      <w:r>
        <w:rPr>
          <w:rFonts w:ascii="Arial" w:cs="Arial" w:eastAsia="Arial" w:hAnsi="Arial"/>
          <w:sz w:val="13"/>
          <w:szCs w:val="13"/>
          <w:color w:val="auto"/>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59"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We use and generate materials that may expose us to material liability.</w:t>
      </w:r>
    </w:p>
    <w:p>
      <w:pPr>
        <w:spacing w:after="0" w:line="94" w:lineRule="exact"/>
        <w:rPr>
          <w:sz w:val="20"/>
          <w:szCs w:val="20"/>
          <w:color w:val="auto"/>
        </w:rPr>
      </w:pPr>
    </w:p>
    <w:p>
      <w:pPr>
        <w:ind w:right="700" w:firstLine="764"/>
        <w:spacing w:after="0" w:line="368" w:lineRule="auto"/>
        <w:rPr>
          <w:sz w:val="20"/>
          <w:szCs w:val="20"/>
          <w:color w:val="auto"/>
        </w:rPr>
      </w:pPr>
      <w:r>
        <w:rPr>
          <w:rFonts w:ascii="Arial" w:cs="Arial" w:eastAsia="Arial" w:hAnsi="Arial"/>
          <w:sz w:val="12"/>
          <w:szCs w:val="12"/>
          <w:color w:val="auto"/>
        </w:rPr>
        <w:t>Our research programs involve the use of hazardous materials and chemicals, which are generally handled by third parties. We are subject to foreign, federal, state, and local environmental and health and safety laws and regulations governing, among other matters, the use, manufacture, handling, storage and disposal of hazardous materials and waste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40"/>
        <w:spacing w:after="0" w:line="260" w:lineRule="auto"/>
        <w:rPr>
          <w:sz w:val="20"/>
          <w:szCs w:val="20"/>
          <w:color w:val="auto"/>
        </w:rPr>
      </w:pPr>
      <w:r>
        <w:rPr>
          <w:rFonts w:ascii="Arial" w:cs="Arial" w:eastAsia="Arial" w:hAnsi="Arial"/>
          <w:sz w:val="14"/>
          <w:szCs w:val="14"/>
          <w:color w:val="auto"/>
        </w:rPr>
        <w:t>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62" w:lineRule="exact"/>
        <w:rPr>
          <w:sz w:val="20"/>
          <w:szCs w:val="20"/>
          <w:color w:val="auto"/>
        </w:rPr>
      </w:pPr>
    </w:p>
    <w:p>
      <w:pPr>
        <w:ind w:firstLine="764"/>
        <w:spacing w:after="0" w:line="281" w:lineRule="auto"/>
        <w:rPr>
          <w:sz w:val="20"/>
          <w:szCs w:val="20"/>
          <w:color w:val="auto"/>
        </w:rPr>
      </w:pPr>
      <w:r>
        <w:rPr>
          <w:rFonts w:ascii="Arial" w:cs="Arial" w:eastAsia="Arial" w:hAnsi="Arial"/>
          <w:sz w:val="14"/>
          <w:szCs w:val="14"/>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47" w:lineRule="exact"/>
        <w:rPr>
          <w:sz w:val="20"/>
          <w:szCs w:val="20"/>
          <w:color w:val="auto"/>
        </w:rPr>
      </w:pPr>
    </w:p>
    <w:p>
      <w:pPr>
        <w:ind w:right="160" w:firstLine="764"/>
        <w:spacing w:after="0" w:line="277" w:lineRule="auto"/>
        <w:rPr>
          <w:sz w:val="20"/>
          <w:szCs w:val="20"/>
          <w:color w:val="auto"/>
        </w:rPr>
      </w:pPr>
      <w:r>
        <w:rPr>
          <w:rFonts w:ascii="Arial" w:cs="Arial" w:eastAsia="Arial" w:hAnsi="Arial"/>
          <w:sz w:val="13"/>
          <w:szCs w:val="13"/>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54" w:lineRule="exact"/>
        <w:rPr>
          <w:sz w:val="20"/>
          <w:szCs w:val="20"/>
          <w:color w:val="auto"/>
        </w:rPr>
      </w:pPr>
    </w:p>
    <w:p>
      <w:pPr>
        <w:ind w:right="60" w:firstLine="764"/>
        <w:spacing w:after="0" w:line="262" w:lineRule="auto"/>
        <w:rPr>
          <w:sz w:val="20"/>
          <w:szCs w:val="20"/>
          <w:color w:val="auto"/>
        </w:rPr>
      </w:pPr>
      <w:r>
        <w:rPr>
          <w:rFonts w:ascii="Arial" w:cs="Arial" w:eastAsia="Arial" w:hAnsi="Arial"/>
          <w:sz w:val="14"/>
          <w:szCs w:val="14"/>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61" w:lineRule="exact"/>
        <w:rPr>
          <w:sz w:val="20"/>
          <w:szCs w:val="20"/>
          <w:color w:val="auto"/>
        </w:rPr>
      </w:pPr>
    </w:p>
    <w:p>
      <w:pPr>
        <w:ind w:right="920" w:firstLine="764"/>
        <w:spacing w:after="0" w:line="281" w:lineRule="auto"/>
        <w:rPr>
          <w:sz w:val="20"/>
          <w:szCs w:val="20"/>
          <w:color w:val="auto"/>
        </w:rPr>
      </w:pPr>
      <w:r>
        <w:rPr>
          <w:rFonts w:ascii="Arial" w:cs="Arial" w:eastAsia="Arial" w:hAnsi="Arial"/>
          <w:sz w:val="14"/>
          <w:szCs w:val="14"/>
          <w:b w:val="1"/>
          <w:bCs w:val="1"/>
          <w:i w:val="1"/>
          <w:iCs w:val="1"/>
          <w:color w:val="auto"/>
        </w:rPr>
        <w:t>Compliance with governmental regulations regarding the treatment of animals used in research could increase our operating costs, which would adversely affect the commercialization of our products.</w:t>
      </w:r>
    </w:p>
    <w:p>
      <w:pPr>
        <w:spacing w:after="0" w:line="47" w:lineRule="exact"/>
        <w:rPr>
          <w:sz w:val="20"/>
          <w:szCs w:val="20"/>
          <w:color w:val="auto"/>
        </w:rPr>
      </w:pPr>
    </w:p>
    <w:p>
      <w:pPr>
        <w:ind w:right="40" w:firstLine="764"/>
        <w:spacing w:after="0" w:line="258" w:lineRule="auto"/>
        <w:rPr>
          <w:sz w:val="20"/>
          <w:szCs w:val="20"/>
          <w:color w:val="auto"/>
        </w:rPr>
      </w:pPr>
      <w:r>
        <w:rPr>
          <w:rFonts w:ascii="Arial" w:cs="Arial" w:eastAsia="Arial" w:hAnsi="Arial"/>
          <w:sz w:val="14"/>
          <w:szCs w:val="14"/>
          <w:color w:val="auto"/>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spacing w:after="0" w:line="65"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Our ability to use our net operating loss carryforwards and certain tax credit carryforwards may be subject to limitation.</w:t>
      </w:r>
    </w:p>
    <w:p>
      <w:pPr>
        <w:spacing w:after="0" w:line="10" w:lineRule="exact"/>
        <w:rPr>
          <w:sz w:val="20"/>
          <w:szCs w:val="20"/>
          <w:color w:val="auto"/>
        </w:rPr>
      </w:pPr>
    </w:p>
    <w:p>
      <w:pPr>
        <w:ind w:right="40" w:firstLine="764"/>
        <w:spacing w:after="0" w:line="236" w:lineRule="auto"/>
        <w:rPr>
          <w:sz w:val="20"/>
          <w:szCs w:val="20"/>
          <w:color w:val="auto"/>
        </w:rPr>
      </w:pPr>
      <w:r>
        <w:rPr>
          <w:rFonts w:ascii="Arial" w:cs="Arial" w:eastAsia="Arial" w:hAnsi="Arial"/>
          <w:sz w:val="14"/>
          <w:szCs w:val="14"/>
          <w:color w:val="auto"/>
        </w:rPr>
        <w:t>As of December 31, 2022, we had net operating loss carryforwards for U.S. federal and state income tax purposes of $220.2 million and $278.9 million, respectively, some of which will begin to expire in 2035. As of December 31, 2022, we also had available tax credit carryforwards for U.S. federal income tax purposes of $20.2 million, which begin to expire in 2036, and state income tax purposes of $5.6 million, which can be carried forward indefinitely. Under Section 382 of the Internal Revenue Code,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We have performed an analysis under Internal Revenue Code Sections 382 and 383 to determine the amount of our net operating loss carryforwards and research and development credit carryforwards that will be subject to annual limitation. This analysis concluded that we have experienced one or more such ownership changes prior to December 31, 2022, and the Company’s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net operating losses and tax credit carryforwards generated prior to the identified ownership changes are subject to no permanent limitation under Sections 382 or 383. In addition, we may experience subsequent ownership changes as a result of future equity offerings or other changes in our stock ownership. Any such limitation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Risks Related to Our Common Stock</w:t>
      </w:r>
    </w:p>
    <w:p>
      <w:pPr>
        <w:spacing w:after="0" w:line="98"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The price of our stock may be volatile, and you could lose all or part of your investment.</w:t>
      </w:r>
    </w:p>
    <w:p>
      <w:pPr>
        <w:spacing w:after="0" w:line="94" w:lineRule="exact"/>
        <w:rPr>
          <w:sz w:val="20"/>
          <w:szCs w:val="20"/>
          <w:color w:val="auto"/>
        </w:rPr>
      </w:pPr>
    </w:p>
    <w:p>
      <w:pPr>
        <w:ind w:right="300" w:firstLine="764"/>
        <w:spacing w:after="0" w:line="281" w:lineRule="auto"/>
        <w:rPr>
          <w:sz w:val="20"/>
          <w:szCs w:val="20"/>
          <w:color w:val="auto"/>
        </w:rPr>
      </w:pPr>
      <w:r>
        <w:rPr>
          <w:rFonts w:ascii="Arial" w:cs="Arial" w:eastAsia="Arial" w:hAnsi="Arial"/>
          <w:sz w:val="14"/>
          <w:szCs w:val="14"/>
          <w:color w:val="auto"/>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spacing w:after="0" w:line="47" w:lineRule="exact"/>
        <w:rPr>
          <w:sz w:val="20"/>
          <w:szCs w:val="20"/>
          <w:color w:val="auto"/>
        </w:rPr>
      </w:pPr>
    </w:p>
    <w:p>
      <w:pPr>
        <w:ind w:left="1800" w:right="100" w:hanging="899"/>
        <w:spacing w:after="0" w:line="281" w:lineRule="auto"/>
        <w:tabs>
          <w:tab w:leader="none" w:pos="1796"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commencement, enrollment or results of our current Phase 2a clinical trials of bexotegrast and any other clinical trials for our product candidates conducted by us or our collaborators;</w:t>
      </w:r>
    </w:p>
    <w:p>
      <w:pPr>
        <w:spacing w:after="0" w:line="63" w:lineRule="exact"/>
        <w:rPr>
          <w:rFonts w:ascii="Arial" w:cs="Arial" w:eastAsia="Arial" w:hAnsi="Arial"/>
          <w:sz w:val="14"/>
          <w:szCs w:val="14"/>
          <w:color w:val="auto"/>
        </w:rPr>
      </w:pPr>
    </w:p>
    <w:p>
      <w:pPr>
        <w:ind w:left="1780" w:hanging="879"/>
        <w:spacing w:after="0"/>
        <w:tabs>
          <w:tab w:leader="none" w:pos="1780" w:val="left"/>
        </w:tabs>
        <w:numPr>
          <w:ilvl w:val="0"/>
          <w:numId w:val="42"/>
        </w:numPr>
        <w:rPr>
          <w:rFonts w:ascii="Arial" w:cs="Arial" w:eastAsia="Arial" w:hAnsi="Arial"/>
          <w:sz w:val="17"/>
          <w:szCs w:val="17"/>
          <w:color w:val="auto"/>
        </w:rPr>
      </w:pPr>
      <w:r>
        <w:rPr>
          <w:rFonts w:ascii="Arial" w:cs="Arial" w:eastAsia="Arial" w:hAnsi="Arial"/>
          <w:sz w:val="14"/>
          <w:szCs w:val="14"/>
          <w:color w:val="auto"/>
        </w:rPr>
        <w:t>any delay in identifying and advancing a clinical candidate for our other development programs;</w:t>
      </w:r>
    </w:p>
    <w:p>
      <w:pPr>
        <w:spacing w:after="0" w:line="74" w:lineRule="exact"/>
        <w:rPr>
          <w:rFonts w:ascii="Arial" w:cs="Arial" w:eastAsia="Arial" w:hAnsi="Arial"/>
          <w:sz w:val="17"/>
          <w:szCs w:val="17"/>
          <w:color w:val="auto"/>
        </w:rPr>
      </w:pPr>
    </w:p>
    <w:p>
      <w:pPr>
        <w:ind w:left="1800" w:right="80" w:hanging="899"/>
        <w:spacing w:after="0" w:line="267" w:lineRule="auto"/>
        <w:tabs>
          <w:tab w:leader="none" w:pos="1796"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any delay in our regulatory filings for bexotegrast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3" w:lineRule="exact"/>
        <w:rPr>
          <w:rFonts w:ascii="Arial" w:cs="Arial" w:eastAsia="Arial" w:hAnsi="Arial"/>
          <w:sz w:val="14"/>
          <w:szCs w:val="14"/>
          <w:color w:val="auto"/>
        </w:rPr>
      </w:pPr>
    </w:p>
    <w:p>
      <w:pPr>
        <w:ind w:left="1780" w:hanging="879"/>
        <w:spacing w:after="0"/>
        <w:tabs>
          <w:tab w:leader="none" w:pos="1780" w:val="left"/>
        </w:tabs>
        <w:numPr>
          <w:ilvl w:val="0"/>
          <w:numId w:val="42"/>
        </w:numPr>
        <w:rPr>
          <w:rFonts w:ascii="Arial" w:cs="Arial" w:eastAsia="Arial" w:hAnsi="Arial"/>
          <w:sz w:val="17"/>
          <w:szCs w:val="17"/>
          <w:color w:val="auto"/>
        </w:rPr>
      </w:pPr>
      <w:r>
        <w:rPr>
          <w:rFonts w:ascii="Arial" w:cs="Arial" w:eastAsia="Arial" w:hAnsi="Arial"/>
          <w:sz w:val="14"/>
          <w:szCs w:val="14"/>
          <w:color w:val="auto"/>
        </w:rPr>
        <w:t>adverse results or delays in future clinical trials;</w:t>
      </w:r>
    </w:p>
    <w:p>
      <w:pPr>
        <w:spacing w:after="0" w:line="90" w:lineRule="exact"/>
        <w:rPr>
          <w:rFonts w:ascii="Arial" w:cs="Arial" w:eastAsia="Arial" w:hAnsi="Arial"/>
          <w:sz w:val="17"/>
          <w:szCs w:val="17"/>
          <w:color w:val="auto"/>
        </w:rPr>
      </w:pPr>
    </w:p>
    <w:p>
      <w:pPr>
        <w:ind w:left="1780" w:hanging="879"/>
        <w:spacing w:after="0"/>
        <w:tabs>
          <w:tab w:leader="none" w:pos="1780" w:val="left"/>
        </w:tabs>
        <w:numPr>
          <w:ilvl w:val="0"/>
          <w:numId w:val="42"/>
        </w:numPr>
        <w:rPr>
          <w:rFonts w:ascii="Arial" w:cs="Arial" w:eastAsia="Arial" w:hAnsi="Arial"/>
          <w:sz w:val="17"/>
          <w:szCs w:val="17"/>
          <w:color w:val="auto"/>
        </w:rPr>
      </w:pPr>
      <w:r>
        <w:rPr>
          <w:rFonts w:ascii="Arial" w:cs="Arial" w:eastAsia="Arial" w:hAnsi="Arial"/>
          <w:sz w:val="14"/>
          <w:szCs w:val="14"/>
          <w:color w:val="auto"/>
        </w:rPr>
        <w:t>our decision to initiate a clinical trial, not to initiate a clinical trial or to terminate an existing clinical trial;</w:t>
      </w:r>
    </w:p>
    <w:p>
      <w:pPr>
        <w:spacing w:after="0" w:line="90" w:lineRule="exact"/>
        <w:rPr>
          <w:rFonts w:ascii="Arial" w:cs="Arial" w:eastAsia="Arial" w:hAnsi="Arial"/>
          <w:sz w:val="17"/>
          <w:szCs w:val="17"/>
          <w:color w:val="auto"/>
        </w:rPr>
      </w:pPr>
    </w:p>
    <w:p>
      <w:pPr>
        <w:ind w:left="1780" w:hanging="879"/>
        <w:spacing w:after="0"/>
        <w:tabs>
          <w:tab w:leader="none" w:pos="1780" w:val="left"/>
        </w:tabs>
        <w:numPr>
          <w:ilvl w:val="0"/>
          <w:numId w:val="42"/>
        </w:numPr>
        <w:rPr>
          <w:rFonts w:ascii="Arial" w:cs="Arial" w:eastAsia="Arial" w:hAnsi="Arial"/>
          <w:sz w:val="17"/>
          <w:szCs w:val="17"/>
          <w:color w:val="auto"/>
        </w:rPr>
      </w:pPr>
      <w:r>
        <w:rPr>
          <w:rFonts w:ascii="Arial" w:cs="Arial" w:eastAsia="Arial" w:hAnsi="Arial"/>
          <w:sz w:val="14"/>
          <w:szCs w:val="14"/>
          <w:color w:val="auto"/>
        </w:rPr>
        <w:t>adverse regulatory decisions, including failure to receive regulatory approval of bexotegrast or any other product candidate;</w:t>
      </w:r>
    </w:p>
    <w:p>
      <w:pPr>
        <w:spacing w:after="0" w:line="74" w:lineRule="exact"/>
        <w:rPr>
          <w:rFonts w:ascii="Arial" w:cs="Arial" w:eastAsia="Arial" w:hAnsi="Arial"/>
          <w:sz w:val="17"/>
          <w:szCs w:val="17"/>
          <w:color w:val="auto"/>
        </w:rPr>
      </w:pPr>
    </w:p>
    <w:p>
      <w:pPr>
        <w:ind w:left="1780" w:hanging="879"/>
        <w:spacing w:after="0"/>
        <w:tabs>
          <w:tab w:leader="none" w:pos="17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changes in laws or regulations applicable to bexotegrast or any other product candidate, including but not limited to clinical trial requirements for approvals;</w:t>
      </w:r>
    </w:p>
    <w:p>
      <w:pPr>
        <w:spacing w:after="0" w:line="121" w:lineRule="exact"/>
        <w:rPr>
          <w:rFonts w:ascii="Arial" w:cs="Arial" w:eastAsia="Arial" w:hAnsi="Arial"/>
          <w:sz w:val="13"/>
          <w:szCs w:val="13"/>
          <w:color w:val="auto"/>
        </w:rPr>
      </w:pPr>
    </w:p>
    <w:p>
      <w:pPr>
        <w:ind w:left="1780" w:hanging="879"/>
        <w:spacing w:after="0"/>
        <w:tabs>
          <w:tab w:leader="none" w:pos="1780" w:val="left"/>
        </w:tabs>
        <w:numPr>
          <w:ilvl w:val="0"/>
          <w:numId w:val="42"/>
        </w:numPr>
        <w:rPr>
          <w:rFonts w:ascii="Arial" w:cs="Arial" w:eastAsia="Arial" w:hAnsi="Arial"/>
          <w:sz w:val="17"/>
          <w:szCs w:val="17"/>
          <w:color w:val="auto"/>
        </w:rPr>
      </w:pPr>
      <w:r>
        <w:rPr>
          <w:rFonts w:ascii="Arial" w:cs="Arial" w:eastAsia="Arial" w:hAnsi="Arial"/>
          <w:sz w:val="14"/>
          <w:szCs w:val="14"/>
          <w:color w:val="auto"/>
        </w:rPr>
        <w:t>adverse developments concerning our manufacturers;</w:t>
      </w:r>
    </w:p>
    <w:p>
      <w:pPr>
        <w:spacing w:after="0" w:line="90" w:lineRule="exact"/>
        <w:rPr>
          <w:rFonts w:ascii="Arial" w:cs="Arial" w:eastAsia="Arial" w:hAnsi="Arial"/>
          <w:sz w:val="17"/>
          <w:szCs w:val="17"/>
          <w:color w:val="auto"/>
        </w:rPr>
      </w:pPr>
    </w:p>
    <w:p>
      <w:pPr>
        <w:ind w:left="1780" w:hanging="879"/>
        <w:spacing w:after="0"/>
        <w:tabs>
          <w:tab w:leader="none" w:pos="1780" w:val="left"/>
        </w:tabs>
        <w:numPr>
          <w:ilvl w:val="0"/>
          <w:numId w:val="42"/>
        </w:numPr>
        <w:rPr>
          <w:rFonts w:ascii="Arial" w:cs="Arial" w:eastAsia="Arial" w:hAnsi="Arial"/>
          <w:sz w:val="17"/>
          <w:szCs w:val="17"/>
          <w:color w:val="auto"/>
        </w:rPr>
      </w:pPr>
      <w:r>
        <w:rPr>
          <w:rFonts w:ascii="Arial" w:cs="Arial" w:eastAsia="Arial" w:hAnsi="Arial"/>
          <w:sz w:val="14"/>
          <w:szCs w:val="14"/>
          <w:color w:val="auto"/>
        </w:rPr>
        <w:t>our inability to obtain adequate product supply for any approved product or inability to do so at acceptable prices;</w:t>
      </w:r>
    </w:p>
    <w:p>
      <w:pPr>
        <w:spacing w:after="0" w:line="101" w:lineRule="exact"/>
        <w:rPr>
          <w:rFonts w:ascii="Arial" w:cs="Arial" w:eastAsia="Arial" w:hAnsi="Arial"/>
          <w:sz w:val="17"/>
          <w:szCs w:val="17"/>
          <w:color w:val="auto"/>
        </w:rPr>
      </w:pPr>
    </w:p>
    <w:p>
      <w:pPr>
        <w:ind w:left="1780" w:hanging="879"/>
        <w:spacing w:after="0"/>
        <w:tabs>
          <w:tab w:leader="none" w:pos="1780" w:val="left"/>
        </w:tabs>
        <w:numPr>
          <w:ilvl w:val="0"/>
          <w:numId w:val="42"/>
        </w:numPr>
        <w:rPr>
          <w:rFonts w:ascii="Arial" w:cs="Arial" w:eastAsia="Arial" w:hAnsi="Arial"/>
          <w:sz w:val="17"/>
          <w:szCs w:val="17"/>
          <w:color w:val="auto"/>
        </w:rPr>
      </w:pPr>
      <w:r>
        <w:rPr>
          <w:rFonts w:ascii="Arial" w:cs="Arial" w:eastAsia="Arial" w:hAnsi="Arial"/>
          <w:sz w:val="14"/>
          <w:szCs w:val="14"/>
          <w:color w:val="auto"/>
        </w:rPr>
        <w:t>our inability to establish collaborations, if needed;</w:t>
      </w:r>
    </w:p>
    <w:p>
      <w:pPr>
        <w:spacing w:after="0" w:line="90" w:lineRule="exact"/>
        <w:rPr>
          <w:rFonts w:ascii="Arial" w:cs="Arial" w:eastAsia="Arial" w:hAnsi="Arial"/>
          <w:sz w:val="17"/>
          <w:szCs w:val="17"/>
          <w:color w:val="auto"/>
        </w:rPr>
      </w:pPr>
    </w:p>
    <w:p>
      <w:pPr>
        <w:ind w:left="1780" w:hanging="879"/>
        <w:spacing w:after="0"/>
        <w:tabs>
          <w:tab w:leader="none" w:pos="1780" w:val="left"/>
        </w:tabs>
        <w:numPr>
          <w:ilvl w:val="0"/>
          <w:numId w:val="42"/>
        </w:numPr>
        <w:rPr>
          <w:rFonts w:ascii="Arial" w:cs="Arial" w:eastAsia="Arial" w:hAnsi="Arial"/>
          <w:sz w:val="17"/>
          <w:szCs w:val="17"/>
          <w:color w:val="auto"/>
        </w:rPr>
      </w:pPr>
      <w:r>
        <w:rPr>
          <w:rFonts w:ascii="Arial" w:cs="Arial" w:eastAsia="Arial" w:hAnsi="Arial"/>
          <w:sz w:val="14"/>
          <w:szCs w:val="14"/>
          <w:color w:val="auto"/>
        </w:rPr>
        <w:t>our failure to commercialize our product candidates, if approved;</w:t>
      </w:r>
    </w:p>
    <w:p>
      <w:pPr>
        <w:spacing w:after="0" w:line="90" w:lineRule="exact"/>
        <w:rPr>
          <w:rFonts w:ascii="Arial" w:cs="Arial" w:eastAsia="Arial" w:hAnsi="Arial"/>
          <w:sz w:val="17"/>
          <w:szCs w:val="17"/>
          <w:color w:val="auto"/>
        </w:rPr>
      </w:pPr>
    </w:p>
    <w:p>
      <w:pPr>
        <w:ind w:left="1780" w:hanging="879"/>
        <w:spacing w:after="0"/>
        <w:tabs>
          <w:tab w:leader="none" w:pos="1780" w:val="left"/>
        </w:tabs>
        <w:numPr>
          <w:ilvl w:val="0"/>
          <w:numId w:val="42"/>
        </w:numPr>
        <w:rPr>
          <w:rFonts w:ascii="Arial" w:cs="Arial" w:eastAsia="Arial" w:hAnsi="Arial"/>
          <w:sz w:val="17"/>
          <w:szCs w:val="17"/>
          <w:color w:val="auto"/>
        </w:rPr>
      </w:pPr>
      <w:r>
        <w:rPr>
          <w:rFonts w:ascii="Arial" w:cs="Arial" w:eastAsia="Arial" w:hAnsi="Arial"/>
          <w:sz w:val="14"/>
          <w:szCs w:val="14"/>
          <w:color w:val="auto"/>
        </w:rPr>
        <w:t>additions or departures of key scientific or management personnel;</w:t>
      </w:r>
    </w:p>
    <w:p>
      <w:pPr>
        <w:spacing w:after="0" w:line="74" w:lineRule="exact"/>
        <w:rPr>
          <w:rFonts w:ascii="Arial" w:cs="Arial" w:eastAsia="Arial" w:hAnsi="Arial"/>
          <w:sz w:val="17"/>
          <w:szCs w:val="17"/>
          <w:color w:val="auto"/>
        </w:rPr>
      </w:pPr>
    </w:p>
    <w:p>
      <w:pPr>
        <w:ind w:left="1780" w:hanging="879"/>
        <w:spacing w:after="0"/>
        <w:tabs>
          <w:tab w:leader="none" w:pos="17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unanticipated serious safety concerns related to the use of bexotegrast or any other product candidate;</w:t>
      </w:r>
    </w:p>
    <w:p>
      <w:pPr>
        <w:spacing w:after="0" w:line="110" w:lineRule="exact"/>
        <w:rPr>
          <w:rFonts w:ascii="Arial" w:cs="Arial" w:eastAsia="Arial" w:hAnsi="Arial"/>
          <w:sz w:val="14"/>
          <w:szCs w:val="14"/>
          <w:color w:val="auto"/>
        </w:rPr>
      </w:pPr>
    </w:p>
    <w:p>
      <w:pPr>
        <w:ind w:left="1780" w:hanging="879"/>
        <w:spacing w:after="0"/>
        <w:tabs>
          <w:tab w:leader="none" w:pos="1780" w:val="left"/>
        </w:tabs>
        <w:numPr>
          <w:ilvl w:val="0"/>
          <w:numId w:val="42"/>
        </w:numPr>
        <w:rPr>
          <w:rFonts w:ascii="Arial" w:cs="Arial" w:eastAsia="Arial" w:hAnsi="Arial"/>
          <w:sz w:val="17"/>
          <w:szCs w:val="17"/>
          <w:color w:val="auto"/>
        </w:rPr>
      </w:pPr>
      <w:r>
        <w:rPr>
          <w:rFonts w:ascii="Arial" w:cs="Arial" w:eastAsia="Arial" w:hAnsi="Arial"/>
          <w:sz w:val="14"/>
          <w:szCs w:val="14"/>
          <w:color w:val="auto"/>
        </w:rPr>
        <w:t>introduction of new products or services offered by us or our competitors;</w:t>
      </w:r>
    </w:p>
    <w:p>
      <w:pPr>
        <w:spacing w:after="0" w:line="90" w:lineRule="exact"/>
        <w:rPr>
          <w:rFonts w:ascii="Arial" w:cs="Arial" w:eastAsia="Arial" w:hAnsi="Arial"/>
          <w:sz w:val="17"/>
          <w:szCs w:val="17"/>
          <w:color w:val="auto"/>
        </w:rPr>
      </w:pPr>
    </w:p>
    <w:p>
      <w:pPr>
        <w:ind w:left="1780" w:hanging="879"/>
        <w:spacing w:after="0"/>
        <w:tabs>
          <w:tab w:leader="none" w:pos="1780" w:val="left"/>
        </w:tabs>
        <w:numPr>
          <w:ilvl w:val="0"/>
          <w:numId w:val="42"/>
        </w:numPr>
        <w:rPr>
          <w:rFonts w:ascii="Arial" w:cs="Arial" w:eastAsia="Arial" w:hAnsi="Arial"/>
          <w:sz w:val="17"/>
          <w:szCs w:val="17"/>
          <w:color w:val="auto"/>
        </w:rPr>
      </w:pPr>
      <w:r>
        <w:rPr>
          <w:rFonts w:ascii="Arial" w:cs="Arial" w:eastAsia="Arial" w:hAnsi="Arial"/>
          <w:sz w:val="14"/>
          <w:szCs w:val="14"/>
          <w:color w:val="auto"/>
        </w:rPr>
        <w:t>announcements of significant acquisitions, strategic partnerships, joint ventures or capital commitments by us or our competitors;</w:t>
      </w:r>
    </w:p>
    <w:p>
      <w:pPr>
        <w:spacing w:after="0" w:line="101" w:lineRule="exact"/>
        <w:rPr>
          <w:rFonts w:ascii="Arial" w:cs="Arial" w:eastAsia="Arial" w:hAnsi="Arial"/>
          <w:sz w:val="17"/>
          <w:szCs w:val="17"/>
          <w:color w:val="auto"/>
        </w:rPr>
      </w:pPr>
    </w:p>
    <w:p>
      <w:pPr>
        <w:ind w:left="1780" w:hanging="879"/>
        <w:spacing w:after="0"/>
        <w:tabs>
          <w:tab w:leader="none" w:pos="1780" w:val="left"/>
        </w:tabs>
        <w:numPr>
          <w:ilvl w:val="0"/>
          <w:numId w:val="42"/>
        </w:numPr>
        <w:rPr>
          <w:rFonts w:ascii="Arial" w:cs="Arial" w:eastAsia="Arial" w:hAnsi="Arial"/>
          <w:sz w:val="17"/>
          <w:szCs w:val="17"/>
          <w:color w:val="auto"/>
        </w:rPr>
      </w:pPr>
      <w:r>
        <w:rPr>
          <w:rFonts w:ascii="Arial" w:cs="Arial" w:eastAsia="Arial" w:hAnsi="Arial"/>
          <w:sz w:val="14"/>
          <w:szCs w:val="14"/>
          <w:color w:val="auto"/>
        </w:rPr>
        <w:t>our ability to effectively manage our growth;</w:t>
      </w:r>
    </w:p>
    <w:p>
      <w:pPr>
        <w:spacing w:after="0" w:line="90" w:lineRule="exact"/>
        <w:rPr>
          <w:rFonts w:ascii="Arial" w:cs="Arial" w:eastAsia="Arial" w:hAnsi="Arial"/>
          <w:sz w:val="17"/>
          <w:szCs w:val="17"/>
          <w:color w:val="auto"/>
        </w:rPr>
      </w:pPr>
    </w:p>
    <w:p>
      <w:pPr>
        <w:ind w:left="1780" w:hanging="879"/>
        <w:spacing w:after="0"/>
        <w:tabs>
          <w:tab w:leader="none" w:pos="1780" w:val="left"/>
        </w:tabs>
        <w:numPr>
          <w:ilvl w:val="0"/>
          <w:numId w:val="42"/>
        </w:numPr>
        <w:rPr>
          <w:rFonts w:ascii="Arial" w:cs="Arial" w:eastAsia="Arial" w:hAnsi="Arial"/>
          <w:sz w:val="17"/>
          <w:szCs w:val="17"/>
          <w:color w:val="auto"/>
        </w:rPr>
      </w:pPr>
      <w:r>
        <w:rPr>
          <w:rFonts w:ascii="Arial" w:cs="Arial" w:eastAsia="Arial" w:hAnsi="Arial"/>
          <w:sz w:val="14"/>
          <w:szCs w:val="14"/>
          <w:color w:val="auto"/>
        </w:rPr>
        <w:t>actual or anticipated variations in quarterly operating results;</w:t>
      </w:r>
    </w:p>
    <w:p>
      <w:pPr>
        <w:spacing w:after="0" w:line="90" w:lineRule="exact"/>
        <w:rPr>
          <w:rFonts w:ascii="Arial" w:cs="Arial" w:eastAsia="Arial" w:hAnsi="Arial"/>
          <w:sz w:val="17"/>
          <w:szCs w:val="17"/>
          <w:color w:val="auto"/>
        </w:rPr>
      </w:pPr>
    </w:p>
    <w:p>
      <w:pPr>
        <w:ind w:left="1780" w:hanging="879"/>
        <w:spacing w:after="0"/>
        <w:tabs>
          <w:tab w:leader="none" w:pos="1780" w:val="left"/>
        </w:tabs>
        <w:numPr>
          <w:ilvl w:val="0"/>
          <w:numId w:val="42"/>
        </w:numPr>
        <w:rPr>
          <w:rFonts w:ascii="Arial" w:cs="Arial" w:eastAsia="Arial" w:hAnsi="Arial"/>
          <w:sz w:val="17"/>
          <w:szCs w:val="17"/>
          <w:color w:val="auto"/>
        </w:rPr>
      </w:pPr>
      <w:r>
        <w:rPr>
          <w:rFonts w:ascii="Arial" w:cs="Arial" w:eastAsia="Arial" w:hAnsi="Arial"/>
          <w:sz w:val="14"/>
          <w:szCs w:val="14"/>
          <w:color w:val="auto"/>
        </w:rPr>
        <w:t>our cash position;</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ind w:left="1780" w:hanging="879"/>
        <w:spacing w:after="0"/>
        <w:tabs>
          <w:tab w:leader="none" w:pos="1780" w:val="left"/>
        </w:tabs>
        <w:numPr>
          <w:ilvl w:val="0"/>
          <w:numId w:val="43"/>
        </w:numPr>
        <w:rPr>
          <w:rFonts w:ascii="Arial" w:cs="Arial" w:eastAsia="Arial" w:hAnsi="Arial"/>
          <w:sz w:val="17"/>
          <w:szCs w:val="17"/>
          <w:color w:val="auto"/>
        </w:rPr>
      </w:pPr>
      <w:r>
        <w:rPr>
          <w:rFonts w:ascii="Arial" w:cs="Arial" w:eastAsia="Arial" w:hAnsi="Arial"/>
          <w:sz w:val="14"/>
          <w:szCs w:val="14"/>
          <w:color w:val="auto"/>
        </w:rPr>
        <w:t>our failure to meet the estimates and projections of the investment community or that we may otherwise provide to the public;</w:t>
      </w:r>
    </w:p>
    <w:p>
      <w:pPr>
        <w:spacing w:after="0" w:line="106" w:lineRule="exact"/>
        <w:rPr>
          <w:rFonts w:ascii="Arial" w:cs="Arial" w:eastAsia="Arial" w:hAnsi="Arial"/>
          <w:sz w:val="17"/>
          <w:szCs w:val="17"/>
          <w:color w:val="auto"/>
        </w:rPr>
      </w:pPr>
    </w:p>
    <w:p>
      <w:pPr>
        <w:ind w:left="1800" w:right="520" w:hanging="899"/>
        <w:spacing w:after="0" w:line="235" w:lineRule="auto"/>
        <w:tabs>
          <w:tab w:leader="none" w:pos="1796" w:val="left"/>
        </w:tabs>
        <w:numPr>
          <w:ilvl w:val="0"/>
          <w:numId w:val="43"/>
        </w:numPr>
        <w:rPr>
          <w:rFonts w:ascii="Arial" w:cs="Arial" w:eastAsia="Arial" w:hAnsi="Arial"/>
          <w:sz w:val="17"/>
          <w:szCs w:val="17"/>
          <w:color w:val="auto"/>
        </w:rPr>
      </w:pPr>
      <w:r>
        <w:rPr>
          <w:rFonts w:ascii="Arial" w:cs="Arial" w:eastAsia="Arial" w:hAnsi="Arial"/>
          <w:sz w:val="14"/>
          <w:szCs w:val="14"/>
          <w:color w:val="auto"/>
        </w:rPr>
        <w:t>publication of research reports about us or our industry, or product candidates in particular, or positive or negative recommendations or withdrawal of research coverage by securities analysts;</w:t>
      </w:r>
    </w:p>
    <w:p>
      <w:pPr>
        <w:spacing w:after="0" w:line="91" w:lineRule="exact"/>
        <w:rPr>
          <w:rFonts w:ascii="Arial" w:cs="Arial" w:eastAsia="Arial" w:hAnsi="Arial"/>
          <w:sz w:val="17"/>
          <w:szCs w:val="17"/>
          <w:color w:val="auto"/>
        </w:rPr>
      </w:pPr>
    </w:p>
    <w:p>
      <w:pPr>
        <w:ind w:left="1780" w:hanging="879"/>
        <w:spacing w:after="0"/>
        <w:tabs>
          <w:tab w:leader="none" w:pos="1780" w:val="left"/>
        </w:tabs>
        <w:numPr>
          <w:ilvl w:val="0"/>
          <w:numId w:val="43"/>
        </w:numPr>
        <w:rPr>
          <w:rFonts w:ascii="Arial" w:cs="Arial" w:eastAsia="Arial" w:hAnsi="Arial"/>
          <w:sz w:val="17"/>
          <w:szCs w:val="17"/>
          <w:color w:val="auto"/>
        </w:rPr>
      </w:pPr>
      <w:r>
        <w:rPr>
          <w:rFonts w:ascii="Arial" w:cs="Arial" w:eastAsia="Arial" w:hAnsi="Arial"/>
          <w:sz w:val="14"/>
          <w:szCs w:val="14"/>
          <w:color w:val="auto"/>
        </w:rPr>
        <w:t>changes in the market valuations of similar companies;</w:t>
      </w:r>
    </w:p>
    <w:p>
      <w:pPr>
        <w:spacing w:after="0" w:line="101" w:lineRule="exact"/>
        <w:rPr>
          <w:rFonts w:ascii="Arial" w:cs="Arial" w:eastAsia="Arial" w:hAnsi="Arial"/>
          <w:sz w:val="17"/>
          <w:szCs w:val="17"/>
          <w:color w:val="auto"/>
        </w:rPr>
      </w:pPr>
    </w:p>
    <w:p>
      <w:pPr>
        <w:ind w:left="1780" w:hanging="879"/>
        <w:spacing w:after="0"/>
        <w:tabs>
          <w:tab w:leader="none" w:pos="1780" w:val="left"/>
        </w:tabs>
        <w:numPr>
          <w:ilvl w:val="0"/>
          <w:numId w:val="43"/>
        </w:numPr>
        <w:rPr>
          <w:rFonts w:ascii="Arial" w:cs="Arial" w:eastAsia="Arial" w:hAnsi="Arial"/>
          <w:sz w:val="17"/>
          <w:szCs w:val="17"/>
          <w:color w:val="auto"/>
        </w:rPr>
      </w:pPr>
      <w:r>
        <w:rPr>
          <w:rFonts w:ascii="Arial" w:cs="Arial" w:eastAsia="Arial" w:hAnsi="Arial"/>
          <w:sz w:val="14"/>
          <w:szCs w:val="14"/>
          <w:color w:val="auto"/>
        </w:rPr>
        <w:t>changes in the structure of the healthcare payment systems;</w:t>
      </w:r>
    </w:p>
    <w:p>
      <w:pPr>
        <w:spacing w:after="0" w:line="90" w:lineRule="exact"/>
        <w:rPr>
          <w:rFonts w:ascii="Arial" w:cs="Arial" w:eastAsia="Arial" w:hAnsi="Arial"/>
          <w:sz w:val="17"/>
          <w:szCs w:val="17"/>
          <w:color w:val="auto"/>
        </w:rPr>
      </w:pPr>
    </w:p>
    <w:p>
      <w:pPr>
        <w:ind w:left="1780" w:hanging="879"/>
        <w:spacing w:after="0"/>
        <w:tabs>
          <w:tab w:leader="none" w:pos="1780" w:val="left"/>
        </w:tabs>
        <w:numPr>
          <w:ilvl w:val="0"/>
          <w:numId w:val="43"/>
        </w:numPr>
        <w:rPr>
          <w:rFonts w:ascii="Arial" w:cs="Arial" w:eastAsia="Arial" w:hAnsi="Arial"/>
          <w:sz w:val="17"/>
          <w:szCs w:val="17"/>
          <w:color w:val="auto"/>
        </w:rPr>
      </w:pPr>
      <w:r>
        <w:rPr>
          <w:rFonts w:ascii="Arial" w:cs="Arial" w:eastAsia="Arial" w:hAnsi="Arial"/>
          <w:sz w:val="14"/>
          <w:szCs w:val="14"/>
          <w:color w:val="auto"/>
        </w:rPr>
        <w:t>overall performance of the equity markets;</w:t>
      </w:r>
    </w:p>
    <w:p>
      <w:pPr>
        <w:spacing w:after="0" w:line="90" w:lineRule="exact"/>
        <w:rPr>
          <w:rFonts w:ascii="Arial" w:cs="Arial" w:eastAsia="Arial" w:hAnsi="Arial"/>
          <w:sz w:val="17"/>
          <w:szCs w:val="17"/>
          <w:color w:val="auto"/>
        </w:rPr>
      </w:pPr>
    </w:p>
    <w:p>
      <w:pPr>
        <w:ind w:left="1780" w:hanging="879"/>
        <w:spacing w:after="0"/>
        <w:tabs>
          <w:tab w:leader="none" w:pos="1780" w:val="left"/>
        </w:tabs>
        <w:numPr>
          <w:ilvl w:val="0"/>
          <w:numId w:val="43"/>
        </w:numPr>
        <w:rPr>
          <w:rFonts w:ascii="Arial" w:cs="Arial" w:eastAsia="Arial" w:hAnsi="Arial"/>
          <w:sz w:val="17"/>
          <w:szCs w:val="17"/>
          <w:color w:val="auto"/>
        </w:rPr>
      </w:pPr>
      <w:r>
        <w:rPr>
          <w:rFonts w:ascii="Arial" w:cs="Arial" w:eastAsia="Arial" w:hAnsi="Arial"/>
          <w:sz w:val="14"/>
          <w:szCs w:val="14"/>
          <w:color w:val="auto"/>
        </w:rPr>
        <w:t>sales of our common stock by us or our stockholders in the future;</w:t>
      </w:r>
    </w:p>
    <w:p>
      <w:pPr>
        <w:spacing w:after="0" w:line="90" w:lineRule="exact"/>
        <w:rPr>
          <w:rFonts w:ascii="Arial" w:cs="Arial" w:eastAsia="Arial" w:hAnsi="Arial"/>
          <w:sz w:val="17"/>
          <w:szCs w:val="17"/>
          <w:color w:val="auto"/>
        </w:rPr>
      </w:pPr>
    </w:p>
    <w:p>
      <w:pPr>
        <w:ind w:left="1780" w:hanging="879"/>
        <w:spacing w:after="0"/>
        <w:tabs>
          <w:tab w:leader="none" w:pos="1780" w:val="left"/>
        </w:tabs>
        <w:numPr>
          <w:ilvl w:val="0"/>
          <w:numId w:val="43"/>
        </w:numPr>
        <w:rPr>
          <w:rFonts w:ascii="Arial" w:cs="Arial" w:eastAsia="Arial" w:hAnsi="Arial"/>
          <w:sz w:val="17"/>
          <w:szCs w:val="17"/>
          <w:color w:val="auto"/>
        </w:rPr>
      </w:pPr>
      <w:r>
        <w:rPr>
          <w:rFonts w:ascii="Arial" w:cs="Arial" w:eastAsia="Arial" w:hAnsi="Arial"/>
          <w:sz w:val="14"/>
          <w:szCs w:val="14"/>
          <w:color w:val="auto"/>
        </w:rPr>
        <w:t>trading volume of our common stock;</w:t>
      </w:r>
    </w:p>
    <w:p>
      <w:pPr>
        <w:spacing w:after="0" w:line="90" w:lineRule="exact"/>
        <w:rPr>
          <w:rFonts w:ascii="Arial" w:cs="Arial" w:eastAsia="Arial" w:hAnsi="Arial"/>
          <w:sz w:val="17"/>
          <w:szCs w:val="17"/>
          <w:color w:val="auto"/>
        </w:rPr>
      </w:pPr>
    </w:p>
    <w:p>
      <w:pPr>
        <w:ind w:left="1780" w:hanging="879"/>
        <w:spacing w:after="0"/>
        <w:tabs>
          <w:tab w:leader="none" w:pos="1780" w:val="left"/>
        </w:tabs>
        <w:numPr>
          <w:ilvl w:val="0"/>
          <w:numId w:val="43"/>
        </w:numPr>
        <w:rPr>
          <w:rFonts w:ascii="Arial" w:cs="Arial" w:eastAsia="Arial" w:hAnsi="Arial"/>
          <w:sz w:val="17"/>
          <w:szCs w:val="17"/>
          <w:color w:val="auto"/>
        </w:rPr>
      </w:pPr>
      <w:r>
        <w:rPr>
          <w:rFonts w:ascii="Arial" w:cs="Arial" w:eastAsia="Arial" w:hAnsi="Arial"/>
          <w:sz w:val="14"/>
          <w:szCs w:val="14"/>
          <w:color w:val="auto"/>
        </w:rPr>
        <w:t>changes in accounting practices;</w:t>
      </w:r>
    </w:p>
    <w:p>
      <w:pPr>
        <w:spacing w:after="0" w:line="101" w:lineRule="exact"/>
        <w:rPr>
          <w:rFonts w:ascii="Arial" w:cs="Arial" w:eastAsia="Arial" w:hAnsi="Arial"/>
          <w:sz w:val="17"/>
          <w:szCs w:val="17"/>
          <w:color w:val="auto"/>
        </w:rPr>
      </w:pPr>
    </w:p>
    <w:p>
      <w:pPr>
        <w:ind w:left="1780" w:hanging="879"/>
        <w:spacing w:after="0"/>
        <w:tabs>
          <w:tab w:leader="none" w:pos="1780" w:val="left"/>
        </w:tabs>
        <w:numPr>
          <w:ilvl w:val="0"/>
          <w:numId w:val="43"/>
        </w:numPr>
        <w:rPr>
          <w:rFonts w:ascii="Arial" w:cs="Arial" w:eastAsia="Arial" w:hAnsi="Arial"/>
          <w:sz w:val="17"/>
          <w:szCs w:val="17"/>
          <w:color w:val="auto"/>
        </w:rPr>
      </w:pPr>
      <w:r>
        <w:rPr>
          <w:rFonts w:ascii="Arial" w:cs="Arial" w:eastAsia="Arial" w:hAnsi="Arial"/>
          <w:sz w:val="14"/>
          <w:szCs w:val="14"/>
          <w:color w:val="auto"/>
        </w:rPr>
        <w:t>ineffectiveness of our internal controls;</w:t>
      </w:r>
    </w:p>
    <w:p>
      <w:pPr>
        <w:spacing w:after="0" w:line="102" w:lineRule="exact"/>
        <w:rPr>
          <w:rFonts w:ascii="Arial" w:cs="Arial" w:eastAsia="Arial" w:hAnsi="Arial"/>
          <w:sz w:val="17"/>
          <w:szCs w:val="17"/>
          <w:color w:val="auto"/>
        </w:rPr>
      </w:pPr>
    </w:p>
    <w:p>
      <w:pPr>
        <w:ind w:left="1780" w:hanging="879"/>
        <w:spacing w:after="0"/>
        <w:tabs>
          <w:tab w:leader="none" w:pos="1780" w:val="left"/>
        </w:tabs>
        <w:numPr>
          <w:ilvl w:val="0"/>
          <w:numId w:val="43"/>
        </w:numPr>
        <w:rPr>
          <w:rFonts w:ascii="Arial" w:cs="Arial" w:eastAsia="Arial" w:hAnsi="Arial"/>
          <w:sz w:val="16"/>
          <w:szCs w:val="16"/>
          <w:color w:val="auto"/>
        </w:rPr>
      </w:pPr>
      <w:r>
        <w:rPr>
          <w:rFonts w:ascii="Arial" w:cs="Arial" w:eastAsia="Arial" w:hAnsi="Arial"/>
          <w:sz w:val="13"/>
          <w:szCs w:val="13"/>
          <w:color w:val="auto"/>
        </w:rPr>
        <w:t>disputes or other developments relating to proprietary rights, including patents, litigation matters and our ability to obtain patent protection for our technologies;</w:t>
      </w:r>
    </w:p>
    <w:p>
      <w:pPr>
        <w:spacing w:after="0" w:line="90" w:lineRule="exact"/>
        <w:rPr>
          <w:rFonts w:ascii="Arial" w:cs="Arial" w:eastAsia="Arial" w:hAnsi="Arial"/>
          <w:sz w:val="16"/>
          <w:szCs w:val="16"/>
          <w:color w:val="auto"/>
        </w:rPr>
      </w:pPr>
    </w:p>
    <w:p>
      <w:pPr>
        <w:ind w:left="1780" w:hanging="879"/>
        <w:spacing w:after="0"/>
        <w:tabs>
          <w:tab w:leader="none" w:pos="1780" w:val="left"/>
        </w:tabs>
        <w:numPr>
          <w:ilvl w:val="0"/>
          <w:numId w:val="43"/>
        </w:numPr>
        <w:rPr>
          <w:rFonts w:ascii="Arial" w:cs="Arial" w:eastAsia="Arial" w:hAnsi="Arial"/>
          <w:sz w:val="17"/>
          <w:szCs w:val="17"/>
          <w:color w:val="auto"/>
        </w:rPr>
      </w:pPr>
      <w:r>
        <w:rPr>
          <w:rFonts w:ascii="Arial" w:cs="Arial" w:eastAsia="Arial" w:hAnsi="Arial"/>
          <w:sz w:val="14"/>
          <w:szCs w:val="14"/>
          <w:color w:val="auto"/>
        </w:rPr>
        <w:t>significant lawsuits, including patent or stockholder litigation;</w:t>
      </w:r>
    </w:p>
    <w:p>
      <w:pPr>
        <w:spacing w:after="0" w:line="90" w:lineRule="exact"/>
        <w:rPr>
          <w:rFonts w:ascii="Arial" w:cs="Arial" w:eastAsia="Arial" w:hAnsi="Arial"/>
          <w:sz w:val="17"/>
          <w:szCs w:val="17"/>
          <w:color w:val="auto"/>
        </w:rPr>
      </w:pPr>
    </w:p>
    <w:p>
      <w:pPr>
        <w:ind w:left="1780" w:hanging="879"/>
        <w:spacing w:after="0"/>
        <w:tabs>
          <w:tab w:leader="none" w:pos="1780" w:val="left"/>
        </w:tabs>
        <w:numPr>
          <w:ilvl w:val="0"/>
          <w:numId w:val="43"/>
        </w:numPr>
        <w:rPr>
          <w:rFonts w:ascii="Arial" w:cs="Arial" w:eastAsia="Arial" w:hAnsi="Arial"/>
          <w:sz w:val="17"/>
          <w:szCs w:val="17"/>
          <w:color w:val="auto"/>
        </w:rPr>
      </w:pPr>
      <w:r>
        <w:rPr>
          <w:rFonts w:ascii="Arial" w:cs="Arial" w:eastAsia="Arial" w:hAnsi="Arial"/>
          <w:sz w:val="14"/>
          <w:szCs w:val="14"/>
          <w:color w:val="auto"/>
        </w:rPr>
        <w:t>general political and economic conditions; and</w:t>
      </w:r>
    </w:p>
    <w:p>
      <w:pPr>
        <w:spacing w:after="0" w:line="90" w:lineRule="exact"/>
        <w:rPr>
          <w:rFonts w:ascii="Arial" w:cs="Arial" w:eastAsia="Arial" w:hAnsi="Arial"/>
          <w:sz w:val="17"/>
          <w:szCs w:val="17"/>
          <w:color w:val="auto"/>
        </w:rPr>
      </w:pPr>
    </w:p>
    <w:p>
      <w:pPr>
        <w:ind w:left="1780" w:hanging="879"/>
        <w:spacing w:after="0"/>
        <w:tabs>
          <w:tab w:leader="none" w:pos="1780" w:val="left"/>
        </w:tabs>
        <w:numPr>
          <w:ilvl w:val="0"/>
          <w:numId w:val="43"/>
        </w:numPr>
        <w:rPr>
          <w:rFonts w:ascii="Arial" w:cs="Arial" w:eastAsia="Arial" w:hAnsi="Arial"/>
          <w:sz w:val="17"/>
          <w:szCs w:val="17"/>
          <w:color w:val="auto"/>
        </w:rPr>
      </w:pPr>
      <w:r>
        <w:rPr>
          <w:rFonts w:ascii="Arial" w:cs="Arial" w:eastAsia="Arial" w:hAnsi="Arial"/>
          <w:sz w:val="14"/>
          <w:szCs w:val="14"/>
          <w:color w:val="auto"/>
        </w:rPr>
        <w:t>other events or factors, many of which are beyond our control.</w:t>
      </w:r>
    </w:p>
    <w:p>
      <w:pPr>
        <w:spacing w:after="0" w:line="75" w:lineRule="exact"/>
        <w:rPr>
          <w:sz w:val="20"/>
          <w:szCs w:val="20"/>
          <w:color w:val="auto"/>
        </w:rPr>
      </w:pPr>
    </w:p>
    <w:p>
      <w:pPr>
        <w:ind w:right="120" w:firstLine="764"/>
        <w:spacing w:after="0" w:line="260" w:lineRule="auto"/>
        <w:rPr>
          <w:sz w:val="20"/>
          <w:szCs w:val="20"/>
          <w:color w:val="auto"/>
        </w:rPr>
      </w:pPr>
      <w:r>
        <w:rPr>
          <w:rFonts w:ascii="Arial" w:cs="Arial" w:eastAsia="Arial" w:hAnsi="Arial"/>
          <w:sz w:val="14"/>
          <w:szCs w:val="14"/>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the COVID-19 pandemic, the Russian invasion of Ukraine and rising inflationary pressures.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We do not intend to pay dividends on our common stock so any returns will be limited to the value of our stock.</w:t>
      </w:r>
    </w:p>
    <w:p>
      <w:pPr>
        <w:spacing w:after="0" w:line="94" w:lineRule="exact"/>
        <w:rPr>
          <w:sz w:val="20"/>
          <w:szCs w:val="20"/>
          <w:color w:val="auto"/>
        </w:rPr>
      </w:pPr>
    </w:p>
    <w:p>
      <w:pPr>
        <w:ind w:firstLine="764"/>
        <w:spacing w:after="0" w:line="297" w:lineRule="auto"/>
        <w:rPr>
          <w:sz w:val="20"/>
          <w:szCs w:val="20"/>
          <w:color w:val="auto"/>
        </w:rPr>
      </w:pPr>
      <w:r>
        <w:rPr>
          <w:rFonts w:ascii="Arial" w:cs="Arial" w:eastAsia="Arial" w:hAnsi="Arial"/>
          <w:sz w:val="13"/>
          <w:szCs w:val="13"/>
          <w:color w:val="auto"/>
        </w:rPr>
        <w:t>We have never declared or paid any cash dividends on our capital stock. We currently intend to retain all available funds and any future earnings to fund the development, operation and growth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spacing w:after="0" w:line="39" w:lineRule="exact"/>
        <w:rPr>
          <w:sz w:val="20"/>
          <w:szCs w:val="20"/>
          <w:color w:val="auto"/>
        </w:rPr>
      </w:pPr>
    </w:p>
    <w:p>
      <w:pPr>
        <w:ind w:right="460" w:firstLine="764"/>
        <w:spacing w:after="0" w:line="281" w:lineRule="auto"/>
        <w:rPr>
          <w:sz w:val="20"/>
          <w:szCs w:val="20"/>
          <w:color w:val="auto"/>
        </w:rPr>
      </w:pPr>
      <w:r>
        <w:rPr>
          <w:rFonts w:ascii="Arial" w:cs="Arial" w:eastAsia="Arial" w:hAnsi="Arial"/>
          <w:sz w:val="14"/>
          <w:szCs w:val="14"/>
          <w:b w:val="1"/>
          <w:bCs w:val="1"/>
          <w:i w:val="1"/>
          <w:iCs w:val="1"/>
          <w:color w:val="auto"/>
        </w:rPr>
        <w:t>Our executive officers, directors and their affiliates and our principal stockholders own a significant percentage of our stock and will be able to exert significant control over matters subject to stockholder approval.</w:t>
      </w:r>
    </w:p>
    <w:p>
      <w:pPr>
        <w:spacing w:after="0" w:line="47" w:lineRule="exact"/>
        <w:rPr>
          <w:sz w:val="20"/>
          <w:szCs w:val="20"/>
          <w:color w:val="auto"/>
        </w:rPr>
      </w:pPr>
    </w:p>
    <w:p>
      <w:pPr>
        <w:ind w:right="160" w:firstLine="764"/>
        <w:spacing w:after="0" w:line="262" w:lineRule="auto"/>
        <w:rPr>
          <w:sz w:val="20"/>
          <w:szCs w:val="20"/>
          <w:color w:val="auto"/>
        </w:rPr>
      </w:pPr>
      <w:r>
        <w:rPr>
          <w:rFonts w:ascii="Arial" w:cs="Arial" w:eastAsia="Arial" w:hAnsi="Arial"/>
          <w:sz w:val="14"/>
          <w:szCs w:val="14"/>
          <w:color w:val="auto"/>
        </w:rPr>
        <w:t>Our executive officers, directors and our principal stockholders beneficially hold a significant portion of our voting stock. These stockholders, acting together, may be able to significantly influence matters requiring stockholder approval. For example, 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auto"/>
        </w:rPr>
        <w:t>If there are substantial sales of shares of our common stock, the price of our common stock could decline.</w:t>
      </w:r>
    </w:p>
    <w:p>
      <w:pPr>
        <w:spacing w:after="0" w:line="94" w:lineRule="exact"/>
        <w:rPr>
          <w:sz w:val="20"/>
          <w:szCs w:val="20"/>
          <w:color w:val="auto"/>
        </w:rPr>
      </w:pPr>
    </w:p>
    <w:p>
      <w:pPr>
        <w:ind w:firstLine="764"/>
        <w:spacing w:after="0" w:line="262" w:lineRule="auto"/>
        <w:rPr>
          <w:sz w:val="20"/>
          <w:szCs w:val="20"/>
          <w:color w:val="auto"/>
        </w:rPr>
      </w:pPr>
      <w:r>
        <w:rPr>
          <w:rFonts w:ascii="Arial" w:cs="Arial" w:eastAsia="Arial" w:hAnsi="Arial"/>
          <w:sz w:val="14"/>
          <w:szCs w:val="14"/>
          <w:color w:val="auto"/>
        </w:rPr>
        <w:t>Shares of common stock that are either subject to outstanding options or reserved for future issuance under our existing equity compensation plans will become eligible for sale in the public market as they become vested. If these additional shares of common stock are sold, or if it is perceived that they will be sold, in the public market, the trading price of our common stock could decline. Additionally, the number of shares of our common stock reserved for issuance under our 2020 Stock Option and Incentive Plan will automatically increase on January 1 of each year by 5% of the total</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number of shares of our capital stock outstanding on December 31 of the preceding calendar year, or a lesser number of shares determined by our board of directors or compensation committee. Moreover, the number of shares of our common stock reserved for issuance under our 2020 Employee Stock Purchase Plan, or ESPP, will automatically increase on January 1 of each year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spacing w:after="0" w:line="62" w:lineRule="exact"/>
        <w:rPr>
          <w:sz w:val="20"/>
          <w:szCs w:val="20"/>
          <w:color w:val="auto"/>
        </w:rPr>
      </w:pPr>
    </w:p>
    <w:p>
      <w:pPr>
        <w:ind w:right="180" w:firstLine="764"/>
        <w:spacing w:after="0" w:line="281" w:lineRule="auto"/>
        <w:rPr>
          <w:sz w:val="20"/>
          <w:szCs w:val="20"/>
          <w:color w:val="auto"/>
        </w:rPr>
      </w:pPr>
      <w:r>
        <w:rPr>
          <w:rFonts w:ascii="Arial" w:cs="Arial" w:eastAsia="Arial" w:hAnsi="Arial"/>
          <w:sz w:val="14"/>
          <w:szCs w:val="14"/>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47" w:lineRule="exact"/>
        <w:rPr>
          <w:sz w:val="20"/>
          <w:szCs w:val="20"/>
          <w:color w:val="auto"/>
        </w:rPr>
      </w:pPr>
    </w:p>
    <w:p>
      <w:pPr>
        <w:ind w:right="80" w:firstLine="764"/>
        <w:spacing w:after="0" w:line="281" w:lineRule="auto"/>
        <w:rPr>
          <w:sz w:val="20"/>
          <w:szCs w:val="20"/>
          <w:color w:val="auto"/>
        </w:rPr>
      </w:pPr>
      <w:r>
        <w:rPr>
          <w:rFonts w:ascii="Arial" w:cs="Arial" w:eastAsia="Arial" w:hAnsi="Arial"/>
          <w:sz w:val="14"/>
          <w:szCs w:val="14"/>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64" w:lineRule="exact"/>
        <w:rPr>
          <w:sz w:val="20"/>
          <w:szCs w:val="20"/>
          <w:color w:val="auto"/>
        </w:rPr>
      </w:pPr>
    </w:p>
    <w:p>
      <w:pPr>
        <w:ind w:left="1780" w:hanging="879"/>
        <w:spacing w:after="0"/>
        <w:tabs>
          <w:tab w:leader="none" w:pos="1780" w:val="left"/>
        </w:tabs>
        <w:numPr>
          <w:ilvl w:val="0"/>
          <w:numId w:val="44"/>
        </w:numPr>
        <w:rPr>
          <w:rFonts w:ascii="Arial" w:cs="Arial" w:eastAsia="Arial" w:hAnsi="Arial"/>
          <w:sz w:val="17"/>
          <w:szCs w:val="17"/>
          <w:color w:val="auto"/>
        </w:rPr>
      </w:pPr>
      <w:r>
        <w:rPr>
          <w:rFonts w:ascii="Arial" w:cs="Arial" w:eastAsia="Arial" w:hAnsi="Arial"/>
          <w:sz w:val="14"/>
          <w:szCs w:val="14"/>
          <w:color w:val="auto"/>
        </w:rPr>
        <w:t>a board of directors divided into three classes serving staggered three-year terms, such that not all members of the board will be elected at one time;</w:t>
      </w:r>
    </w:p>
    <w:p>
      <w:pPr>
        <w:spacing w:after="0" w:line="90" w:lineRule="exact"/>
        <w:rPr>
          <w:rFonts w:ascii="Arial" w:cs="Arial" w:eastAsia="Arial" w:hAnsi="Arial"/>
          <w:sz w:val="17"/>
          <w:szCs w:val="17"/>
          <w:color w:val="auto"/>
        </w:rPr>
      </w:pPr>
    </w:p>
    <w:p>
      <w:pPr>
        <w:ind w:left="1780" w:hanging="879"/>
        <w:spacing w:after="0"/>
        <w:tabs>
          <w:tab w:leader="none" w:pos="1780" w:val="left"/>
        </w:tabs>
        <w:numPr>
          <w:ilvl w:val="0"/>
          <w:numId w:val="44"/>
        </w:numPr>
        <w:rPr>
          <w:rFonts w:ascii="Arial" w:cs="Arial" w:eastAsia="Arial" w:hAnsi="Arial"/>
          <w:sz w:val="17"/>
          <w:szCs w:val="17"/>
          <w:color w:val="auto"/>
        </w:rPr>
      </w:pPr>
      <w:r>
        <w:rPr>
          <w:rFonts w:ascii="Arial" w:cs="Arial" w:eastAsia="Arial" w:hAnsi="Arial"/>
          <w:sz w:val="14"/>
          <w:szCs w:val="14"/>
          <w:color w:val="auto"/>
        </w:rPr>
        <w:t>a prohibition on stockholder action through written consent, which requires that all stockholder actions be taken at a meeting of our stockholders;</w:t>
      </w:r>
    </w:p>
    <w:p>
      <w:pPr>
        <w:spacing w:after="0" w:line="106" w:lineRule="exact"/>
        <w:rPr>
          <w:rFonts w:ascii="Arial" w:cs="Arial" w:eastAsia="Arial" w:hAnsi="Arial"/>
          <w:sz w:val="17"/>
          <w:szCs w:val="17"/>
          <w:color w:val="auto"/>
        </w:rPr>
      </w:pPr>
    </w:p>
    <w:p>
      <w:pPr>
        <w:ind w:left="1800" w:right="420" w:hanging="899"/>
        <w:spacing w:after="0" w:line="245" w:lineRule="auto"/>
        <w:tabs>
          <w:tab w:leader="none" w:pos="1796" w:val="left"/>
        </w:tabs>
        <w:numPr>
          <w:ilvl w:val="0"/>
          <w:numId w:val="44"/>
        </w:numPr>
        <w:rPr>
          <w:rFonts w:ascii="Arial" w:cs="Arial" w:eastAsia="Arial" w:hAnsi="Arial"/>
          <w:sz w:val="17"/>
          <w:szCs w:val="17"/>
          <w:color w:val="auto"/>
        </w:rPr>
      </w:pPr>
      <w:r>
        <w:rPr>
          <w:rFonts w:ascii="Arial" w:cs="Arial" w:eastAsia="Arial" w:hAnsi="Arial"/>
          <w:sz w:val="14"/>
          <w:szCs w:val="14"/>
          <w:color w:val="auto"/>
        </w:rPr>
        <w:t>a requirement that special meetings of stockholders be called only by the board of directors acting pursuant to a resolution approved by the affirmative vote of a majority of the directors then in office;</w:t>
      </w:r>
    </w:p>
    <w:p>
      <w:pPr>
        <w:spacing w:after="0" w:line="87" w:lineRule="exact"/>
        <w:rPr>
          <w:rFonts w:ascii="Arial" w:cs="Arial" w:eastAsia="Arial" w:hAnsi="Arial"/>
          <w:sz w:val="17"/>
          <w:szCs w:val="17"/>
          <w:color w:val="auto"/>
        </w:rPr>
      </w:pPr>
    </w:p>
    <w:p>
      <w:pPr>
        <w:ind w:left="1780" w:hanging="879"/>
        <w:spacing w:after="0"/>
        <w:tabs>
          <w:tab w:leader="none" w:pos="1780" w:val="left"/>
        </w:tabs>
        <w:numPr>
          <w:ilvl w:val="0"/>
          <w:numId w:val="44"/>
        </w:numPr>
        <w:rPr>
          <w:rFonts w:ascii="Arial" w:cs="Arial" w:eastAsia="Arial" w:hAnsi="Arial"/>
          <w:sz w:val="17"/>
          <w:szCs w:val="17"/>
          <w:color w:val="auto"/>
        </w:rPr>
      </w:pPr>
      <w:r>
        <w:rPr>
          <w:rFonts w:ascii="Arial" w:cs="Arial" w:eastAsia="Arial" w:hAnsi="Arial"/>
          <w:sz w:val="14"/>
          <w:szCs w:val="14"/>
          <w:color w:val="auto"/>
        </w:rPr>
        <w:t>advance notice requirements for stockholder proposals and nominations for election to our board of directors;</w:t>
      </w:r>
    </w:p>
    <w:p>
      <w:pPr>
        <w:spacing w:after="0" w:line="106" w:lineRule="exact"/>
        <w:rPr>
          <w:rFonts w:ascii="Arial" w:cs="Arial" w:eastAsia="Arial" w:hAnsi="Arial"/>
          <w:sz w:val="17"/>
          <w:szCs w:val="17"/>
          <w:color w:val="auto"/>
        </w:rPr>
      </w:pPr>
    </w:p>
    <w:p>
      <w:pPr>
        <w:ind w:left="1800" w:hanging="899"/>
        <w:spacing w:after="0" w:line="266" w:lineRule="auto"/>
        <w:tabs>
          <w:tab w:leader="none" w:pos="1796" w:val="left"/>
        </w:tabs>
        <w:numPr>
          <w:ilvl w:val="0"/>
          <w:numId w:val="44"/>
        </w:numPr>
        <w:rPr>
          <w:rFonts w:ascii="Arial" w:cs="Arial" w:eastAsia="Arial" w:hAnsi="Arial"/>
          <w:sz w:val="16"/>
          <w:szCs w:val="16"/>
          <w:color w:val="auto"/>
        </w:rPr>
      </w:pPr>
      <w:r>
        <w:rPr>
          <w:rFonts w:ascii="Arial" w:cs="Arial" w:eastAsia="Arial" w:hAnsi="Arial"/>
          <w:sz w:val="13"/>
          <w:szCs w:val="13"/>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86" w:lineRule="exact"/>
        <w:rPr>
          <w:rFonts w:ascii="Arial" w:cs="Arial" w:eastAsia="Arial" w:hAnsi="Arial"/>
          <w:sz w:val="16"/>
          <w:szCs w:val="16"/>
          <w:color w:val="auto"/>
        </w:rPr>
      </w:pPr>
    </w:p>
    <w:p>
      <w:pPr>
        <w:ind w:left="1800" w:right="300" w:hanging="899"/>
        <w:spacing w:after="0" w:line="235" w:lineRule="auto"/>
        <w:tabs>
          <w:tab w:leader="none" w:pos="1796" w:val="left"/>
        </w:tabs>
        <w:numPr>
          <w:ilvl w:val="0"/>
          <w:numId w:val="44"/>
        </w:numPr>
        <w:rPr>
          <w:rFonts w:ascii="Arial" w:cs="Arial" w:eastAsia="Arial" w:hAnsi="Arial"/>
          <w:sz w:val="17"/>
          <w:szCs w:val="17"/>
          <w:color w:val="auto"/>
        </w:rPr>
      </w:pPr>
      <w:r>
        <w:rPr>
          <w:rFonts w:ascii="Arial" w:cs="Arial" w:eastAsia="Arial" w:hAnsi="Arial"/>
          <w:sz w:val="14"/>
          <w:szCs w:val="14"/>
          <w:color w:val="auto"/>
        </w:rPr>
        <w:t>a requirement of approval of not less than two-thirds of all outstanding shares of our voting stock to amend any bylaws by stockholder action or to amend specific provisions of our certificate of incorporation; and</w:t>
      </w:r>
    </w:p>
    <w:p>
      <w:pPr>
        <w:spacing w:after="0" w:line="107" w:lineRule="exact"/>
        <w:rPr>
          <w:rFonts w:ascii="Arial" w:cs="Arial" w:eastAsia="Arial" w:hAnsi="Arial"/>
          <w:sz w:val="17"/>
          <w:szCs w:val="17"/>
          <w:color w:val="auto"/>
        </w:rPr>
      </w:pPr>
    </w:p>
    <w:p>
      <w:pPr>
        <w:ind w:left="1800" w:right="180" w:hanging="899"/>
        <w:spacing w:after="0" w:line="235" w:lineRule="auto"/>
        <w:tabs>
          <w:tab w:leader="none" w:pos="1796" w:val="left"/>
        </w:tabs>
        <w:numPr>
          <w:ilvl w:val="0"/>
          <w:numId w:val="44"/>
        </w:numPr>
        <w:rPr>
          <w:rFonts w:ascii="Arial" w:cs="Arial" w:eastAsia="Arial" w:hAnsi="Arial"/>
          <w:sz w:val="17"/>
          <w:szCs w:val="17"/>
          <w:color w:val="auto"/>
        </w:rPr>
      </w:pPr>
      <w:r>
        <w:rPr>
          <w:rFonts w:ascii="Arial" w:cs="Arial" w:eastAsia="Arial" w:hAnsi="Arial"/>
          <w:sz w:val="14"/>
          <w:szCs w:val="14"/>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75" w:lineRule="exact"/>
        <w:rPr>
          <w:sz w:val="20"/>
          <w:szCs w:val="20"/>
          <w:color w:val="auto"/>
        </w:rPr>
      </w:pPr>
    </w:p>
    <w:p>
      <w:pPr>
        <w:ind w:right="20" w:firstLine="764"/>
        <w:spacing w:after="0" w:line="258" w:lineRule="auto"/>
        <w:rPr>
          <w:sz w:val="20"/>
          <w:szCs w:val="20"/>
          <w:color w:val="auto"/>
        </w:rPr>
      </w:pPr>
      <w:r>
        <w:rPr>
          <w:rFonts w:ascii="Arial" w:cs="Arial" w:eastAsia="Arial" w:hAnsi="Arial"/>
          <w:sz w:val="14"/>
          <w:szCs w:val="14"/>
          <w:color w:val="auto"/>
        </w:rPr>
        <w:t>In addition, because we are incorporated in Delaware, we are governed by the provisions of Section 203 of the General Corporation Law of the State of Delaware, or the DGCL,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stockholders to elect directors of their choosing or cause us to take other corporate actions our stockholders desire. Any delay or prevention of a change of control transaction or changes in our board of directors could cause the market price of our common stock to decline.</w:t>
      </w:r>
    </w:p>
    <w:p>
      <w:pPr>
        <w:spacing w:after="0" w:line="97" w:lineRule="exact"/>
        <w:rPr>
          <w:sz w:val="20"/>
          <w:szCs w:val="20"/>
          <w:color w:val="auto"/>
        </w:rPr>
      </w:pPr>
    </w:p>
    <w:p>
      <w:pPr>
        <w:ind w:right="220" w:firstLine="764"/>
        <w:spacing w:after="0" w:line="344" w:lineRule="auto"/>
        <w:rPr>
          <w:sz w:val="20"/>
          <w:szCs w:val="20"/>
          <w:color w:val="auto"/>
        </w:rPr>
      </w:pPr>
      <w:r>
        <w:rPr>
          <w:rFonts w:ascii="Arial" w:cs="Arial" w:eastAsia="Arial" w:hAnsi="Arial"/>
          <w:sz w:val="14"/>
          <w:szCs w:val="14"/>
          <w:b w:val="1"/>
          <w:bCs w:val="1"/>
          <w:i w:val="1"/>
          <w:iCs w:val="1"/>
          <w:color w:val="231F20"/>
        </w:rPr>
        <w:t>Our bylaws designate certain courts as the exclusive forum for certain litigation that may be initiated by our stockholders, which could limit our stockholders’ ability to litigate disputes with us in a different judicial forum.</w:t>
      </w:r>
    </w:p>
    <w:p>
      <w:pPr>
        <w:spacing w:after="0" w:line="5" w:lineRule="exact"/>
        <w:rPr>
          <w:sz w:val="20"/>
          <w:szCs w:val="20"/>
          <w:color w:val="auto"/>
        </w:rPr>
      </w:pPr>
    </w:p>
    <w:p>
      <w:pPr>
        <w:jc w:val="both"/>
        <w:ind w:right="20" w:firstLine="764"/>
        <w:spacing w:after="0" w:line="331" w:lineRule="auto"/>
        <w:rPr>
          <w:sz w:val="20"/>
          <w:szCs w:val="20"/>
          <w:color w:val="auto"/>
        </w:rPr>
      </w:pPr>
      <w:r>
        <w:rPr>
          <w:rFonts w:ascii="Arial" w:cs="Arial" w:eastAsia="Arial" w:hAnsi="Arial"/>
          <w:sz w:val="12"/>
          <w:szCs w:val="12"/>
          <w:color w:val="231F20"/>
        </w:rPr>
        <w:t>P</w:t>
      </w:r>
      <w:r>
        <w:rPr>
          <w:rFonts w:ascii="Arial" w:cs="Arial" w:eastAsia="Arial" w:hAnsi="Arial"/>
          <w:sz w:val="12"/>
          <w:szCs w:val="12"/>
          <w:color w:val="000000"/>
        </w:rPr>
        <w:t>ursuant to our bylaws, unless we consent in writing to the selection of an alternative forum, the Court of Chancery of the State of Delaware will be the sole and exclusive forum for any</w:t>
      </w:r>
      <w:r>
        <w:rPr>
          <w:rFonts w:ascii="Arial" w:cs="Arial" w:eastAsia="Arial" w:hAnsi="Arial"/>
          <w:sz w:val="12"/>
          <w:szCs w:val="12"/>
          <w:color w:val="231F20"/>
        </w:rPr>
        <w:t xml:space="preserve"> </w:t>
      </w:r>
      <w:r>
        <w:rPr>
          <w:rFonts w:ascii="Arial" w:cs="Arial" w:eastAsia="Arial" w:hAnsi="Arial"/>
          <w:sz w:val="12"/>
          <w:szCs w:val="12"/>
          <w:color w:val="000000"/>
        </w:rPr>
        <w:t>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DGCL, our certificate of incorporation or our bylaws; (iv) any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action to interpret, apply, enforce or determine the validity of our certificate of incorporation or bylaws; or (v) any action asserting a claim governed by the internal affairs doctrine, in each case subject to the Court of Chancery having personal jurisdiction over the indispensable parties named as defendants therein, or the Delaware forum provision. This exclusive forum provision will not apply to any causes of action arising under the Securities Act or the Exchange Act or any other claim for which the federal courts have exclusive jurisdiction. Unless we consent in writing to the selection of an alternate forum, the federal district courts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66" w:lineRule="exact"/>
        <w:rPr>
          <w:sz w:val="20"/>
          <w:szCs w:val="20"/>
          <w:color w:val="auto"/>
        </w:rPr>
      </w:pPr>
    </w:p>
    <w:p>
      <w:pPr>
        <w:ind w:firstLine="764"/>
        <w:spacing w:after="0" w:line="278" w:lineRule="auto"/>
        <w:rPr>
          <w:sz w:val="20"/>
          <w:szCs w:val="20"/>
          <w:color w:val="auto"/>
        </w:rPr>
      </w:pPr>
      <w:r>
        <w:rPr>
          <w:rFonts w:ascii="Arial" w:cs="Arial" w:eastAsia="Arial" w:hAnsi="Arial"/>
          <w:sz w:val="13"/>
          <w:szCs w:val="13"/>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the provision is not enforceable or invalid. The Court of Chancery of the State of Delaware and the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35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231F20"/>
        </w:rPr>
        <w:t>General Risk Factors</w:t>
      </w:r>
    </w:p>
    <w:p>
      <w:pPr>
        <w:spacing w:after="0" w:line="129" w:lineRule="exact"/>
        <w:rPr>
          <w:sz w:val="20"/>
          <w:szCs w:val="20"/>
          <w:color w:val="auto"/>
        </w:rPr>
      </w:pPr>
    </w:p>
    <w:p>
      <w:pPr>
        <w:ind w:right="140" w:firstLine="764"/>
        <w:spacing w:after="0" w:line="372" w:lineRule="auto"/>
        <w:rPr>
          <w:sz w:val="20"/>
          <w:szCs w:val="20"/>
          <w:color w:val="auto"/>
        </w:rPr>
      </w:pPr>
      <w:r>
        <w:rPr>
          <w:rFonts w:ascii="Arial" w:cs="Arial" w:eastAsia="Arial" w:hAnsi="Arial"/>
          <w:sz w:val="13"/>
          <w:szCs w:val="13"/>
          <w:b w:val="1"/>
          <w:bCs w:val="1"/>
          <w:i w:val="1"/>
          <w:iCs w:val="1"/>
          <w:color w:val="231F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3" w:lineRule="exact"/>
        <w:rPr>
          <w:sz w:val="20"/>
          <w:szCs w:val="20"/>
          <w:color w:val="auto"/>
        </w:rPr>
      </w:pPr>
    </w:p>
    <w:p>
      <w:pPr>
        <w:ind w:right="20" w:firstLine="764"/>
        <w:spacing w:after="0" w:line="298" w:lineRule="auto"/>
        <w:rPr>
          <w:sz w:val="20"/>
          <w:szCs w:val="20"/>
          <w:color w:val="auto"/>
        </w:rPr>
      </w:pPr>
      <w:r>
        <w:rPr>
          <w:rFonts w:ascii="Arial" w:cs="Arial" w:eastAsia="Arial" w:hAnsi="Arial"/>
          <w:sz w:val="12"/>
          <w:szCs w:val="12"/>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2" w:lineRule="exact"/>
        <w:rPr>
          <w:sz w:val="20"/>
          <w:szCs w:val="20"/>
          <w:color w:val="auto"/>
        </w:rPr>
      </w:pPr>
    </w:p>
    <w:p>
      <w:pPr>
        <w:ind w:right="40" w:firstLine="764"/>
        <w:spacing w:after="0" w:line="257" w:lineRule="auto"/>
        <w:rPr>
          <w:sz w:val="20"/>
          <w:szCs w:val="20"/>
          <w:color w:val="auto"/>
        </w:rPr>
      </w:pPr>
      <w:r>
        <w:rPr>
          <w:rFonts w:ascii="Arial" w:cs="Arial" w:eastAsia="Arial" w:hAnsi="Arial"/>
          <w:sz w:val="14"/>
          <w:szCs w:val="14"/>
          <w:color w:val="auto"/>
        </w:rPr>
        <w:t>We are required to disclose changes made in our internal controls and procedures on a quarterly basis and our management is required to assess the effectiveness of these controls annually. However, for as long as we are “non-accelerated filer,” as defined by the SEC, our independent registered public accounting firm is not required to attest to the effectiveness of our internal controls over financial reporting pursuant to Section 404. An independent assessment of the effectiveness of our internal controls over financial reporting could detect problems that our management’s assessment might not.</w:t>
      </w:r>
    </w:p>
    <w:p>
      <w:pPr>
        <w:spacing w:after="0" w:line="96"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231F20"/>
        </w:rPr>
        <w:t>Our disclosure controls and procedures may not prevent or detect all errors or acts of fraud.</w:t>
      </w:r>
    </w:p>
    <w:p>
      <w:pPr>
        <w:spacing w:after="0" w:line="94" w:lineRule="exact"/>
        <w:rPr>
          <w:sz w:val="20"/>
          <w:szCs w:val="20"/>
          <w:color w:val="auto"/>
        </w:rPr>
      </w:pPr>
    </w:p>
    <w:p>
      <w:pPr>
        <w:ind w:firstLine="764"/>
        <w:spacing w:after="0" w:line="284" w:lineRule="auto"/>
        <w:rPr>
          <w:sz w:val="20"/>
          <w:szCs w:val="20"/>
          <w:color w:val="auto"/>
        </w:rPr>
      </w:pPr>
      <w:r>
        <w:rPr>
          <w:rFonts w:ascii="Arial" w:cs="Arial" w:eastAsia="Arial" w:hAnsi="Arial"/>
          <w:sz w:val="13"/>
          <w:szCs w:val="13"/>
          <w:color w:val="auto"/>
        </w:rPr>
        <w:t>As a public reporting company,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300"/>
        <w:spacing w:after="0" w:line="281" w:lineRule="auto"/>
        <w:rPr>
          <w:sz w:val="20"/>
          <w:szCs w:val="20"/>
          <w:color w:val="auto"/>
        </w:rPr>
      </w:pPr>
      <w:r>
        <w:rPr>
          <w:rFonts w:ascii="Arial" w:cs="Arial" w:eastAsia="Arial" w:hAnsi="Arial"/>
          <w:sz w:val="14"/>
          <w:szCs w:val="14"/>
          <w:color w:val="auto"/>
        </w:rPr>
        <w:t>two or more people or by an unauthorized override of the controls. Accordingly, because of the inherent limitations in our control system, misstatements or insufficient disclosures due to error or fraud may occur and not be detected.</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3"/>
          <w:szCs w:val="13"/>
          <w:b w:val="1"/>
          <w:bCs w:val="1"/>
          <w:i w:val="1"/>
          <w:iCs w:val="1"/>
          <w:color w:val="231F20"/>
        </w:rPr>
        <w:t>Our issuance of additional capital stock in connection with financings, acquisitions, investments, our stock incentive plans or otherwise will dilute all other stockholders.</w:t>
      </w:r>
    </w:p>
    <w:p>
      <w:pPr>
        <w:spacing w:after="0" w:line="22" w:lineRule="exact"/>
        <w:rPr>
          <w:sz w:val="20"/>
          <w:szCs w:val="20"/>
          <w:color w:val="auto"/>
        </w:rPr>
      </w:pPr>
    </w:p>
    <w:p>
      <w:pPr>
        <w:ind w:firstLine="764"/>
        <w:spacing w:after="0" w:line="230" w:lineRule="auto"/>
        <w:rPr>
          <w:sz w:val="20"/>
          <w:szCs w:val="20"/>
          <w:color w:val="auto"/>
        </w:rPr>
      </w:pPr>
      <w:r>
        <w:rPr>
          <w:rFonts w:ascii="Arial" w:cs="Arial" w:eastAsia="Arial" w:hAnsi="Arial"/>
          <w:sz w:val="14"/>
          <w:szCs w:val="14"/>
          <w:color w:val="auto"/>
        </w:rPr>
        <w:t>We expect to issue additional capital stock in the future that will result in dilution to all other stockholders. We expect to continue to grant equity awards to employees, directors, and consultants under our stock incentive plans. In July 2022 and January 2023, we completed underwritten public offerings of our common stock. In July 2021, we entered into a Controlled Equity Offering</w:t>
      </w:r>
      <w:r>
        <w:rPr>
          <w:rFonts w:ascii="Arial" w:cs="Arial" w:eastAsia="Arial" w:hAnsi="Arial"/>
          <w:sz w:val="18"/>
          <w:szCs w:val="18"/>
          <w:color w:val="auto"/>
          <w:vertAlign w:val="superscript"/>
        </w:rPr>
        <w:t>SM</w:t>
      </w:r>
      <w:r>
        <w:rPr>
          <w:rFonts w:ascii="Arial" w:cs="Arial" w:eastAsia="Arial" w:hAnsi="Arial"/>
          <w:sz w:val="14"/>
          <w:szCs w:val="14"/>
          <w:color w:val="auto"/>
        </w:rPr>
        <w:t xml:space="preserve"> Sales Agreement (the “Sales Agreement”) with Cantor Fitzgerald &amp; Co., as sales agent, pursuant to which we may issue and sell up to $150.0 million of shares of common stock from time to time. On July 2, 2021, we filed a registration statement on Form S-3 (File No. 333-257684), as amended, which included a sales agreement prospectus registering the offer and sale of shares under the Sales Agreement (the “Sales Agreement Prospectus”). From July 2, 2021 to January 23, 2023, no shares of common stock were sold pursuant to the Sales Agreement or the Sales Agreement Prospectus. We terminated the Sales Agreement Prospectus on January 23, 2023 in connection with our January 2023 public offering, but the Sales Agreement remains in full force and effect. We will not make any sales of shares of our common stock pursuant to the Sales Agreement unless and until a new sales agreement prospectus or prospectus supplement is filed, which we may do at a later date.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09" w:lineRule="exact"/>
        <w:rPr>
          <w:sz w:val="20"/>
          <w:szCs w:val="20"/>
          <w:color w:val="auto"/>
        </w:rPr>
      </w:pPr>
    </w:p>
    <w:p>
      <w:pPr>
        <w:ind w:left="760"/>
        <w:spacing w:after="0"/>
        <w:rPr>
          <w:sz w:val="20"/>
          <w:szCs w:val="20"/>
          <w:color w:val="auto"/>
        </w:rPr>
      </w:pPr>
      <w:r>
        <w:rPr>
          <w:rFonts w:ascii="Arial" w:cs="Arial" w:eastAsia="Arial" w:hAnsi="Arial"/>
          <w:sz w:val="12"/>
          <w:szCs w:val="12"/>
          <w:b w:val="1"/>
          <w:bCs w:val="1"/>
          <w:i w:val="1"/>
          <w:iCs w:val="1"/>
          <w:color w:val="231F20"/>
        </w:rPr>
        <w:t>If securities or industry analysts do not publish research or publish inaccurate or unfavorable research about our business, our stock price and trading volume could decline.</w:t>
      </w:r>
    </w:p>
    <w:p>
      <w:pPr>
        <w:spacing w:after="0" w:line="127" w:lineRule="exact"/>
        <w:rPr>
          <w:sz w:val="20"/>
          <w:szCs w:val="20"/>
          <w:color w:val="auto"/>
        </w:rPr>
      </w:pPr>
    </w:p>
    <w:p>
      <w:pPr>
        <w:ind w:right="40" w:firstLine="764"/>
        <w:spacing w:after="0" w:line="297" w:lineRule="auto"/>
        <w:rPr>
          <w:sz w:val="20"/>
          <w:szCs w:val="20"/>
          <w:color w:val="auto"/>
        </w:rPr>
      </w:pPr>
      <w:r>
        <w:rPr>
          <w:rFonts w:ascii="Arial" w:cs="Arial" w:eastAsia="Arial" w:hAnsi="Arial"/>
          <w:sz w:val="13"/>
          <w:szCs w:val="13"/>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2"/>
          <w:szCs w:val="12"/>
          <w:b w:val="1"/>
          <w:bCs w:val="1"/>
          <w:i w:val="1"/>
          <w:iCs w:val="1"/>
          <w:color w:val="231F20"/>
        </w:rPr>
        <w:t>We incur significant increased costs as a result of operating as a public company, and our management is required to devote substantial time to new compliance initiatives.</w:t>
      </w:r>
    </w:p>
    <w:p>
      <w:pPr>
        <w:spacing w:after="0" w:line="117" w:lineRule="exact"/>
        <w:rPr>
          <w:sz w:val="20"/>
          <w:szCs w:val="20"/>
          <w:color w:val="auto"/>
        </w:rPr>
      </w:pPr>
    </w:p>
    <w:p>
      <w:pPr>
        <w:ind w:right="120" w:firstLine="764"/>
        <w:spacing w:after="0" w:line="280" w:lineRule="auto"/>
        <w:rPr>
          <w:sz w:val="20"/>
          <w:szCs w:val="20"/>
          <w:color w:val="auto"/>
        </w:rPr>
      </w:pPr>
      <w:r>
        <w:rPr>
          <w:rFonts w:ascii="Arial" w:cs="Arial" w:eastAsia="Arial" w:hAnsi="Arial"/>
          <w:sz w:val="13"/>
          <w:szCs w:val="13"/>
          <w:color w:val="auto"/>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the Nasdaq Stock Market, or Nasdaq, to implement provisions of the Sarbanes-Oxley Act, impose significant requirements on public companies, including requiring establishment and maintenance of effective disclosure and financial reporting controls and changes in corporate governance practices. Further,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52" w:lineRule="exact"/>
        <w:rPr>
          <w:sz w:val="20"/>
          <w:szCs w:val="20"/>
          <w:color w:val="auto"/>
        </w:rPr>
      </w:pPr>
    </w:p>
    <w:p>
      <w:pPr>
        <w:ind w:right="20" w:firstLine="764"/>
        <w:spacing w:after="0" w:line="282" w:lineRule="auto"/>
        <w:rPr>
          <w:sz w:val="20"/>
          <w:szCs w:val="20"/>
          <w:color w:val="auto"/>
        </w:rPr>
      </w:pPr>
      <w:r>
        <w:rPr>
          <w:rFonts w:ascii="Arial" w:cs="Arial" w:eastAsia="Arial" w:hAnsi="Arial"/>
          <w:sz w:val="13"/>
          <w:szCs w:val="13"/>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81" w:lineRule="exact"/>
        <w:rPr>
          <w:sz w:val="20"/>
          <w:szCs w:val="20"/>
          <w:color w:val="auto"/>
        </w:rPr>
      </w:pPr>
    </w:p>
    <w:p>
      <w:pPr>
        <w:ind w:right="180" w:firstLine="764"/>
        <w:spacing w:after="0" w:line="328" w:lineRule="auto"/>
        <w:rPr>
          <w:sz w:val="20"/>
          <w:szCs w:val="20"/>
          <w:color w:val="auto"/>
        </w:rPr>
      </w:pPr>
      <w:r>
        <w:rPr>
          <w:rFonts w:ascii="Arial" w:cs="Arial" w:eastAsia="Arial" w:hAnsi="Arial"/>
          <w:sz w:val="14"/>
          <w:szCs w:val="14"/>
          <w:b w:val="1"/>
          <w:bCs w:val="1"/>
          <w:i w:val="1"/>
          <w:iCs w:val="1"/>
          <w:color w:val="231F20"/>
        </w:rPr>
        <w:t>We may incur substantial costs in our efforts to comply with evolving global data protection laws and regulations, and any failure or perceived failure by us to comply with such laws and regulations may harm our business and operations.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40" w:firstLine="764"/>
        <w:spacing w:after="0" w:line="258" w:lineRule="auto"/>
        <w:rPr>
          <w:sz w:val="20"/>
          <w:szCs w:val="20"/>
          <w:color w:val="auto"/>
        </w:rPr>
      </w:pPr>
      <w:r>
        <w:rPr>
          <w:rFonts w:ascii="Arial" w:cs="Arial" w:eastAsia="Arial" w:hAnsi="Arial"/>
          <w:sz w:val="14"/>
          <w:szCs w:val="14"/>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65" w:lineRule="exact"/>
        <w:rPr>
          <w:sz w:val="20"/>
          <w:szCs w:val="20"/>
          <w:color w:val="auto"/>
        </w:rPr>
      </w:pPr>
    </w:p>
    <w:p>
      <w:pPr>
        <w:ind w:right="40" w:firstLine="764"/>
        <w:spacing w:after="0" w:line="276" w:lineRule="auto"/>
        <w:rPr>
          <w:sz w:val="20"/>
          <w:szCs w:val="20"/>
          <w:color w:val="auto"/>
        </w:rPr>
      </w:pPr>
      <w:r>
        <w:rPr>
          <w:rFonts w:ascii="Arial" w:cs="Arial" w:eastAsia="Arial" w:hAnsi="Arial"/>
          <w:sz w:val="13"/>
          <w:szCs w:val="13"/>
          <w:color w:val="auto"/>
        </w:rPr>
        <w:t>Numerous federal and state laws and regulations, including HIPAA and HITECH, govern the collection, dissemination, security, use and confidentiality of patient-identifiable health information or personal information. In the course of performing our business we obtain personally identifiable information (PII), including health-related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HIPAA establishes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Penalties for failure to comply with a requirement of HIPAA and HITECH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The Department of Health and Human Services Office for Civil Rights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w:t>
      </w:r>
    </w:p>
    <w:p>
      <w:pPr>
        <w:spacing w:after="0" w:line="59" w:lineRule="exact"/>
        <w:rPr>
          <w:sz w:val="20"/>
          <w:szCs w:val="20"/>
          <w:color w:val="auto"/>
        </w:rPr>
      </w:pPr>
    </w:p>
    <w:p>
      <w:pPr>
        <w:ind w:firstLine="764"/>
        <w:spacing w:after="0" w:line="280" w:lineRule="auto"/>
        <w:rPr>
          <w:sz w:val="20"/>
          <w:szCs w:val="20"/>
          <w:color w:val="auto"/>
        </w:rPr>
      </w:pPr>
      <w:r>
        <w:rPr>
          <w:rFonts w:ascii="Arial" w:cs="Arial" w:eastAsia="Arial" w:hAnsi="Arial"/>
          <w:sz w:val="13"/>
          <w:szCs w:val="13"/>
          <w:color w:val="auto"/>
        </w:rPr>
        <w:t>California passed the California Consumer Protection Act of 2018, or the CCPA, which went into effect in January 2020 and provides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also provides authority to the California Attorney General to seek civil penalties for intentional violations of the CCPA. While there is currently an exception for protected health information that is subject to HIPAA and clinical trial regulations, as currently written, the CCPA may impact certain of our business activities. Additionally, this exception does not apply to the private cause of action afforded to individuals for information security incidents.</w:t>
      </w:r>
    </w:p>
    <w:p>
      <w:pPr>
        <w:spacing w:after="0" w:line="52" w:lineRule="exact"/>
        <w:rPr>
          <w:sz w:val="20"/>
          <w:szCs w:val="20"/>
          <w:color w:val="auto"/>
        </w:rPr>
      </w:pPr>
    </w:p>
    <w:p>
      <w:pPr>
        <w:ind w:right="20" w:firstLine="764"/>
        <w:spacing w:after="0" w:line="258" w:lineRule="auto"/>
        <w:rPr>
          <w:sz w:val="20"/>
          <w:szCs w:val="20"/>
          <w:color w:val="auto"/>
        </w:rPr>
      </w:pPr>
      <w:r>
        <w:rPr>
          <w:rFonts w:ascii="Arial" w:cs="Arial" w:eastAsia="Arial" w:hAnsi="Arial"/>
          <w:sz w:val="14"/>
          <w:szCs w:val="14"/>
          <w:color w:val="auto"/>
        </w:rPr>
        <w:t>In addition, the CCPA was expanded on January 1, 2023, when the California Privacy Rights Act of 2020, or the CPRA, became operative. The CPRA, among other things, gives California residents the ability to limit use of certain sensitive personal information, further restricts the use of cross-contextual advertising, establishes restrictions on the retention of personal information, expands the types of data breaches subject to the CCPA’s private right of action, provides for increased penalties for CPRA violations concerning California residents under the age of 16, and establishes a new California Privacy Protection Agency to implement and enforce the new law. Although there are limited exemptions for clinical trial data under the CCPA, the CCPA and other similar laws could impact our business activities depending on how it is interpreted. In the interim, the CPRA will require additional investment in compliance programs and potential modifications to business processes</w:t>
      </w:r>
    </w:p>
    <w:p>
      <w:pPr>
        <w:spacing w:after="0" w:line="65" w:lineRule="exact"/>
        <w:rPr>
          <w:sz w:val="20"/>
          <w:szCs w:val="20"/>
          <w:color w:val="auto"/>
        </w:rPr>
      </w:pPr>
    </w:p>
    <w:p>
      <w:pPr>
        <w:ind w:right="260" w:firstLine="764"/>
        <w:spacing w:after="0" w:line="322" w:lineRule="auto"/>
        <w:rPr>
          <w:sz w:val="20"/>
          <w:szCs w:val="20"/>
          <w:color w:val="auto"/>
        </w:rPr>
      </w:pPr>
      <w:r>
        <w:rPr>
          <w:rFonts w:ascii="Arial" w:cs="Arial" w:eastAsia="Arial" w:hAnsi="Arial"/>
          <w:sz w:val="12"/>
          <w:szCs w:val="12"/>
          <w:color w:val="auto"/>
        </w:rPr>
        <w:t>The CCPA and CPRA could mark the beginning of a trend toward more stringent privacy legislation in the United States, as other states or the federal government may follow California’s lead and increase protections for U.S. residents. For example, on March 2, 2021, the Virginia Consumer Data Protection Act was signed into law, which went into effect on January 1,</w:t>
      </w:r>
    </w:p>
    <w:p>
      <w:pPr>
        <w:spacing w:after="0" w:line="1" w:lineRule="exact"/>
        <w:rPr>
          <w:sz w:val="20"/>
          <w:szCs w:val="20"/>
          <w:color w:val="auto"/>
        </w:rPr>
      </w:pPr>
    </w:p>
    <w:p>
      <w:pPr>
        <w:ind w:right="280"/>
        <w:spacing w:after="0" w:line="297" w:lineRule="auto"/>
        <w:rPr>
          <w:sz w:val="20"/>
          <w:szCs w:val="20"/>
          <w:color w:val="auto"/>
        </w:rPr>
      </w:pPr>
      <w:r>
        <w:rPr>
          <w:rFonts w:ascii="Arial" w:cs="Arial" w:eastAsia="Arial" w:hAnsi="Arial"/>
          <w:sz w:val="13"/>
          <w:szCs w:val="13"/>
          <w:color w:val="auto"/>
        </w:rPr>
        <w:t>2023, and on July 8, 2021, the Colorado Privacy Act, was signed into law, which will take effect on July 1, 2023, was signed into law. On September 18, 2021, the Uniform Law Commission published the Uniform Personal Data Protection Act, which states may begin to adopt. The CCPA has already prompted a number of proposals for new federal and state privacy legislation that, if passed, could increase our potential liability, add layers of complexity to compliance in the U.S. market, increase our compliance costs and adversely affect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right="80" w:firstLine="764"/>
        <w:spacing w:after="0" w:line="277" w:lineRule="auto"/>
        <w:rPr>
          <w:sz w:val="20"/>
          <w:szCs w:val="20"/>
          <w:color w:val="auto"/>
        </w:rPr>
      </w:pPr>
      <w:r>
        <w:rPr>
          <w:rFonts w:ascii="Arial" w:cs="Arial" w:eastAsia="Arial" w:hAnsi="Arial"/>
          <w:sz w:val="12"/>
          <w:szCs w:val="12"/>
          <w:color w:val="auto"/>
        </w:rPr>
        <w:t>Additionally, the Federal Trade Commission (FTC) and many state attorneys general are interpreting existing federal and state consumer protection laws to impose evolving standards for the collection, use, dissemination and security of health-related and other personal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 Additionally, the FTC recently published an advance notice of proposed rulemaking on commercial surveillance and data security, and is seeking comment on whether it should implement new trade regulation rules or other regulatory alternatives concerning the ways in which companies (1) collect, aggregate, protect, use, analyze, and retain consumer data, as well as (2) transfer, share, sell, or otherwise monetize that data in ways that are unfair or deceptive.</w:t>
      </w:r>
    </w:p>
    <w:p>
      <w:pPr>
        <w:jc w:val="both"/>
        <w:ind w:right="60" w:firstLine="764"/>
        <w:spacing w:after="0" w:line="288" w:lineRule="auto"/>
        <w:rPr>
          <w:sz w:val="20"/>
          <w:szCs w:val="20"/>
          <w:color w:val="auto"/>
        </w:rPr>
      </w:pPr>
      <w:r>
        <w:rPr>
          <w:rFonts w:ascii="Arial" w:cs="Arial" w:eastAsia="Arial" w:hAnsi="Arial"/>
          <w:sz w:val="12"/>
          <w:szCs w:val="12"/>
          <w:color w:val="auto"/>
        </w:rPr>
        <w:t>Our business relies on secure and continuous processing of information and the availability of our Information Technology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information technology systems are increasing in their frequency, levels of persistence, sophistication and intensity, and are being</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conducted by sophisticated and organized groups and individuals with a wide range of motives and expertise. OCR, pursuant to legislation passed in 2021, recently issued guidance on recognized</w:t>
      </w:r>
    </w:p>
    <w:p>
      <w:pPr>
        <w:spacing w:after="0" w:line="41" w:lineRule="exact"/>
        <w:rPr>
          <w:sz w:val="20"/>
          <w:szCs w:val="20"/>
          <w:color w:val="auto"/>
        </w:rPr>
      </w:pPr>
    </w:p>
    <w:p>
      <w:pPr>
        <w:ind w:right="220"/>
        <w:spacing w:after="0" w:line="304" w:lineRule="auto"/>
        <w:rPr>
          <w:sz w:val="20"/>
          <w:szCs w:val="20"/>
          <w:color w:val="auto"/>
        </w:rPr>
      </w:pPr>
      <w:r>
        <w:rPr>
          <w:rFonts w:ascii="Arial" w:cs="Arial" w:eastAsia="Arial" w:hAnsi="Arial"/>
          <w:sz w:val="13"/>
          <w:szCs w:val="13"/>
          <w:color w:val="auto"/>
        </w:rPr>
        <w:t>security practices for covered entities and business associates. OCR indicated that recognized security practices will not be an aggravating factor in OCR investigations, but that implementation of recognized security practices strengthen an organization’s cybersecurity and regulatory posture, as well as possibly lessening enforcement penalties in a potential regulatory enforcement</w:t>
      </w:r>
    </w:p>
    <w:p>
      <w:pPr>
        <w:spacing w:after="0" w:line="35" w:lineRule="exact"/>
        <w:rPr>
          <w:sz w:val="20"/>
          <w:szCs w:val="20"/>
          <w:color w:val="auto"/>
        </w:rPr>
      </w:pPr>
    </w:p>
    <w:p>
      <w:pPr>
        <w:ind w:firstLine="764"/>
        <w:spacing w:after="0" w:line="282" w:lineRule="auto"/>
        <w:rPr>
          <w:sz w:val="20"/>
          <w:szCs w:val="20"/>
          <w:color w:val="auto"/>
        </w:rPr>
      </w:pPr>
      <w:r>
        <w:rPr>
          <w:rFonts w:ascii="Arial" w:cs="Arial" w:eastAsia="Arial" w:hAnsi="Arial"/>
          <w:sz w:val="13"/>
          <w:szCs w:val="13"/>
          <w:color w:val="auto"/>
        </w:rPr>
        <w:t>We regularly monitor, defend against and respond to attacks to our networks and other information security incidents. Despite our information security efforts, our facilities, systems, and data, as well as those of our third 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IT support vendors, fail to comply with laws requiring the protection of sensitive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49" w:lineRule="exact"/>
        <w:rPr>
          <w:sz w:val="20"/>
          <w:szCs w:val="20"/>
          <w:color w:val="auto"/>
        </w:rPr>
      </w:pPr>
    </w:p>
    <w:p>
      <w:pPr>
        <w:ind w:firstLine="764"/>
        <w:spacing w:after="0" w:line="277" w:lineRule="auto"/>
        <w:rPr>
          <w:sz w:val="20"/>
          <w:szCs w:val="20"/>
          <w:color w:val="auto"/>
        </w:rPr>
      </w:pPr>
      <w:r>
        <w:rPr>
          <w:rFonts w:ascii="Arial" w:cs="Arial" w:eastAsia="Arial" w:hAnsi="Arial"/>
          <w:sz w:val="13"/>
          <w:szCs w:val="13"/>
          <w:color w:val="auto"/>
        </w:rPr>
        <w:t>In addition to our operations in the United States, which may be subject to healthcare and other laws relating to the privacy and security of health information and other personal data, we may seek to conduct clinical trials in the EEA and may become subject to additional EEA data privacy laws, regulations and guidelines. The General Data Protection Regulation, or EU GDPR, became effective on May 25, 2018, and deals with the collection, use, storage, disclosure, transfer or other processing of personal data, including personal health data, regarding individuals in the EEA. The EU GDPR imposes a broad range of strict requirements on companies subject to the EU GDPR, including requirements relating to having legal bases for processing personal data (i.e., data relating to identifiable individuals) and transferring such personal data outside the EEA, including to the United States, and providing details to those individuals regarding the processing of their personal data, keeping personal data secure, having data processing agreements with third parties who process personal data on our behalf, responding to individuals’ requests to exercise their rights in respect of their personal data, reporting security breaches involving personal data to the competent national data protection authority and affected individuals, appointing data protection officers, conducting data protection impact assessments and record-keeping. Further, national laws of member states of the EU may partially deviate from the EU GDPR and impose different obligations from country to country, so that we do not expect to operate in a uniform legal landscape in the EEA. In particular, as it relates to processing and transfer of genetic data and health data, the EU GDPR specifically allows national laws to impose additional and more specific requirements or restrictions, and European laws have historically differed quite substantially in this field, leading to additional uncertainty.</w:t>
      </w:r>
    </w:p>
    <w:p>
      <w:pPr>
        <w:spacing w:after="0" w:line="54" w:lineRule="exact"/>
        <w:rPr>
          <w:sz w:val="20"/>
          <w:szCs w:val="20"/>
          <w:color w:val="auto"/>
        </w:rPr>
      </w:pPr>
    </w:p>
    <w:p>
      <w:pPr>
        <w:ind w:firstLine="764"/>
        <w:spacing w:after="0" w:line="260" w:lineRule="auto"/>
        <w:rPr>
          <w:sz w:val="20"/>
          <w:szCs w:val="20"/>
          <w:color w:val="auto"/>
        </w:rPr>
      </w:pPr>
      <w:r>
        <w:rPr>
          <w:rFonts w:ascii="Arial" w:cs="Arial" w:eastAsia="Arial" w:hAnsi="Arial"/>
          <w:sz w:val="14"/>
          <w:szCs w:val="14"/>
          <w:color w:val="auto"/>
        </w:rPr>
        <w:t>The EU GDPR increases substantially the penalties to which we could be subject in the event of any non-compliance, including fines of up to €10,000,000 or up to 2% of our total worldwide annual turnover for certain comparatively minor offenses, or up to €20,000,000 or up to 4% of our total worldwide annual turnover, whichever is greater, for more serious offenses. The EU GDPR also confers a private right of action on data subjects and consumer associations to lodge complaints with supervisory authorities, seek judicial remedies, and obtain compensation for damages resulting from violations of the EU GDPR. If our efforts to comply with EU GDPR or other applicable EU laws and regulations are not successful, or are perceived to be unsuccessful, it could adversely affect our business in the EU.</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firstLine="764"/>
        <w:spacing w:after="0" w:line="322" w:lineRule="auto"/>
        <w:rPr>
          <w:sz w:val="20"/>
          <w:szCs w:val="20"/>
          <w:color w:val="auto"/>
        </w:rPr>
      </w:pPr>
      <w:r>
        <w:rPr>
          <w:rFonts w:ascii="Arial" w:cs="Arial" w:eastAsia="Arial" w:hAnsi="Arial"/>
          <w:sz w:val="12"/>
          <w:szCs w:val="12"/>
          <w:color w:val="auto"/>
        </w:rPr>
        <w:t>The EU GDPR also prohibits the transfer of personal data from the EEA to the United States and other countries that are not recognized as having “adequate” data protection laws by the European Commission unless the parties to the transfer have implemented specific safeguards to protect the transferred personal data. One of the primary safeguards allowing U.S. companies to</w:t>
      </w:r>
    </w:p>
    <w:p>
      <w:pPr>
        <w:spacing w:after="0" w:line="1" w:lineRule="exact"/>
        <w:rPr>
          <w:sz w:val="20"/>
          <w:szCs w:val="20"/>
          <w:color w:val="auto"/>
        </w:rPr>
      </w:pPr>
    </w:p>
    <w:p>
      <w:pPr>
        <w:ind w:right="20"/>
        <w:spacing w:after="0" w:line="272" w:lineRule="auto"/>
        <w:rPr>
          <w:sz w:val="20"/>
          <w:szCs w:val="20"/>
          <w:color w:val="auto"/>
        </w:rPr>
      </w:pPr>
      <w:r>
        <w:rPr>
          <w:rFonts w:ascii="Arial" w:cs="Arial" w:eastAsia="Arial" w:hAnsi="Arial"/>
          <w:sz w:val="13"/>
          <w:szCs w:val="13"/>
          <w:color w:val="auto"/>
        </w:rPr>
        <w:t>import personal data from the EEA has been certification to the EU-U.S. Privacy Shield framework administered by the U.S. Department of Commerce. However, the European Court of Justice, or the ECJ, issued a decision in July 2020 which invalidated the EU-U.S. Privacy Shield framework for international transfers (Schrems II) and imposed further restrictions on the use of standard contractual clauses (SCCs) including, a requirement for companies to carry out a transfer privacy impact assessment, which among other things, assesses laws governing access to personal data in the recipient country and considers whether supplementary measures that provide privacy protections additional to those provided under the SCCs will need to be implemented to ensure an essentially equivalent level of data protection to that afforded in the EU. Following that decision, the Swiss Federal Data Protection and Information Commissioner (FDPIC) took a similar view and considered that data transfers based on the Swiss-U.S. Privacy Shield framework are no longer lawful (despite the fact that Schrems II is not directly applicable in Switzerland (unless the Swiss based company is subject to the EU GDPR) and the Swiss-U.S. Privacy Shield has not been officially invalidated).</w:t>
      </w:r>
    </w:p>
    <w:p>
      <w:pPr>
        <w:spacing w:after="0" w:line="4" w:lineRule="exact"/>
        <w:rPr>
          <w:sz w:val="20"/>
          <w:szCs w:val="20"/>
          <w:color w:val="auto"/>
        </w:rPr>
      </w:pPr>
    </w:p>
    <w:p>
      <w:pPr>
        <w:ind w:firstLine="764"/>
        <w:spacing w:after="0" w:line="255" w:lineRule="auto"/>
        <w:rPr>
          <w:sz w:val="20"/>
          <w:szCs w:val="20"/>
          <w:color w:val="auto"/>
        </w:rPr>
      </w:pPr>
      <w:r>
        <w:rPr>
          <w:rFonts w:ascii="Arial" w:cs="Arial" w:eastAsia="Arial" w:hAnsi="Arial"/>
          <w:sz w:val="13"/>
          <w:szCs w:val="13"/>
          <w:color w:val="auto"/>
        </w:rPr>
        <w:t>Further, the European Commission published new EU SCCs in June 2021, which place onerous obligations on the contracting parties. Therefore, until recently, there were few, if any, viable alternatives to the SCCs. However, on October 7, 2022, President Biden introduced an Executive Order to facilitate a new Trans-Atlantic Data Privacy Framework which will act as a successor to the invalidated EU-U.S. Privacy Shield. If approved by the European Commission and implemented, the agreement will facilitate the transatlantic flow of personal data and provide an alternative data transfer mechanism (in addition to SCCs) for companies transferring personal data from the EU to the U.S. However, before entities rely on the new EU-U.S. Privacy Shield, there are still legislative and regulatory steps that must be undertaken both in the U.S. and in the EU. Therefore, at present, the new EU SCCs are still the primary safeguard available for personal data transfers from the EU to the U.S. As such, the current legal position could restrict our activities in the EEA/Switzerland, limit our ability to provide our products and services in the EEA/Switzerland, and/or increase our costs and obligations and impose limitations upon our ability to efficiently transfer personal data from the EEA/Switzerland to the United States.</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3"/>
          <w:szCs w:val="13"/>
          <w:color w:val="auto"/>
        </w:rPr>
        <w:t>Following the U.K.’s departure from the EU (Brexit), the EU GDPR’s data protection obligations continue to apply to the UK in substantially unvaried form under the so-called “UK</w:t>
      </w:r>
    </w:p>
    <w:p>
      <w:pPr>
        <w:spacing w:after="0" w:line="29" w:lineRule="exact"/>
        <w:rPr>
          <w:sz w:val="20"/>
          <w:szCs w:val="20"/>
          <w:color w:val="auto"/>
        </w:rPr>
      </w:pPr>
    </w:p>
    <w:p>
      <w:pPr>
        <w:ind w:right="60"/>
        <w:spacing w:after="0" w:line="284" w:lineRule="auto"/>
        <w:rPr>
          <w:sz w:val="20"/>
          <w:szCs w:val="20"/>
          <w:color w:val="auto"/>
        </w:rPr>
      </w:pPr>
      <w:r>
        <w:rPr>
          <w:rFonts w:ascii="Arial" w:cs="Arial" w:eastAsia="Arial" w:hAnsi="Arial"/>
          <w:sz w:val="12"/>
          <w:szCs w:val="12"/>
          <w:color w:val="auto"/>
        </w:rPr>
        <w:t>GDPR”. The UK GDPR exists alongside the UK Data Protection Act 2018 which implements certain derogations in the UK GDPR into UK law. Under the UK GDPR, companies not established in the UK but who process personal data in relation to the offering of goods or services to individuals in the UK, or to monitor their behavior will be subject to the UK GDPR – the requirements of which are (at this time) largely aligned with those under the EU GDPR and as such, may lead to similar compliance and operational costs with potential fines of up to £17.5 million or 4% of global turnover. As a result, we are potentially exposed to two parallel data protection regimes, each of which authorizes fines and the potential for divergent enforcement actions. It should be noted that the UK GDPR also prohibits the transfer of personal data from the UK to other countries that are not recognized as having “adequate” data protection laws, including the U.S., in a similar manner to the EU. In addition, the UK Government has published its own form of SCCs, known as the International Data Transfer Agreement and International Data Transfer Addendum to the new EU SCCs. The UK Information Commissioner’s Office has also published its version of the transfer impact assessment and revised guidance on international transfers, although companies may choose to either use the EU style or UK style transfer impact assessment. In terms of international data transfers between the UK and US, it is understood that the UK and the US are negotiating an adequacy agreement.</w:t>
      </w:r>
    </w:p>
    <w:p>
      <w:pPr>
        <w:spacing w:after="0" w:line="52" w:lineRule="exact"/>
        <w:rPr>
          <w:sz w:val="20"/>
          <w:szCs w:val="20"/>
          <w:color w:val="auto"/>
        </w:rPr>
      </w:pPr>
    </w:p>
    <w:p>
      <w:pPr>
        <w:ind w:firstLine="764"/>
        <w:spacing w:after="0" w:line="277" w:lineRule="auto"/>
        <w:rPr>
          <w:sz w:val="20"/>
          <w:szCs w:val="20"/>
          <w:color w:val="auto"/>
        </w:rPr>
      </w:pPr>
      <w:r>
        <w:rPr>
          <w:rFonts w:ascii="Arial" w:cs="Arial" w:eastAsia="Arial" w:hAnsi="Arial"/>
          <w:sz w:val="13"/>
          <w:szCs w:val="13"/>
          <w:color w:val="auto"/>
        </w:rPr>
        <w:t>In the event we commence clinical trials in the EEA, the UK or Switzerland, applicable data protection laws may increase our responsibility and liability in relation to personal data that we process, and we may be required to put in place additional mechanisms and safeguards to ensure compliance, including as implemented by individual countries. Compliance with data protection laws in the EEA, the UK and Switzerland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right="60" w:firstLine="764"/>
        <w:spacing w:after="0" w:line="366" w:lineRule="auto"/>
        <w:rPr>
          <w:sz w:val="20"/>
          <w:szCs w:val="20"/>
          <w:color w:val="auto"/>
        </w:rPr>
      </w:pPr>
      <w:r>
        <w:rPr>
          <w:rFonts w:ascii="Arial" w:cs="Arial" w:eastAsia="Arial" w:hAnsi="Arial"/>
          <w:sz w:val="13"/>
          <w:szCs w:val="13"/>
          <w:b w:val="1"/>
          <w:bCs w:val="1"/>
          <w:i w:val="1"/>
          <w:iCs w:val="1"/>
          <w:color w:val="231F20"/>
        </w:rPr>
        <w:t>Following Brexit, 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ind w:right="160" w:firstLine="764"/>
        <w:spacing w:after="0" w:line="262" w:lineRule="auto"/>
        <w:rPr>
          <w:sz w:val="20"/>
          <w:szCs w:val="20"/>
          <w:color w:val="auto"/>
        </w:rPr>
      </w:pPr>
      <w:r>
        <w:rPr>
          <w:rFonts w:ascii="Arial" w:cs="Arial" w:eastAsia="Arial" w:hAnsi="Arial"/>
          <w:sz w:val="14"/>
          <w:szCs w:val="14"/>
          <w:color w:val="auto"/>
        </w:rPr>
        <w:t>On January 31, 2020, the U.K. ceased being a Member State of the EU. The U.K. and the EU signed a EU-UK Trade and Cooperation Agreement, or TCA, which became effective on May 1, 2021. Such a withdrawal from the EU is unprecedented, and it is unclear how the restrictions on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w:t>
      </w:r>
    </w:p>
    <w:p>
      <w:pPr>
        <w:spacing w:after="0" w:line="61" w:lineRule="exact"/>
        <w:rPr>
          <w:sz w:val="20"/>
          <w:szCs w:val="20"/>
          <w:color w:val="auto"/>
        </w:rPr>
      </w:pPr>
    </w:p>
    <w:p>
      <w:pPr>
        <w:ind w:firstLine="764"/>
        <w:spacing w:after="0" w:line="253" w:lineRule="auto"/>
        <w:rPr>
          <w:sz w:val="20"/>
          <w:szCs w:val="20"/>
          <w:color w:val="auto"/>
        </w:rPr>
      </w:pPr>
      <w:r>
        <w:rPr>
          <w:rFonts w:ascii="Arial" w:cs="Arial" w:eastAsia="Arial" w:hAnsi="Arial"/>
          <w:sz w:val="14"/>
          <w:szCs w:val="14"/>
          <w:color w:val="auto"/>
        </w:rPr>
        <w:t>We may also face new regulatory costs and challenges that could have an adverse effect on our operations.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now that U.K. legislation may depart from EU legislation. For instance, now the transition period has expired, Great Britain will no longer be covered by the centralized procedure for obtaining an EEA-wide marketing authorization from the European Medicines Agency, or EMA, and a separate process , will be required for authorization of drug products covering the UK or Great Britain only.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w:t>
      </w:r>
    </w:p>
    <w:p>
      <w:pPr>
        <w:spacing w:after="0" w:line="2" w:lineRule="exact"/>
        <w:rPr>
          <w:sz w:val="20"/>
          <w:szCs w:val="20"/>
          <w:color w:val="auto"/>
        </w:rPr>
      </w:pPr>
    </w:p>
    <w:p>
      <w:pPr>
        <w:ind w:right="300" w:firstLine="764"/>
        <w:spacing w:after="0" w:line="239" w:lineRule="auto"/>
        <w:rPr>
          <w:sz w:val="20"/>
          <w:szCs w:val="20"/>
          <w:color w:val="auto"/>
        </w:rPr>
      </w:pPr>
      <w:r>
        <w:rPr>
          <w:rFonts w:ascii="Arial" w:cs="Arial" w:eastAsia="Arial" w:hAnsi="Arial"/>
          <w:sz w:val="14"/>
          <w:szCs w:val="14"/>
          <w:color w:val="auto"/>
        </w:rPr>
        <w:t>The UK government is currently trying to renegotiate fundamental aspects of the Northern Ireland Protocol so this is an unpredictable area for companies in the near future. Failed attempts to renegotiate the Northern Ireland Protocol have led to media reports of the UK potentially triggering Article 16 of the Northern Ireland Protocol, a safeguarding measure, that may be engaged unilaterally if the application of the Protocol leads to serious economic, societal or environmental difficulties that are liable to persist, or to diversion of trade. The TCA allows for future deviation from the current regulatory framework and it is not known if and/or when any deviations may occur, which may have an impact on development, manufacture, marketing authorization, commercial sales and distribution of pharmaceutical products.</w:t>
      </w:r>
    </w:p>
    <w:p>
      <w:pPr>
        <w:spacing w:after="0" w:line="109" w:lineRule="exact"/>
        <w:rPr>
          <w:sz w:val="20"/>
          <w:szCs w:val="20"/>
          <w:color w:val="auto"/>
        </w:rPr>
      </w:pPr>
    </w:p>
    <w:p>
      <w:pPr>
        <w:ind w:left="940"/>
        <w:spacing w:after="0"/>
        <w:rPr>
          <w:sz w:val="20"/>
          <w:szCs w:val="20"/>
          <w:color w:val="auto"/>
        </w:rPr>
      </w:pPr>
      <w:r>
        <w:rPr>
          <w:rFonts w:ascii="Arial" w:cs="Arial" w:eastAsia="Arial" w:hAnsi="Arial"/>
          <w:sz w:val="14"/>
          <w:szCs w:val="14"/>
          <w:b w:val="1"/>
          <w:bCs w:val="1"/>
          <w:i w:val="1"/>
          <w:iCs w:val="1"/>
          <w:color w:val="231F20"/>
        </w:rPr>
        <w:t>Changes in U.S. tax law could adversely affect our financial condition and results of operations.</w:t>
      </w:r>
    </w:p>
    <w:p>
      <w:pPr>
        <w:spacing w:after="0" w:line="94" w:lineRule="exact"/>
        <w:rPr>
          <w:sz w:val="20"/>
          <w:szCs w:val="20"/>
          <w:color w:val="auto"/>
        </w:rPr>
      </w:pPr>
    </w:p>
    <w:p>
      <w:pPr>
        <w:ind w:right="100" w:firstLine="764"/>
        <w:spacing w:after="0" w:line="319" w:lineRule="auto"/>
        <w:rPr>
          <w:sz w:val="20"/>
          <w:szCs w:val="20"/>
          <w:color w:val="auto"/>
        </w:rPr>
      </w:pPr>
      <w:r>
        <w:rPr>
          <w:rFonts w:ascii="Arial" w:cs="Arial" w:eastAsia="Arial" w:hAnsi="Arial"/>
          <w:sz w:val="12"/>
          <w:szCs w:val="12"/>
          <w:color w:val="auto"/>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spacing w:after="0" w:line="62" w:lineRule="exact"/>
        <w:rPr>
          <w:sz w:val="20"/>
          <w:szCs w:val="20"/>
          <w:color w:val="auto"/>
        </w:rPr>
      </w:pPr>
    </w:p>
    <w:p>
      <w:pPr>
        <w:ind w:right="120" w:firstLine="764"/>
        <w:spacing w:after="0" w:line="328" w:lineRule="auto"/>
        <w:rPr>
          <w:sz w:val="20"/>
          <w:szCs w:val="20"/>
          <w:color w:val="auto"/>
        </w:rPr>
      </w:pPr>
      <w:r>
        <w:rPr>
          <w:rFonts w:ascii="Arial" w:cs="Arial" w:eastAsia="Arial" w:hAnsi="Arial"/>
          <w:sz w:val="14"/>
          <w:szCs w:val="14"/>
          <w:b w:val="1"/>
          <w:bCs w:val="1"/>
          <w:i w:val="1"/>
          <w:iCs w:val="1"/>
          <w:color w:val="231F20"/>
        </w:rPr>
        <w:t>Our internal computer systems, or those of our collaborators or other contractors or consultants, may fail or suffer security breaches, which could result in a material disruption of our product development programs.</w:t>
      </w:r>
    </w:p>
    <w:p>
      <w:pPr>
        <w:spacing w:after="0" w:line="27" w:lineRule="exact"/>
        <w:rPr>
          <w:sz w:val="20"/>
          <w:szCs w:val="20"/>
          <w:color w:val="auto"/>
        </w:rPr>
      </w:pPr>
    </w:p>
    <w:p>
      <w:pPr>
        <w:ind w:right="60" w:firstLine="764"/>
        <w:spacing w:after="0" w:line="257" w:lineRule="auto"/>
        <w:rPr>
          <w:sz w:val="20"/>
          <w:szCs w:val="20"/>
          <w:color w:val="auto"/>
        </w:rPr>
      </w:pPr>
      <w:r>
        <w:rPr>
          <w:rFonts w:ascii="Arial" w:cs="Arial" w:eastAsia="Arial" w:hAnsi="Arial"/>
          <w:sz w:val="14"/>
          <w:szCs w:val="14"/>
          <w:color w:val="auto"/>
        </w:rPr>
        <w:t>Our internal computer systems and those of our current and any future collaborators, other contractors or consultants, and third-party suppliers (i.e. our supply chain) are vulnerable to damage from computer viruses, unauthorized access, natural disasters, terrorism, war and telecommunication and electrical failures. We exercise little or no direct control over how these third parties operate their networks, which increases our vulnerability to problems with their systems. While we have not experienced any such material system failure, accident or security breach to date, if such an event were to occur and cause interruptions in our information systems, it could result in a disruption of our development programs and our business operations, whether due to a loss of our trade secrets or other proprietary information or other similar disruptions.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64" w:lineRule="exact"/>
        <w:rPr>
          <w:sz w:val="20"/>
          <w:szCs w:val="20"/>
          <w:color w:val="auto"/>
        </w:rPr>
      </w:pPr>
    </w:p>
    <w:p>
      <w:pPr>
        <w:ind w:right="60" w:firstLine="764"/>
        <w:spacing w:after="0" w:line="267" w:lineRule="auto"/>
        <w:rPr>
          <w:sz w:val="20"/>
          <w:szCs w:val="20"/>
          <w:color w:val="auto"/>
        </w:rPr>
      </w:pPr>
      <w:r>
        <w:rPr>
          <w:rFonts w:ascii="Arial" w:cs="Arial" w:eastAsia="Arial" w:hAnsi="Arial"/>
          <w:sz w:val="14"/>
          <w:szCs w:val="14"/>
          <w:color w:val="auto"/>
        </w:rPr>
        <w:t>We could be subject to risks caused by misappropriation, misuse, leakage, falsification or intentional or accidental release, exposure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40"/>
        <w:spacing w:after="0" w:line="288" w:lineRule="auto"/>
        <w:rPr>
          <w:sz w:val="20"/>
          <w:szCs w:val="20"/>
          <w:color w:val="auto"/>
        </w:rPr>
      </w:pPr>
      <w:r>
        <w:rPr>
          <w:rFonts w:ascii="Arial" w:cs="Arial" w:eastAsia="Arial" w:hAnsi="Arial"/>
          <w:sz w:val="13"/>
          <w:szCs w:val="13"/>
          <w:color w:val="auto"/>
        </w:rPr>
        <w:t>induce our personnel or the personnel of our vendors to disclose sensitive information in order to gain access to our data and/or systems. We may experience threats to our data and systems, including malicious code and viruses, supply chain attacks, phishing and other cyberattacks. The number and complexity of these threats continue to increase over time. If a material breach of, or accidental or intentional loss of data from,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w:t>
      </w:r>
    </w:p>
    <w:p>
      <w:pPr>
        <w:spacing w:after="0" w:line="46" w:lineRule="exact"/>
        <w:rPr>
          <w:sz w:val="20"/>
          <w:szCs w:val="20"/>
          <w:color w:val="auto"/>
        </w:rPr>
      </w:pPr>
    </w:p>
    <w:p>
      <w:pPr>
        <w:ind w:right="80" w:firstLine="764"/>
        <w:spacing w:after="0" w:line="309" w:lineRule="auto"/>
        <w:rPr>
          <w:sz w:val="20"/>
          <w:szCs w:val="20"/>
          <w:color w:val="auto"/>
        </w:rPr>
      </w:pPr>
      <w:r>
        <w:rPr>
          <w:rFonts w:ascii="Arial" w:cs="Arial" w:eastAsia="Arial" w:hAnsi="Arial"/>
          <w:sz w:val="12"/>
          <w:szCs w:val="12"/>
          <w:color w:val="auto"/>
        </w:rPr>
        <w:t>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 based information systems, the related security risks will increase and we will need to expend additional resources to protect our technology and information systems.</w:t>
      </w:r>
    </w:p>
    <w:p>
      <w:pPr>
        <w:spacing w:after="0" w:line="37" w:lineRule="exact"/>
        <w:rPr>
          <w:sz w:val="20"/>
          <w:szCs w:val="20"/>
          <w:color w:val="auto"/>
        </w:rPr>
      </w:pPr>
    </w:p>
    <w:p>
      <w:pPr>
        <w:ind w:right="40" w:firstLine="764"/>
        <w:spacing w:after="0" w:line="297" w:lineRule="auto"/>
        <w:rPr>
          <w:sz w:val="20"/>
          <w:szCs w:val="20"/>
          <w:color w:val="auto"/>
        </w:rPr>
      </w:pPr>
      <w:r>
        <w:rPr>
          <w:rFonts w:ascii="Arial" w:cs="Arial" w:eastAsia="Arial" w:hAnsi="Arial"/>
          <w:sz w:val="13"/>
          <w:szCs w:val="13"/>
          <w:color w:val="auto"/>
        </w:rPr>
        <w:t>In addition, there can be no assurance that our internal information technology systems or those of our third- 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39" w:lineRule="exact"/>
        <w:rPr>
          <w:sz w:val="20"/>
          <w:szCs w:val="20"/>
          <w:color w:val="auto"/>
        </w:rPr>
      </w:pPr>
    </w:p>
    <w:p>
      <w:pPr>
        <w:ind w:firstLine="764"/>
        <w:spacing w:after="0" w:line="288" w:lineRule="auto"/>
        <w:rPr>
          <w:sz w:val="20"/>
          <w:szCs w:val="20"/>
          <w:color w:val="auto"/>
        </w:rPr>
      </w:pPr>
      <w:r>
        <w:rPr>
          <w:rFonts w:ascii="Arial" w:cs="Arial" w:eastAsia="Arial" w:hAnsi="Arial"/>
          <w:sz w:val="13"/>
          <w:szCs w:val="13"/>
          <w:color w:val="auto"/>
        </w:rPr>
        <w:t>In addition, while we maintain, insurance policies that may cover certain liabilities in connection with a cybersecurity incident, we cannot be certain that the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that exceed available insurance coverage, or the occurrence of changes in insurance policies, including premium increases or the imposition of large deductible or co-insurance requirements, could have a material adverse effect on our business, including its financial condition, results of operations and reputation.</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231F20"/>
        </w:rPr>
        <w:t>Unfavorable global economic conditions could adversely affect our business, financial condition or results of operations.</w:t>
      </w:r>
    </w:p>
    <w:p>
      <w:pPr>
        <w:spacing w:after="0" w:line="10" w:lineRule="exact"/>
        <w:rPr>
          <w:sz w:val="20"/>
          <w:szCs w:val="20"/>
          <w:color w:val="auto"/>
        </w:rPr>
      </w:pPr>
    </w:p>
    <w:p>
      <w:pPr>
        <w:ind w:right="100" w:firstLine="764"/>
        <w:spacing w:after="0" w:line="239" w:lineRule="auto"/>
        <w:rPr>
          <w:sz w:val="20"/>
          <w:szCs w:val="20"/>
          <w:color w:val="auto"/>
        </w:rPr>
      </w:pPr>
      <w:r>
        <w:rPr>
          <w:rFonts w:ascii="Arial" w:cs="Arial" w:eastAsia="Arial" w:hAnsi="Arial"/>
          <w:sz w:val="14"/>
          <w:szCs w:val="14"/>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including due to the impact of the COVID-19 pandemic, Russian invasion of Ukraine, rising inflationary pressures and rising interest rates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spacing w:after="0" w:line="65" w:lineRule="exact"/>
        <w:rPr>
          <w:sz w:val="20"/>
          <w:szCs w:val="20"/>
          <w:color w:val="auto"/>
        </w:rPr>
      </w:pPr>
    </w:p>
    <w:p>
      <w:pPr>
        <w:ind w:left="760"/>
        <w:spacing w:after="0"/>
        <w:rPr>
          <w:sz w:val="20"/>
          <w:szCs w:val="20"/>
          <w:color w:val="auto"/>
        </w:rPr>
      </w:pPr>
      <w:r>
        <w:rPr>
          <w:rFonts w:ascii="Arial" w:cs="Arial" w:eastAsia="Arial" w:hAnsi="Arial"/>
          <w:sz w:val="14"/>
          <w:szCs w:val="14"/>
          <w:b w:val="1"/>
          <w:bCs w:val="1"/>
          <w:i w:val="1"/>
          <w:iCs w:val="1"/>
          <w:color w:val="231F20"/>
        </w:rPr>
        <w:t>The increasing use of social media platforms presents new risks and challenges.</w:t>
      </w:r>
    </w:p>
    <w:p>
      <w:pPr>
        <w:spacing w:after="0" w:line="94" w:lineRule="exact"/>
        <w:rPr>
          <w:sz w:val="20"/>
          <w:szCs w:val="20"/>
          <w:color w:val="auto"/>
        </w:rPr>
      </w:pPr>
    </w:p>
    <w:p>
      <w:pPr>
        <w:ind w:firstLine="764"/>
        <w:spacing w:after="0" w:line="257" w:lineRule="auto"/>
        <w:rPr>
          <w:sz w:val="20"/>
          <w:szCs w:val="20"/>
          <w:color w:val="auto"/>
        </w:rPr>
      </w:pPr>
      <w:r>
        <w:rPr>
          <w:rFonts w:ascii="Arial" w:cs="Arial" w:eastAsia="Arial" w:hAnsi="Arial"/>
          <w:sz w:val="14"/>
          <w:szCs w:val="14"/>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comments about us on any social networking website. If any of these events were to occur or we otherwise fail to comply with applicable regulations, we could incur liability, face regulatory actions or incur other harm to our business.</w:t>
      </w:r>
    </w:p>
    <w:p>
      <w:pPr>
        <w:spacing w:after="0" w:line="1" w:lineRule="exact"/>
        <w:rPr>
          <w:sz w:val="20"/>
          <w:szCs w:val="20"/>
          <w:color w:val="auto"/>
        </w:rPr>
      </w:pPr>
    </w:p>
    <w:p>
      <w:pPr>
        <w:ind w:firstLine="905"/>
        <w:spacing w:after="0" w:line="262" w:lineRule="auto"/>
        <w:rPr>
          <w:sz w:val="20"/>
          <w:szCs w:val="20"/>
          <w:color w:val="auto"/>
        </w:rPr>
      </w:pPr>
      <w:r>
        <w:rPr>
          <w:rFonts w:ascii="Arial" w:cs="Arial" w:eastAsia="Arial" w:hAnsi="Arial"/>
          <w:sz w:val="14"/>
          <w:szCs w:val="14"/>
          <w:b w:val="1"/>
          <w:bCs w:val="1"/>
          <w:i w:val="1"/>
          <w:iCs w:val="1"/>
          <w:color w:val="231F20"/>
        </w:rPr>
        <w:t>Our estimates of market opportunity and forecasts of market growth may prove to be inaccurate, and even if the markets in which we compete achieve the forecasted growth, our business may not grow at similar rates, or at all.</w:t>
      </w:r>
    </w:p>
    <w:p>
      <w:pPr>
        <w:ind w:right="60" w:firstLine="341"/>
        <w:spacing w:after="0" w:line="312" w:lineRule="auto"/>
        <w:rPr>
          <w:sz w:val="20"/>
          <w:szCs w:val="20"/>
          <w:color w:val="auto"/>
        </w:rPr>
      </w:pPr>
      <w:r>
        <w:rPr>
          <w:rFonts w:ascii="Arial" w:cs="Arial" w:eastAsia="Arial" w:hAnsi="Arial"/>
          <w:sz w:val="12"/>
          <w:szCs w:val="12"/>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61" w:lineRule="exact"/>
        <w:rPr>
          <w:sz w:val="20"/>
          <w:szCs w:val="20"/>
          <w:color w:val="auto"/>
        </w:rPr>
      </w:pPr>
    </w:p>
    <w:p>
      <w:pPr>
        <w:ind w:right="160" w:firstLine="509"/>
        <w:spacing w:after="0" w:line="288" w:lineRule="auto"/>
        <w:rPr>
          <w:sz w:val="20"/>
          <w:szCs w:val="20"/>
          <w:color w:val="auto"/>
        </w:rPr>
      </w:pPr>
      <w:r>
        <w:rPr>
          <w:rFonts w:ascii="Arial" w:cs="Arial" w:eastAsia="Arial" w:hAnsi="Arial"/>
          <w:sz w:val="13"/>
          <w:szCs w:val="13"/>
          <w:color w:val="auto"/>
        </w:rPr>
        <w:t>We lease a facility containing 32,974 square feet of laboratory and office space, which is located at 260 Littlefield Avenue, South San Francisco, California 94080. The Littlefield lease expires on February 28, 2025. In August 2022, we entered into an additional facility lease containing 12,456 square feet of office space, which is located at 611 Gateway Boulevard, South San Francisco, California 94080. The Gateway lease expires January 31, 2024. We believe that our current facilities are sufficient to meet our current and near-term needs for the business of developing and commercializing novel therapies for fibrotic diseases and that, should it be needed, suitable additional space will be available.</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51" w:lineRule="exact"/>
        <w:rPr>
          <w:sz w:val="20"/>
          <w:szCs w:val="20"/>
          <w:color w:val="auto"/>
        </w:rPr>
      </w:pPr>
    </w:p>
    <w:p>
      <w:pPr>
        <w:ind w:right="20" w:firstLine="509"/>
        <w:spacing w:after="0" w:line="267" w:lineRule="auto"/>
        <w:rPr>
          <w:sz w:val="20"/>
          <w:szCs w:val="20"/>
          <w:color w:val="auto"/>
        </w:rPr>
      </w:pPr>
      <w:r>
        <w:rPr>
          <w:rFonts w:ascii="Arial" w:cs="Arial" w:eastAsia="Arial" w:hAnsi="Arial"/>
          <w:sz w:val="14"/>
          <w:szCs w:val="14"/>
          <w:color w:val="auto"/>
        </w:rPr>
        <w:t>As of the date of this Annual Report,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116" w:lineRule="exact"/>
        <w:rPr>
          <w:sz w:val="20"/>
          <w:szCs w:val="20"/>
          <w:color w:val="auto"/>
        </w:rPr>
      </w:pPr>
    </w:p>
    <w:p>
      <w:pPr>
        <w:jc w:val="center"/>
        <w:ind w:right="9380"/>
        <w:spacing w:after="0"/>
        <w:rPr>
          <w:sz w:val="20"/>
          <w:szCs w:val="20"/>
          <w:color w:val="auto"/>
        </w:rPr>
      </w:pPr>
      <w:r>
        <w:rPr>
          <w:rFonts w:ascii="Arial" w:cs="Arial" w:eastAsia="Arial" w:hAnsi="Arial"/>
          <w:sz w:val="12"/>
          <w:szCs w:val="12"/>
          <w:b w:val="1"/>
          <w:bCs w:val="1"/>
          <w:color w:val="auto"/>
        </w:rPr>
        <w:t>Item 4. Mine Safety Disclosures</w:t>
      </w:r>
    </w:p>
    <w:p>
      <w:pPr>
        <w:spacing w:after="0" w:line="174" w:lineRule="exact"/>
        <w:rPr>
          <w:sz w:val="20"/>
          <w:szCs w:val="20"/>
          <w:color w:val="auto"/>
        </w:rPr>
      </w:pPr>
    </w:p>
    <w:p>
      <w:pPr>
        <w:jc w:val="center"/>
        <w:ind w:right="936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Market Information</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2"/>
          <w:szCs w:val="12"/>
          <w:color w:val="auto"/>
        </w:rPr>
        <w:t>Our common stock has been listed on the Nasdaq Global Select Market under the symbol “PLRX” since June 3, 2020. Prior to that date, there was no public trading market for our common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stock.</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Holders of Record</w:t>
      </w:r>
    </w:p>
    <w:p>
      <w:pPr>
        <w:spacing w:after="0" w:line="151" w:lineRule="exact"/>
        <w:rPr>
          <w:sz w:val="20"/>
          <w:szCs w:val="20"/>
          <w:color w:val="auto"/>
        </w:rPr>
      </w:pPr>
    </w:p>
    <w:p>
      <w:pPr>
        <w:jc w:val="both"/>
        <w:ind w:right="220" w:firstLine="509"/>
        <w:spacing w:after="0" w:line="267" w:lineRule="auto"/>
        <w:rPr>
          <w:sz w:val="20"/>
          <w:szCs w:val="20"/>
          <w:color w:val="auto"/>
        </w:rPr>
      </w:pPr>
      <w:r>
        <w:rPr>
          <w:rFonts w:ascii="Arial" w:cs="Arial" w:eastAsia="Arial" w:hAnsi="Arial"/>
          <w:sz w:val="14"/>
          <w:szCs w:val="14"/>
          <w:color w:val="auto"/>
        </w:rPr>
        <w:t>As of the close of business on March 5, 2023, there were 28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Dividends</w:t>
      </w:r>
    </w:p>
    <w:p>
      <w:pPr>
        <w:spacing w:after="0" w:line="161"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We have never declared or paid cash dividends on our common stock. We currently intend to retain all available funds and future earnings, if any, for the development, operation and expansion of our business and do not anticipate declaring or paying any cash dividends for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Information about our equity compensation plans is incorporated herein by reference to Item 12 of Part III of this Annual Report on Form 10-K.</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51" w:lineRule="exact"/>
        <w:rPr>
          <w:sz w:val="20"/>
          <w:szCs w:val="20"/>
          <w:color w:val="auto"/>
        </w:rPr>
      </w:pPr>
    </w:p>
    <w:p>
      <w:pPr>
        <w:ind w:right="40" w:firstLine="509"/>
        <w:spacing w:after="0" w:line="282" w:lineRule="auto"/>
        <w:rPr>
          <w:sz w:val="20"/>
          <w:szCs w:val="20"/>
          <w:color w:val="auto"/>
        </w:rPr>
      </w:pPr>
      <w:r>
        <w:rPr>
          <w:rFonts w:ascii="Arial" w:cs="Arial" w:eastAsia="Arial" w:hAnsi="Arial"/>
          <w:sz w:val="13"/>
          <w:szCs w:val="13"/>
          <w:i w:val="1"/>
          <w:iCs w:val="1"/>
          <w:color w:val="auto"/>
        </w:rPr>
        <w:t>The following discussion and analysis of our financial condition and results of operations should be read in conjunction with our financial statements and related notes appearing elsewhere in this Annual Report. This discussion and analysis contains forward-looking statements based upon current beliefs, plans and expectations that involve risks, uncertainties and assumptions, such as statements regarding our plans, objectives, expectations, intention, beliefs and projections. Our actual results and the timing of events could differ materially from those anticipated in these forward-looking statements as a result of several factors, including those set forth in the section titled “Risk Factors” under Part I, Item 1A and elsewhere in this Annual Report. See “Special Note Regarding Forward-Looking Statements” in this Annual Report. In some cases, you can identify forward-looking statements by terminology such as “anticipate,” “believe,” “continue,” “could,” “estimate,” “expect,” “intend,” “may,” “plan,” “potentially,” “predict,” “should,” “will” or the negative of these terms or other similar expressions.</w:t>
      </w:r>
    </w:p>
    <w:p>
      <w:pPr>
        <w:spacing w:after="0" w:line="113" w:lineRule="exact"/>
        <w:rPr>
          <w:sz w:val="20"/>
          <w:szCs w:val="20"/>
          <w:color w:val="auto"/>
        </w:rPr>
      </w:pPr>
    </w:p>
    <w:p>
      <w:pPr>
        <w:ind w:right="200" w:firstLine="509"/>
        <w:spacing w:after="0" w:line="321" w:lineRule="auto"/>
        <w:rPr>
          <w:sz w:val="20"/>
          <w:szCs w:val="20"/>
          <w:color w:val="auto"/>
        </w:rPr>
      </w:pPr>
      <w:r>
        <w:rPr>
          <w:rFonts w:ascii="Arial" w:cs="Arial" w:eastAsia="Arial" w:hAnsi="Arial"/>
          <w:sz w:val="13"/>
          <w:szCs w:val="13"/>
          <w:i w:val="1"/>
          <w:iCs w:val="1"/>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i w:val="1"/>
          <w:iCs w:val="1"/>
          <w:color w:val="auto"/>
        </w:rPr>
        <w:t>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Overview</w:t>
      </w:r>
    </w:p>
    <w:p>
      <w:pPr>
        <w:spacing w:after="0" w:line="98" w:lineRule="exact"/>
        <w:rPr>
          <w:sz w:val="20"/>
          <w:szCs w:val="20"/>
          <w:color w:val="auto"/>
        </w:rPr>
      </w:pPr>
    </w:p>
    <w:p>
      <w:pPr>
        <w:ind w:right="20" w:firstLine="828"/>
        <w:spacing w:after="0" w:line="282" w:lineRule="auto"/>
        <w:rPr>
          <w:sz w:val="20"/>
          <w:szCs w:val="20"/>
          <w:color w:val="auto"/>
        </w:rPr>
      </w:pPr>
      <w:r>
        <w:rPr>
          <w:rFonts w:ascii="Arial" w:cs="Arial" w:eastAsia="Arial" w:hAnsi="Arial"/>
          <w:sz w:val="13"/>
          <w:szCs w:val="13"/>
          <w:color w:val="auto"/>
        </w:rPr>
        <w:t>We are a clinical stage biopharmaceutical company focused on discovering and developing novel therapies for the treatment of fibrosis and related diseases. Our initial focus is on treating fibrosis by inhibiting integrin-mediated activation of TGF-β. We have applied our deep understanding of fibrosis biology, along with our medicinal chemistry and translational medicine expertise to develop a set of proprietary tools designed to discover and de-risk product candidates quickly and efficiently. Our wholly-owned lead product candidate, bexotegrast (PLN-74809), is an oral, small molecule, dual selective inhibitor of αvß6 and αvß1 integrins that we are developing for the treatment of idiopathic pulmonary fibrosis, or IPF, and primary sclerosing cholangitis, or PSC. We are currently conducting three Phase 2a trials in our lead indications: two in IPF and one in PSC. We announced positive interim data from our first Phase 2a INTEGRIS-IPF trial in July 2022 and January 2023. We expect to release final data from the INTEGRIS-IPF trial in the second quarter of 2023.</w:t>
      </w:r>
    </w:p>
    <w:p>
      <w:pPr>
        <w:spacing w:after="0" w:line="49" w:lineRule="exact"/>
        <w:rPr>
          <w:sz w:val="20"/>
          <w:szCs w:val="20"/>
          <w:color w:val="auto"/>
        </w:rPr>
      </w:pPr>
    </w:p>
    <w:p>
      <w:pPr>
        <w:jc w:val="both"/>
        <w:ind w:right="100" w:firstLine="828"/>
        <w:spacing w:after="0" w:line="267" w:lineRule="auto"/>
        <w:rPr>
          <w:sz w:val="20"/>
          <w:szCs w:val="20"/>
          <w:color w:val="auto"/>
        </w:rPr>
      </w:pPr>
      <w:r>
        <w:rPr>
          <w:rFonts w:ascii="Arial" w:cs="Arial" w:eastAsia="Arial" w:hAnsi="Arial"/>
          <w:sz w:val="14"/>
          <w:szCs w:val="14"/>
          <w:color w:val="auto"/>
        </w:rPr>
        <w:t>We have also developed a second product candidate, PLN-1474, a Phase 2-ready oral, small molecule selective inhibitor of αvß1 for the treatment of advanced liver fibrosis associated with nonalcoholic steatohepatitis, or NASH. PLN-1474 was licensed to Novartis in 2019, and as part of a broad strategic realignment, Novartis has discontinued clinical development in NASH and, as a result, discontinued development of PLN-1474. In February 2023, Novartis returned global rights to PLN-1474 to Pliant.</w:t>
      </w:r>
    </w:p>
    <w:p>
      <w:pPr>
        <w:spacing w:after="0" w:line="57" w:lineRule="exact"/>
        <w:rPr>
          <w:sz w:val="20"/>
          <w:szCs w:val="20"/>
          <w:color w:val="auto"/>
        </w:rPr>
      </w:pPr>
    </w:p>
    <w:p>
      <w:pPr>
        <w:jc w:val="both"/>
        <w:ind w:right="80" w:firstLine="828"/>
        <w:spacing w:after="0" w:line="321" w:lineRule="auto"/>
        <w:rPr>
          <w:sz w:val="20"/>
          <w:szCs w:val="20"/>
          <w:color w:val="auto"/>
        </w:rPr>
      </w:pPr>
      <w:r>
        <w:rPr>
          <w:rFonts w:ascii="Arial" w:cs="Arial" w:eastAsia="Arial" w:hAnsi="Arial"/>
          <w:sz w:val="13"/>
          <w:szCs w:val="13"/>
          <w:color w:val="auto"/>
        </w:rPr>
        <w:t>In December 2022, we filed an investigational new drug (IND) application for our third clinical program, PLN-101095, a dual inhibitor of integrins αvß8 and αvß1 for the treatment of solid tumors resistant to immune checkpoint inhibitors. In January 2023, we received FDA clearance for our IND and expect to initiate a Phase 1 trial of PLN-101095 in the second quarter of 2023.</w:t>
      </w:r>
    </w:p>
    <w:p>
      <w:pPr>
        <w:spacing w:after="0" w:line="24" w:lineRule="exact"/>
        <w:rPr>
          <w:sz w:val="20"/>
          <w:szCs w:val="20"/>
          <w:color w:val="auto"/>
        </w:rPr>
      </w:pPr>
    </w:p>
    <w:p>
      <w:pPr>
        <w:ind w:left="840"/>
        <w:spacing w:after="0"/>
        <w:rPr>
          <w:sz w:val="20"/>
          <w:szCs w:val="20"/>
          <w:color w:val="auto"/>
        </w:rPr>
      </w:pPr>
      <w:r>
        <w:rPr>
          <w:rFonts w:ascii="Arial" w:cs="Arial" w:eastAsia="Arial" w:hAnsi="Arial"/>
          <w:sz w:val="14"/>
          <w:szCs w:val="14"/>
          <w:color w:val="auto"/>
        </w:rPr>
        <w:t>In addition to our clinical programs, we are currently advancing a preclinical integrin-based program targeting muscular dystrophies.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Highlights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Bexotegrast Highlights</w:t>
      </w:r>
    </w:p>
    <w:p>
      <w:pPr>
        <w:spacing w:after="0" w:line="90" w:lineRule="exact"/>
        <w:rPr>
          <w:sz w:val="20"/>
          <w:szCs w:val="20"/>
          <w:color w:val="auto"/>
        </w:rPr>
      </w:pPr>
    </w:p>
    <w:p>
      <w:pPr>
        <w:ind w:left="1780" w:hanging="884"/>
        <w:spacing w:after="0" w:line="259" w:lineRule="auto"/>
        <w:tabs>
          <w:tab w:leader="none" w:pos="1776" w:val="left"/>
        </w:tabs>
        <w:numPr>
          <w:ilvl w:val="0"/>
          <w:numId w:val="45"/>
        </w:numPr>
        <w:rPr>
          <w:rFonts w:ascii="Arial" w:cs="Arial" w:eastAsia="Arial" w:hAnsi="Arial"/>
          <w:sz w:val="14"/>
          <w:szCs w:val="14"/>
          <w:color w:val="auto"/>
        </w:rPr>
      </w:pPr>
      <w:r>
        <w:rPr>
          <w:rFonts w:ascii="Arial" w:cs="Arial" w:eastAsia="Arial" w:hAnsi="Arial"/>
          <w:sz w:val="14"/>
          <w:szCs w:val="14"/>
          <w:b w:val="1"/>
          <w:bCs w:val="1"/>
          <w:color w:val="auto"/>
        </w:rPr>
        <w:t xml:space="preserve">INTEGRIS-IPF Phase 2a clinical data from bexotegrast 320 mg dose at 12-weeks showed bexotegrast was well tolerated and demonstrated statistically significant forced vital capacity (FVC) increase in patients with idiopathic pulmonary fibrosis (IPF). </w:t>
      </w:r>
      <w:r>
        <w:rPr>
          <w:rFonts w:ascii="Arial" w:cs="Arial" w:eastAsia="Arial" w:hAnsi="Arial"/>
          <w:sz w:val="14"/>
          <w:szCs w:val="14"/>
          <w:color w:val="auto"/>
        </w:rPr>
        <w:t>Bexotegrast at 320 mg was well tolerated with no drug-related severe or serious adverse events and showed dose-proportional increases in plasma concentrations, consistent with prior studies. Exploratory efficacy endpoints demonstrated strong treatment effects on FVC, Quantitative Lung Fibrosis (QLF) imaging and biomarkers over 12 weeks. In addition, no bexotegrast-treated patients experienced disease progression as defined by FVC percent predicted (FVCpp) decline of greater than or equal to 10%, a risk factor associated with increased mortality in IPF patients.</w:t>
      </w:r>
    </w:p>
    <w:p>
      <w:pPr>
        <w:spacing w:after="0" w:line="60" w:lineRule="exact"/>
        <w:rPr>
          <w:rFonts w:ascii="Arial" w:cs="Arial" w:eastAsia="Arial" w:hAnsi="Arial"/>
          <w:sz w:val="14"/>
          <w:szCs w:val="14"/>
          <w:color w:val="auto"/>
        </w:rPr>
      </w:pPr>
    </w:p>
    <w:p>
      <w:pPr>
        <w:ind w:left="1780" w:right="100" w:hanging="884"/>
        <w:spacing w:after="0" w:line="264" w:lineRule="auto"/>
        <w:tabs>
          <w:tab w:leader="none" w:pos="1776" w:val="left"/>
        </w:tabs>
        <w:numPr>
          <w:ilvl w:val="0"/>
          <w:numId w:val="45"/>
        </w:numPr>
        <w:rPr>
          <w:rFonts w:ascii="Arial" w:cs="Arial" w:eastAsia="Arial" w:hAnsi="Arial"/>
          <w:sz w:val="14"/>
          <w:szCs w:val="14"/>
          <w:color w:val="auto"/>
        </w:rPr>
      </w:pPr>
      <w:r>
        <w:rPr>
          <w:rFonts w:ascii="Arial" w:cs="Arial" w:eastAsia="Arial" w:hAnsi="Arial"/>
          <w:sz w:val="14"/>
          <w:szCs w:val="14"/>
          <w:b w:val="1"/>
          <w:bCs w:val="1"/>
          <w:color w:val="auto"/>
        </w:rPr>
        <w:t xml:space="preserve">INTEGRIS-IPF Phase 2a trial on track for final 24-week data readout from the bexotegrast 320 mg dose group in the second quarter of 2023. </w:t>
      </w:r>
      <w:r>
        <w:rPr>
          <w:rFonts w:ascii="Arial" w:cs="Arial" w:eastAsia="Arial" w:hAnsi="Arial"/>
          <w:sz w:val="14"/>
          <w:szCs w:val="14"/>
          <w:color w:val="auto"/>
        </w:rPr>
        <w:t>This</w:t>
      </w:r>
      <w:r>
        <w:rPr>
          <w:rFonts w:ascii="Arial" w:cs="Arial" w:eastAsia="Arial" w:hAnsi="Arial"/>
          <w:sz w:val="14"/>
          <w:szCs w:val="14"/>
          <w:b w:val="1"/>
          <w:bCs w:val="1"/>
          <w:color w:val="auto"/>
        </w:rPr>
        <w:t xml:space="preserve"> </w:t>
      </w:r>
      <w:r>
        <w:rPr>
          <w:rFonts w:ascii="Arial" w:cs="Arial" w:eastAsia="Arial" w:hAnsi="Arial"/>
          <w:sz w:val="14"/>
          <w:szCs w:val="14"/>
          <w:color w:val="auto"/>
        </w:rPr>
        <w:t>randomized, double-blind, placebo-controlled trial is evaluating bexotegrast at a once-daily dose of 320 mg administered for at least six months and up to 48 weeks in approximately 28 patients with IPF. The trial will evaluate primary and secondary endpoints of safety, tolerability, and pharmacokinetics. Exploratory efficacy endpoints will include effect on FVC and QLF, as well as serum biomarkers.</w:t>
      </w:r>
    </w:p>
    <w:p>
      <w:pPr>
        <w:spacing w:after="0" w:line="55" w:lineRule="exact"/>
        <w:rPr>
          <w:rFonts w:ascii="Arial" w:cs="Arial" w:eastAsia="Arial" w:hAnsi="Arial"/>
          <w:sz w:val="14"/>
          <w:szCs w:val="14"/>
          <w:color w:val="auto"/>
        </w:rPr>
      </w:pPr>
    </w:p>
    <w:p>
      <w:pPr>
        <w:ind w:left="1780" w:hanging="884"/>
        <w:spacing w:after="0" w:line="300" w:lineRule="auto"/>
        <w:tabs>
          <w:tab w:leader="none" w:pos="1776" w:val="left"/>
        </w:tabs>
        <w:numPr>
          <w:ilvl w:val="0"/>
          <w:numId w:val="45"/>
        </w:numPr>
        <w:rPr>
          <w:rFonts w:ascii="Arial" w:cs="Arial" w:eastAsia="Arial" w:hAnsi="Arial"/>
          <w:sz w:val="13"/>
          <w:szCs w:val="13"/>
          <w:color w:val="auto"/>
        </w:rPr>
      </w:pPr>
      <w:r>
        <w:rPr>
          <w:rFonts w:ascii="Arial" w:cs="Arial" w:eastAsia="Arial" w:hAnsi="Arial"/>
          <w:sz w:val="13"/>
          <w:szCs w:val="13"/>
          <w:b w:val="1"/>
          <w:bCs w:val="1"/>
          <w:color w:val="auto"/>
        </w:rPr>
        <w:t xml:space="preserve">INTEGRIS-PSC topline Phase 2a data expected in the third quarter of 2023. </w:t>
      </w:r>
      <w:r>
        <w:rPr>
          <w:rFonts w:ascii="Arial" w:cs="Arial" w:eastAsia="Arial" w:hAnsi="Arial"/>
          <w:sz w:val="13"/>
          <w:szCs w:val="13"/>
          <w:color w:val="auto"/>
        </w:rPr>
        <w:t>This 12-week randomized, dose-ranging, double-blind, placebo-controlled trial is</w:t>
      </w:r>
      <w:r>
        <w:rPr>
          <w:rFonts w:ascii="Arial" w:cs="Arial" w:eastAsia="Arial" w:hAnsi="Arial"/>
          <w:sz w:val="13"/>
          <w:szCs w:val="13"/>
          <w:b w:val="1"/>
          <w:bCs w:val="1"/>
          <w:color w:val="auto"/>
        </w:rPr>
        <w:t xml:space="preserve"> </w:t>
      </w:r>
      <w:r>
        <w:rPr>
          <w:rFonts w:ascii="Arial" w:cs="Arial" w:eastAsia="Arial" w:hAnsi="Arial"/>
          <w:sz w:val="13"/>
          <w:szCs w:val="13"/>
          <w:color w:val="auto"/>
        </w:rPr>
        <w:t>evaluating the safety, tolerability, and pharmacokinetics of bexotegrast in primary sclerosing cholangitis (PSC) patients. The trial is also evaluating exploratory efficacy endpoints including fibrosis biomarkers such as PRO-C3 and enhanced liver fibrosis (ELF), changes in alkaline phosphatase (ALP), and liver imaging.</w:t>
      </w:r>
    </w:p>
    <w:p>
      <w:pPr>
        <w:spacing w:after="0" w:line="33" w:lineRule="exact"/>
        <w:rPr>
          <w:rFonts w:ascii="Arial" w:cs="Arial" w:eastAsia="Arial" w:hAnsi="Arial"/>
          <w:sz w:val="13"/>
          <w:szCs w:val="13"/>
          <w:color w:val="auto"/>
        </w:rPr>
      </w:pPr>
    </w:p>
    <w:p>
      <w:pPr>
        <w:ind w:left="1780" w:hanging="884"/>
        <w:spacing w:after="0" w:line="287" w:lineRule="auto"/>
        <w:tabs>
          <w:tab w:leader="none" w:pos="1776" w:val="left"/>
        </w:tabs>
        <w:numPr>
          <w:ilvl w:val="0"/>
          <w:numId w:val="45"/>
        </w:numPr>
        <w:rPr>
          <w:rFonts w:ascii="Arial" w:cs="Arial" w:eastAsia="Arial" w:hAnsi="Arial"/>
          <w:sz w:val="14"/>
          <w:szCs w:val="14"/>
          <w:color w:val="auto"/>
        </w:rPr>
      </w:pPr>
      <w:r>
        <w:rPr>
          <w:rFonts w:ascii="Arial" w:cs="Arial" w:eastAsia="Arial" w:hAnsi="Arial"/>
          <w:sz w:val="14"/>
          <w:szCs w:val="14"/>
          <w:b w:val="1"/>
          <w:bCs w:val="1"/>
          <w:color w:val="auto"/>
        </w:rPr>
        <w:t xml:space="preserve">EMA Orphan Drug designation received for bexotegrast for the treatment of IPF. </w:t>
      </w:r>
      <w:r>
        <w:rPr>
          <w:rFonts w:ascii="Arial" w:cs="Arial" w:eastAsia="Arial" w:hAnsi="Arial"/>
          <w:sz w:val="14"/>
          <w:szCs w:val="14"/>
          <w:color w:val="auto"/>
        </w:rPr>
        <w:t>European Medicines Agency’s (EMA’s) Orphan Drug designation is designed to</w:t>
      </w:r>
      <w:r>
        <w:rPr>
          <w:rFonts w:ascii="Arial" w:cs="Arial" w:eastAsia="Arial" w:hAnsi="Arial"/>
          <w:sz w:val="14"/>
          <w:szCs w:val="14"/>
          <w:b w:val="1"/>
          <w:bCs w:val="1"/>
          <w:color w:val="auto"/>
        </w:rPr>
        <w:t xml:space="preserve"> </w:t>
      </w:r>
      <w:r>
        <w:rPr>
          <w:rFonts w:ascii="Arial" w:cs="Arial" w:eastAsia="Arial" w:hAnsi="Arial"/>
          <w:sz w:val="14"/>
          <w:szCs w:val="14"/>
          <w:color w:val="auto"/>
        </w:rPr>
        <w:t>encourage the development of new treatments for rare conditions. The benefits of Orphan Drug</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1780" w:right="20"/>
        <w:spacing w:after="0" w:line="281" w:lineRule="auto"/>
        <w:rPr>
          <w:sz w:val="20"/>
          <w:szCs w:val="20"/>
          <w:color w:val="auto"/>
        </w:rPr>
      </w:pPr>
      <w:r>
        <w:rPr>
          <w:rFonts w:ascii="Arial" w:cs="Arial" w:eastAsia="Arial" w:hAnsi="Arial"/>
          <w:sz w:val="14"/>
          <w:szCs w:val="14"/>
          <w:color w:val="auto"/>
        </w:rPr>
        <w:t>designation include trial design assistance, a centralized EU approval process, and 10 years of market exclusivity. Bexotegrast received Orphan Drug designation from the United States Food and Drug Administration (FDA) in 2018.</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Early-Stage Development Programs</w:t>
      </w:r>
    </w:p>
    <w:p>
      <w:pPr>
        <w:spacing w:after="0" w:line="90" w:lineRule="exact"/>
        <w:rPr>
          <w:sz w:val="20"/>
          <w:szCs w:val="20"/>
          <w:color w:val="auto"/>
        </w:rPr>
      </w:pPr>
    </w:p>
    <w:p>
      <w:pPr>
        <w:ind w:left="1780" w:hanging="884"/>
        <w:spacing w:after="0" w:line="264" w:lineRule="auto"/>
        <w:tabs>
          <w:tab w:leader="none" w:pos="1776" w:val="left"/>
        </w:tabs>
        <w:numPr>
          <w:ilvl w:val="0"/>
          <w:numId w:val="46"/>
        </w:numPr>
        <w:rPr>
          <w:rFonts w:ascii="Arial" w:cs="Arial" w:eastAsia="Arial" w:hAnsi="Arial"/>
          <w:sz w:val="14"/>
          <w:szCs w:val="14"/>
          <w:color w:val="auto"/>
        </w:rPr>
      </w:pPr>
      <w:r>
        <w:rPr>
          <w:rFonts w:ascii="Arial" w:cs="Arial" w:eastAsia="Arial" w:hAnsi="Arial"/>
          <w:sz w:val="14"/>
          <w:szCs w:val="14"/>
          <w:b w:val="1"/>
          <w:bCs w:val="1"/>
          <w:color w:val="auto"/>
        </w:rPr>
        <w:t xml:space="preserve">IND open for PLN-101095 for the treatment of solid tumors resistant to immune checkpoint inhibitors. </w:t>
      </w:r>
      <w:r>
        <w:rPr>
          <w:rFonts w:ascii="Arial" w:cs="Arial" w:eastAsia="Arial" w:hAnsi="Arial"/>
          <w:sz w:val="14"/>
          <w:szCs w:val="14"/>
          <w:color w:val="auto"/>
        </w:rPr>
        <w:t>In January 2023, the U.S. Food and Drug Administration</w:t>
      </w:r>
      <w:r>
        <w:rPr>
          <w:rFonts w:ascii="Arial" w:cs="Arial" w:eastAsia="Arial" w:hAnsi="Arial"/>
          <w:sz w:val="14"/>
          <w:szCs w:val="14"/>
          <w:b w:val="1"/>
          <w:bCs w:val="1"/>
          <w:color w:val="auto"/>
        </w:rPr>
        <w:t xml:space="preserve"> </w:t>
      </w:r>
      <w:r>
        <w:rPr>
          <w:rFonts w:ascii="Arial" w:cs="Arial" w:eastAsia="Arial" w:hAnsi="Arial"/>
          <w:sz w:val="14"/>
          <w:szCs w:val="14"/>
          <w:color w:val="auto"/>
        </w:rPr>
        <w:t>(FDA) cleared the company’s Investigational New Drug (IND) application for PLN-101095, an oral, small molecule, dual selective inhibitor of αvβ8 and αvβ1 integrins. Initiation of a Phase 1 trial of PLN-101095 in patients with solid tumors that are resistant to immune checkpoint inhibitors is expected in the second quarter of 2023.</w:t>
      </w:r>
    </w:p>
    <w:p>
      <w:pPr>
        <w:spacing w:after="0" w:line="55" w:lineRule="exact"/>
        <w:rPr>
          <w:rFonts w:ascii="Arial" w:cs="Arial" w:eastAsia="Arial" w:hAnsi="Arial"/>
          <w:sz w:val="14"/>
          <w:szCs w:val="14"/>
          <w:color w:val="auto"/>
        </w:rPr>
      </w:pPr>
    </w:p>
    <w:p>
      <w:pPr>
        <w:ind w:left="1780" w:hanging="884"/>
        <w:spacing w:after="0"/>
        <w:tabs>
          <w:tab w:leader="none" w:pos="1780" w:val="left"/>
        </w:tabs>
        <w:numPr>
          <w:ilvl w:val="0"/>
          <w:numId w:val="46"/>
        </w:numPr>
        <w:rPr>
          <w:rFonts w:ascii="Arial" w:cs="Arial" w:eastAsia="Arial" w:hAnsi="Arial"/>
          <w:sz w:val="14"/>
          <w:szCs w:val="14"/>
          <w:color w:val="auto"/>
        </w:rPr>
      </w:pPr>
      <w:r>
        <w:rPr>
          <w:rFonts w:ascii="Arial" w:cs="Arial" w:eastAsia="Arial" w:hAnsi="Arial"/>
          <w:sz w:val="14"/>
          <w:szCs w:val="14"/>
          <w:b w:val="1"/>
          <w:bCs w:val="1"/>
          <w:color w:val="auto"/>
        </w:rPr>
        <w:t xml:space="preserve">Muscular dystrophy program progressing through IND enabling activities. </w:t>
      </w:r>
      <w:r>
        <w:rPr>
          <w:rFonts w:ascii="Arial" w:cs="Arial" w:eastAsia="Arial" w:hAnsi="Arial"/>
          <w:sz w:val="14"/>
          <w:szCs w:val="14"/>
          <w:color w:val="auto"/>
        </w:rPr>
        <w:t>IND submission for this program is expected in 2023.</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Corporate Highlights</w:t>
      </w:r>
    </w:p>
    <w:p>
      <w:pPr>
        <w:spacing w:after="0" w:line="90" w:lineRule="exact"/>
        <w:rPr>
          <w:sz w:val="20"/>
          <w:szCs w:val="20"/>
          <w:color w:val="auto"/>
        </w:rPr>
      </w:pPr>
    </w:p>
    <w:p>
      <w:pPr>
        <w:ind w:left="1780" w:hanging="884"/>
        <w:spacing w:after="0" w:line="261" w:lineRule="auto"/>
        <w:tabs>
          <w:tab w:leader="none" w:pos="1776" w:val="left"/>
        </w:tabs>
        <w:numPr>
          <w:ilvl w:val="0"/>
          <w:numId w:val="47"/>
        </w:numPr>
        <w:rPr>
          <w:rFonts w:ascii="Arial" w:cs="Arial" w:eastAsia="Arial" w:hAnsi="Arial"/>
          <w:sz w:val="14"/>
          <w:szCs w:val="14"/>
          <w:color w:val="auto"/>
        </w:rPr>
      </w:pPr>
      <w:r>
        <w:rPr>
          <w:rFonts w:ascii="Arial" w:cs="Arial" w:eastAsia="Arial" w:hAnsi="Arial"/>
          <w:sz w:val="14"/>
          <w:szCs w:val="14"/>
          <w:b w:val="1"/>
          <w:bCs w:val="1"/>
          <w:color w:val="auto"/>
        </w:rPr>
        <w:t xml:space="preserve">Closing of underwritten public offering of $287.5 million in common stock. </w:t>
      </w:r>
      <w:r>
        <w:rPr>
          <w:rFonts w:ascii="Arial" w:cs="Arial" w:eastAsia="Arial" w:hAnsi="Arial"/>
          <w:sz w:val="14"/>
          <w:szCs w:val="14"/>
          <w:color w:val="auto"/>
        </w:rPr>
        <w:t>The Company closed a public offering in January 2023, yielding $269.9 million in net</w:t>
      </w:r>
      <w:r>
        <w:rPr>
          <w:rFonts w:ascii="Arial" w:cs="Arial" w:eastAsia="Arial" w:hAnsi="Arial"/>
          <w:sz w:val="14"/>
          <w:szCs w:val="14"/>
          <w:b w:val="1"/>
          <w:bCs w:val="1"/>
          <w:color w:val="auto"/>
        </w:rPr>
        <w:t xml:space="preserve"> </w:t>
      </w:r>
      <w:r>
        <w:rPr>
          <w:rFonts w:ascii="Arial" w:cs="Arial" w:eastAsia="Arial" w:hAnsi="Arial"/>
          <w:sz w:val="14"/>
          <w:szCs w:val="14"/>
          <w:color w:val="auto"/>
        </w:rPr>
        <w:t>proceeds to the Company, which included the underwriter’s exercise in full of their option to purchase additional shares. Pliant intends to use the net proceeds from the offering, together with its existing cash, cash equivalents and investments, to develop its ongoing and future preclinical and clinical programs including bexotegrast and PLN-101095, further develop its integrin targeting platform, to fund working capital, operating expenses and capital expenditures, and for other general corporate purposes.</w:t>
      </w:r>
    </w:p>
    <w:p>
      <w:pPr>
        <w:spacing w:after="0" w:line="58" w:lineRule="exact"/>
        <w:rPr>
          <w:rFonts w:ascii="Arial" w:cs="Arial" w:eastAsia="Arial" w:hAnsi="Arial"/>
          <w:sz w:val="14"/>
          <w:szCs w:val="14"/>
          <w:color w:val="auto"/>
        </w:rPr>
      </w:pPr>
    </w:p>
    <w:p>
      <w:pPr>
        <w:ind w:left="1780" w:right="280" w:hanging="884"/>
        <w:spacing w:after="0" w:line="287" w:lineRule="auto"/>
        <w:tabs>
          <w:tab w:leader="none" w:pos="1776" w:val="left"/>
        </w:tabs>
        <w:numPr>
          <w:ilvl w:val="0"/>
          <w:numId w:val="47"/>
        </w:numPr>
        <w:rPr>
          <w:rFonts w:ascii="Arial" w:cs="Arial" w:eastAsia="Arial" w:hAnsi="Arial"/>
          <w:sz w:val="14"/>
          <w:szCs w:val="14"/>
          <w:color w:val="auto"/>
        </w:rPr>
      </w:pPr>
      <w:r>
        <w:rPr>
          <w:rFonts w:ascii="Arial" w:cs="Arial" w:eastAsia="Arial" w:hAnsi="Arial"/>
          <w:sz w:val="14"/>
          <w:szCs w:val="14"/>
          <w:b w:val="1"/>
          <w:bCs w:val="1"/>
          <w:color w:val="auto"/>
        </w:rPr>
        <w:t xml:space="preserve">Appointment of Lily Cheung as Chief Human Resources Officer. </w:t>
      </w:r>
      <w:r>
        <w:rPr>
          <w:rFonts w:ascii="Arial" w:cs="Arial" w:eastAsia="Arial" w:hAnsi="Arial"/>
          <w:sz w:val="14"/>
          <w:szCs w:val="14"/>
          <w:color w:val="auto"/>
        </w:rPr>
        <w:t>Ms. Cheung brings over 25 years of Human Resources experience across the technology and</w:t>
      </w:r>
      <w:r>
        <w:rPr>
          <w:rFonts w:ascii="Arial" w:cs="Arial" w:eastAsia="Arial" w:hAnsi="Arial"/>
          <w:sz w:val="14"/>
          <w:szCs w:val="14"/>
          <w:b w:val="1"/>
          <w:bCs w:val="1"/>
          <w:color w:val="auto"/>
        </w:rPr>
        <w:t xml:space="preserve"> </w:t>
      </w:r>
      <w:r>
        <w:rPr>
          <w:rFonts w:ascii="Arial" w:cs="Arial" w:eastAsia="Arial" w:hAnsi="Arial"/>
          <w:sz w:val="14"/>
          <w:szCs w:val="14"/>
          <w:color w:val="auto"/>
        </w:rPr>
        <w:t>biopharmaceutical industries, including more than 15 years of commercial-stage experience.</w:t>
      </w:r>
    </w:p>
    <w:p>
      <w:pPr>
        <w:spacing w:after="0" w:line="39" w:lineRule="exact"/>
        <w:rPr>
          <w:rFonts w:ascii="Arial" w:cs="Arial" w:eastAsia="Arial" w:hAnsi="Arial"/>
          <w:sz w:val="14"/>
          <w:szCs w:val="14"/>
          <w:color w:val="auto"/>
        </w:rPr>
      </w:pPr>
    </w:p>
    <w:p>
      <w:pPr>
        <w:ind w:left="1780" w:hanging="884"/>
        <w:spacing w:after="0" w:line="270" w:lineRule="auto"/>
        <w:tabs>
          <w:tab w:leader="none" w:pos="1776" w:val="left"/>
        </w:tabs>
        <w:numPr>
          <w:ilvl w:val="0"/>
          <w:numId w:val="47"/>
        </w:numPr>
        <w:rPr>
          <w:rFonts w:ascii="Arial" w:cs="Arial" w:eastAsia="Arial" w:hAnsi="Arial"/>
          <w:sz w:val="14"/>
          <w:szCs w:val="14"/>
          <w:color w:val="auto"/>
        </w:rPr>
      </w:pPr>
      <w:r>
        <w:rPr>
          <w:rFonts w:ascii="Arial" w:cs="Arial" w:eastAsia="Arial" w:hAnsi="Arial"/>
          <w:sz w:val="14"/>
          <w:szCs w:val="14"/>
          <w:b w:val="1"/>
          <w:bCs w:val="1"/>
          <w:color w:val="auto"/>
        </w:rPr>
        <w:t xml:space="preserve">Appointments of Darren Cline and Thomas McCourt to the Company’s Board of Directors. </w:t>
      </w:r>
      <w:r>
        <w:rPr>
          <w:rFonts w:ascii="Arial" w:cs="Arial" w:eastAsia="Arial" w:hAnsi="Arial"/>
          <w:sz w:val="14"/>
          <w:szCs w:val="14"/>
          <w:color w:val="auto"/>
        </w:rPr>
        <w:t>Mr. Cline and Mr. McCourt each bring over 30 years of strategic and</w:t>
      </w:r>
      <w:r>
        <w:rPr>
          <w:rFonts w:ascii="Arial" w:cs="Arial" w:eastAsia="Arial" w:hAnsi="Arial"/>
          <w:sz w:val="14"/>
          <w:szCs w:val="14"/>
          <w:b w:val="1"/>
          <w:bCs w:val="1"/>
          <w:color w:val="auto"/>
        </w:rPr>
        <w:t xml:space="preserve"> </w:t>
      </w:r>
      <w:r>
        <w:rPr>
          <w:rFonts w:ascii="Arial" w:cs="Arial" w:eastAsia="Arial" w:hAnsi="Arial"/>
          <w:sz w:val="14"/>
          <w:szCs w:val="14"/>
          <w:color w:val="auto"/>
        </w:rPr>
        <w:t>operational experience in building commercial organizations to the Company. Mr. Cline currently serves as Chief Executive Officer and President of Epygenix Therapeutics. Mr. McCourt currently serves as Chief Executive Officer of Ironwood Pharmaceuticals.</w:t>
      </w:r>
    </w:p>
    <w:p>
      <w:pPr>
        <w:spacing w:after="0" w:line="50" w:lineRule="exact"/>
        <w:rPr>
          <w:rFonts w:ascii="Arial" w:cs="Arial" w:eastAsia="Arial" w:hAnsi="Arial"/>
          <w:sz w:val="14"/>
          <w:szCs w:val="14"/>
          <w:color w:val="auto"/>
        </w:rPr>
      </w:pPr>
    </w:p>
    <w:p>
      <w:pPr>
        <w:ind w:left="1780" w:right="40" w:hanging="884"/>
        <w:spacing w:after="0" w:line="261" w:lineRule="auto"/>
        <w:tabs>
          <w:tab w:leader="none" w:pos="1776" w:val="left"/>
        </w:tabs>
        <w:numPr>
          <w:ilvl w:val="0"/>
          <w:numId w:val="47"/>
        </w:numPr>
        <w:rPr>
          <w:rFonts w:ascii="Arial" w:cs="Arial" w:eastAsia="Arial" w:hAnsi="Arial"/>
          <w:sz w:val="14"/>
          <w:szCs w:val="14"/>
          <w:color w:val="auto"/>
        </w:rPr>
      </w:pPr>
      <w:r>
        <w:rPr>
          <w:rFonts w:ascii="Arial" w:cs="Arial" w:eastAsia="Arial" w:hAnsi="Arial"/>
          <w:sz w:val="14"/>
          <w:szCs w:val="14"/>
          <w:b w:val="1"/>
          <w:bCs w:val="1"/>
          <w:color w:val="auto"/>
        </w:rPr>
        <w:t xml:space="preserve">Work has completed under the Novartis collaboration. </w:t>
      </w:r>
      <w:r>
        <w:rPr>
          <w:rFonts w:ascii="Arial" w:cs="Arial" w:eastAsia="Arial" w:hAnsi="Arial"/>
          <w:sz w:val="14"/>
          <w:szCs w:val="14"/>
          <w:color w:val="auto"/>
        </w:rPr>
        <w:t>During the three-year term of the collaboration, Pliant achieved successful validation of a novel integrin</w:t>
      </w:r>
      <w:r>
        <w:rPr>
          <w:rFonts w:ascii="Arial" w:cs="Arial" w:eastAsia="Arial" w:hAnsi="Arial"/>
          <w:sz w:val="14"/>
          <w:szCs w:val="14"/>
          <w:b w:val="1"/>
          <w:bCs w:val="1"/>
          <w:color w:val="auto"/>
        </w:rPr>
        <w:t xml:space="preserve"> </w:t>
      </w:r>
      <w:r>
        <w:rPr>
          <w:rFonts w:ascii="Arial" w:cs="Arial" w:eastAsia="Arial" w:hAnsi="Arial"/>
          <w:sz w:val="14"/>
          <w:szCs w:val="14"/>
          <w:color w:val="auto"/>
        </w:rPr>
        <w:t>receptor as a potential next generation target for treatment of fibrotic diseases and is in the process of developing candidates against the target. As part of a broad strategic realignment, Novartis has discontinued clinical development in NASH. As a result, Novartis has terminated development of PLN-1474, an inhibitor of αvβ1 targeting NASH-associated advanced liver fibrosis, which they licensed in 2019 and returned global rights to Pliant. PLN-1474 is a phase 2-ready asset, having shown a favorable safety and pharmacokinetic profile in Phase 1 trials.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Anticipated Milestones</w:t>
      </w:r>
    </w:p>
    <w:p>
      <w:pPr>
        <w:spacing w:after="0" w:line="94" w:lineRule="exact"/>
        <w:rPr>
          <w:sz w:val="20"/>
          <w:szCs w:val="20"/>
          <w:color w:val="auto"/>
        </w:rPr>
      </w:pPr>
    </w:p>
    <w:p>
      <w:pPr>
        <w:ind w:left="1780" w:hanging="884"/>
        <w:spacing w:after="0"/>
        <w:tabs>
          <w:tab w:leader="none" w:pos="1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24-week data from the 320 mg dose group of the INTEGRIS-IPF Phase 2a trial in patients with IPF is expected in the second quarter of 2023.</w:t>
      </w:r>
    </w:p>
    <w:p>
      <w:pPr>
        <w:spacing w:after="0" w:line="93" w:lineRule="exact"/>
        <w:rPr>
          <w:rFonts w:ascii="Arial" w:cs="Arial" w:eastAsia="Arial" w:hAnsi="Arial"/>
          <w:sz w:val="14"/>
          <w:szCs w:val="14"/>
          <w:color w:val="auto"/>
        </w:rPr>
      </w:pPr>
    </w:p>
    <w:p>
      <w:pPr>
        <w:ind w:left="1780" w:hanging="884"/>
        <w:spacing w:after="0"/>
        <w:tabs>
          <w:tab w:leader="none" w:pos="1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Initiation of a Phase 2b trial of bexotegrast in patients with IPF is expected in mid-2023.</w:t>
      </w:r>
    </w:p>
    <w:p>
      <w:pPr>
        <w:spacing w:after="0" w:line="93" w:lineRule="exact"/>
        <w:rPr>
          <w:rFonts w:ascii="Arial" w:cs="Arial" w:eastAsia="Arial" w:hAnsi="Arial"/>
          <w:sz w:val="14"/>
          <w:szCs w:val="14"/>
          <w:color w:val="auto"/>
        </w:rPr>
      </w:pPr>
    </w:p>
    <w:p>
      <w:pPr>
        <w:ind w:left="1780" w:hanging="884"/>
        <w:spacing w:after="0"/>
        <w:tabs>
          <w:tab w:leader="none" w:pos="17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Initiation of a Phase 1 trial of PLN-101095 in patients with solid tumors resistant to immune checkpoint inhibitors is expected in the second quarter of 2023.</w:t>
      </w:r>
    </w:p>
    <w:p>
      <w:pPr>
        <w:spacing w:after="0" w:line="105" w:lineRule="exact"/>
        <w:rPr>
          <w:rFonts w:ascii="Arial" w:cs="Arial" w:eastAsia="Arial" w:hAnsi="Arial"/>
          <w:sz w:val="13"/>
          <w:szCs w:val="13"/>
          <w:color w:val="auto"/>
        </w:rPr>
      </w:pPr>
    </w:p>
    <w:p>
      <w:pPr>
        <w:ind w:left="1780" w:hanging="884"/>
        <w:spacing w:after="0"/>
        <w:tabs>
          <w:tab w:leader="none" w:pos="17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Topline data from the 40, 80 and 160 mg dose groups of the INTEGRIS-PSC Phase 2a trial in patients with PSC is expected in the third quarter of 2023.</w:t>
      </w:r>
    </w:p>
    <w:p>
      <w:pPr>
        <w:spacing w:after="0" w:line="179" w:lineRule="exact"/>
        <w:rPr>
          <w:sz w:val="20"/>
          <w:szCs w:val="20"/>
          <w:color w:val="auto"/>
        </w:rPr>
      </w:pPr>
    </w:p>
    <w:p>
      <w:pPr>
        <w:jc w:val="both"/>
        <w:ind w:right="100" w:firstLine="891"/>
        <w:spacing w:after="0" w:line="267" w:lineRule="auto"/>
        <w:rPr>
          <w:sz w:val="20"/>
          <w:szCs w:val="20"/>
          <w:color w:val="auto"/>
        </w:rPr>
      </w:pPr>
      <w:r>
        <w:rPr>
          <w:rFonts w:ascii="Arial" w:cs="Arial" w:eastAsia="Arial" w:hAnsi="Arial"/>
          <w:sz w:val="14"/>
          <w:szCs w:val="14"/>
          <w:color w:val="auto"/>
        </w:rPr>
        <w:t>Since inception, we have had significant operating losses. Our net loss was $123.3 million, $97.3 million and $41.5 million for the years ended December 31, 2022, 2021 and 2020, respectively. As of December 31, 2022, we had an accumulated deficit of $338.4 million and cash, cash equivalents and short-term investments of $331.2 million. We expect to continue to incur net losses for the foreseeable future, and we expect our research and development expenses,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general and administrative expenses, and capital expenditures will increase in connection with our ongoing activities, as we:</w:t>
      </w:r>
    </w:p>
    <w:p>
      <w:pPr>
        <w:spacing w:after="0" w:line="94" w:lineRule="exact"/>
        <w:rPr>
          <w:sz w:val="20"/>
          <w:szCs w:val="20"/>
          <w:color w:val="auto"/>
        </w:rPr>
      </w:pPr>
    </w:p>
    <w:p>
      <w:pPr>
        <w:ind w:left="1780" w:hanging="884"/>
        <w:spacing w:after="0"/>
        <w:tabs>
          <w:tab w:leader="none" w:pos="1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perform research and development activities to identify and develop product candidates;</w:t>
      </w:r>
    </w:p>
    <w:p>
      <w:pPr>
        <w:spacing w:after="0" w:line="93" w:lineRule="exact"/>
        <w:rPr>
          <w:rFonts w:ascii="Arial" w:cs="Arial" w:eastAsia="Arial" w:hAnsi="Arial"/>
          <w:sz w:val="14"/>
          <w:szCs w:val="14"/>
          <w:color w:val="auto"/>
        </w:rPr>
      </w:pPr>
    </w:p>
    <w:p>
      <w:pPr>
        <w:ind w:left="1780" w:hanging="884"/>
        <w:spacing w:after="0"/>
        <w:tabs>
          <w:tab w:leader="none" w:pos="1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advance product candidates into and through clinical development;</w:t>
      </w:r>
    </w:p>
    <w:p>
      <w:pPr>
        <w:spacing w:after="0" w:line="93" w:lineRule="exact"/>
        <w:rPr>
          <w:rFonts w:ascii="Arial" w:cs="Arial" w:eastAsia="Arial" w:hAnsi="Arial"/>
          <w:sz w:val="14"/>
          <w:szCs w:val="14"/>
          <w:color w:val="auto"/>
        </w:rPr>
      </w:pPr>
    </w:p>
    <w:p>
      <w:pPr>
        <w:ind w:left="1780" w:hanging="884"/>
        <w:spacing w:after="0"/>
        <w:tabs>
          <w:tab w:leader="none" w:pos="1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require the manufacture of supplies to support research and development, preclinical studies and clinical trials;</w:t>
      </w:r>
    </w:p>
    <w:p>
      <w:pPr>
        <w:spacing w:after="0" w:line="93" w:lineRule="exact"/>
        <w:rPr>
          <w:rFonts w:ascii="Arial" w:cs="Arial" w:eastAsia="Arial" w:hAnsi="Arial"/>
          <w:sz w:val="14"/>
          <w:szCs w:val="14"/>
          <w:color w:val="auto"/>
        </w:rPr>
      </w:pPr>
    </w:p>
    <w:p>
      <w:pPr>
        <w:ind w:left="1780" w:hanging="884"/>
        <w:spacing w:after="0"/>
        <w:tabs>
          <w:tab w:leader="none" w:pos="1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seek regulatory approvals for any product candidates that successfully complete clinical trials;</w:t>
      </w:r>
    </w:p>
    <w:p>
      <w:pPr>
        <w:spacing w:after="0" w:line="93" w:lineRule="exact"/>
        <w:rPr>
          <w:rFonts w:ascii="Arial" w:cs="Arial" w:eastAsia="Arial" w:hAnsi="Arial"/>
          <w:sz w:val="14"/>
          <w:szCs w:val="14"/>
          <w:color w:val="auto"/>
        </w:rPr>
      </w:pPr>
    </w:p>
    <w:p>
      <w:pPr>
        <w:ind w:left="1780" w:right="160" w:hanging="884"/>
        <w:spacing w:after="0" w:line="281" w:lineRule="auto"/>
        <w:tabs>
          <w:tab w:leader="none" w:pos="1776"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expand our operational, financial and management systems and increase personnel to support our clinical development, manufacturing and commercialization efforts and our operations as a public company;</w:t>
      </w:r>
    </w:p>
    <w:p>
      <w:pPr>
        <w:spacing w:after="0" w:line="47" w:lineRule="exact"/>
        <w:rPr>
          <w:rFonts w:ascii="Arial" w:cs="Arial" w:eastAsia="Arial" w:hAnsi="Arial"/>
          <w:sz w:val="14"/>
          <w:szCs w:val="14"/>
          <w:color w:val="auto"/>
        </w:rPr>
      </w:pPr>
    </w:p>
    <w:p>
      <w:pPr>
        <w:ind w:left="1780" w:hanging="884"/>
        <w:spacing w:after="0"/>
        <w:tabs>
          <w:tab w:leader="none" w:pos="1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 and</w:t>
      </w:r>
    </w:p>
    <w:p>
      <w:pPr>
        <w:spacing w:after="0" w:line="93" w:lineRule="exact"/>
        <w:rPr>
          <w:rFonts w:ascii="Arial" w:cs="Arial" w:eastAsia="Arial" w:hAnsi="Arial"/>
          <w:sz w:val="14"/>
          <w:szCs w:val="14"/>
          <w:color w:val="auto"/>
        </w:rPr>
      </w:pPr>
    </w:p>
    <w:p>
      <w:pPr>
        <w:ind w:left="1780" w:hanging="884"/>
        <w:spacing w:after="0"/>
        <w:tabs>
          <w:tab w:leader="none" w:pos="17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invest in or in-license other technologies or product candidates.</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COVID-19 Pandemic</w:t>
      </w:r>
    </w:p>
    <w:p>
      <w:pPr>
        <w:spacing w:after="0" w:line="98" w:lineRule="exact"/>
        <w:rPr>
          <w:sz w:val="20"/>
          <w:szCs w:val="20"/>
          <w:color w:val="auto"/>
        </w:rPr>
      </w:pPr>
    </w:p>
    <w:p>
      <w:pPr>
        <w:ind w:firstLine="891"/>
        <w:spacing w:after="0" w:line="256" w:lineRule="auto"/>
        <w:rPr>
          <w:sz w:val="20"/>
          <w:szCs w:val="20"/>
          <w:color w:val="auto"/>
        </w:rPr>
      </w:pPr>
      <w:r>
        <w:rPr>
          <w:rFonts w:ascii="Arial" w:cs="Arial" w:eastAsia="Arial" w:hAnsi="Arial"/>
          <w:sz w:val="14"/>
          <w:szCs w:val="14"/>
          <w:color w:val="auto"/>
        </w:rPr>
        <w:t>The novel coronavirus, or COVID-19, continues to spread throughout the United States and worldwide. We have been, and in the future could be, materially and adversely affected by the risks, or the public perception of the risks, related to an epidemic, pandemic, outbreak, or other public health crisis, such as the outbreak of COVID-19. While difficult to predict or quantify the overall impact of the pandemic to our operations, among other things, our clinical trials have experienced delays, and may experience additional delays in the future, extending the timelines and increasing the overall costs to finish the clinical trials, as our fixed costs are not substantially reduced while the clinical trials are delayed. The ultimate extent of the impact of any epidemic, pandemic, outbreak, or other public health crisis on our business, financial condition and results of operations will depend on future developments, which are highly uncertain and cannot be predicted, including new information that may emerge concerning the severity of such epidemic, pandemic, outbreak, or other public health crisis and actions taken to contain or prevent the further spread, among others. Accordingly, we cannot predict the extent to which our business, financial condition and results of operations have been and will be affected. We remain focused on maintaining a strong balance sheet, liquidity and financial flexibility and continue to monitor developments as we deal with the continued disruptions and uncertainties from a business and financial perspective relating to COVID-19.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Operations Overview</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94" w:lineRule="exact"/>
        <w:rPr>
          <w:sz w:val="20"/>
          <w:szCs w:val="20"/>
          <w:color w:val="auto"/>
        </w:rPr>
      </w:pPr>
    </w:p>
    <w:p>
      <w:pPr>
        <w:ind w:right="480" w:firstLine="509"/>
        <w:spacing w:after="0" w:line="254" w:lineRule="auto"/>
        <w:rPr>
          <w:sz w:val="20"/>
          <w:szCs w:val="20"/>
          <w:color w:val="auto"/>
        </w:rPr>
      </w:pPr>
      <w:r>
        <w:rPr>
          <w:rFonts w:ascii="Arial" w:cs="Arial" w:eastAsia="Arial" w:hAnsi="Arial"/>
          <w:sz w:val="14"/>
          <w:szCs w:val="14"/>
          <w:color w:val="auto"/>
        </w:rPr>
        <w:t>We have not generated any revenue from product sales and do not expect to do so in the near future. Our revenue to date is derived from a Collaboration and License Agreement with Novartis, or the "Novartis Agreement," that was executed in 2019.</w:t>
      </w:r>
    </w:p>
    <w:p>
      <w:pPr>
        <w:ind w:right="300" w:firstLine="509"/>
        <w:spacing w:after="0" w:line="255" w:lineRule="auto"/>
        <w:rPr>
          <w:sz w:val="20"/>
          <w:szCs w:val="20"/>
          <w:color w:val="auto"/>
        </w:rPr>
      </w:pPr>
      <w:r>
        <w:rPr>
          <w:rFonts w:ascii="Arial" w:cs="Arial" w:eastAsia="Arial" w:hAnsi="Arial"/>
          <w:sz w:val="13"/>
          <w:szCs w:val="13"/>
          <w:color w:val="auto"/>
        </w:rPr>
        <w:t>The Novartis Agreement is for the development and commercialization of PLN-1474 and up to three additional integrin research targets. Under the terms of the Novartis Agreement, we received an upfront license fee payment of $50.0 million for the worldwide, exclusive license to PLN-1474 and an additional $29.0 million upon the achievement of specified research and development milestones. As part of a broad strategic realignment, Novartis has discontinued clinical development in NASH and, as a result, discontinued development of PLN-1474. In February 2023, Novartis issued a termination notice for the collaboration and license agreement, and returned global rights to Pliant for PLN-1474.</w:t>
      </w:r>
    </w:p>
    <w:p>
      <w:pPr>
        <w:spacing w:after="0" w:line="1" w:lineRule="exact"/>
        <w:rPr>
          <w:sz w:val="20"/>
          <w:szCs w:val="20"/>
          <w:color w:val="auto"/>
        </w:rPr>
      </w:pPr>
    </w:p>
    <w:p>
      <w:pPr>
        <w:jc w:val="both"/>
        <w:ind w:right="40" w:firstLine="509"/>
        <w:spacing w:after="0" w:line="242" w:lineRule="auto"/>
        <w:rPr>
          <w:sz w:val="20"/>
          <w:szCs w:val="20"/>
          <w:color w:val="auto"/>
        </w:rPr>
      </w:pPr>
      <w:r>
        <w:rPr>
          <w:rFonts w:ascii="Arial" w:cs="Arial" w:eastAsia="Arial" w:hAnsi="Arial"/>
          <w:sz w:val="14"/>
          <w:szCs w:val="14"/>
          <w:color w:val="auto"/>
        </w:rPr>
        <w:t>Upon termination, we are no longer eligible to receive additional milestone or royalty payments under the arrangement, however, we will continue to earn research and development services revenues, up to $20.0 million and up to $18.4 million for the research and development activities associated with PLN-1474 and integrin research targets, respectively. As of December 31, 2022, we estimate an additional $1.4 million of aggregate research and development funding remains available for use under the arrangement.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Revenues for the years ended December 31, 2022 and 2021 were $9.7 million and $7.6 million, respectively.</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Research and Development</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research and development expenses consist of expenses incurred in connection with the development of our product candidates. Research and development expenses include:</w:t>
      </w:r>
    </w:p>
    <w:p>
      <w:pPr>
        <w:spacing w:after="0" w:line="122" w:lineRule="exact"/>
        <w:rPr>
          <w:sz w:val="20"/>
          <w:szCs w:val="20"/>
          <w:color w:val="auto"/>
        </w:rPr>
      </w:pPr>
    </w:p>
    <w:p>
      <w:pPr>
        <w:ind w:left="1020" w:hanging="506"/>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4"/>
          <w:szCs w:val="14"/>
          <w:color w:val="auto"/>
        </w:rPr>
        <w:t>employee-related expenses, which include salaries, benefits and stock-based compensation for our research and development personnel;</w:t>
      </w:r>
    </w:p>
    <w:p>
      <w:pPr>
        <w:spacing w:after="0" w:line="106" w:lineRule="exact"/>
        <w:rPr>
          <w:rFonts w:ascii="Arial" w:cs="Arial" w:eastAsia="Arial" w:hAnsi="Arial"/>
          <w:sz w:val="17"/>
          <w:szCs w:val="17"/>
          <w:color w:val="auto"/>
        </w:rPr>
      </w:pPr>
    </w:p>
    <w:p>
      <w:pPr>
        <w:ind w:left="1020" w:hanging="506"/>
        <w:spacing w:after="0" w:line="235" w:lineRule="auto"/>
        <w:tabs>
          <w:tab w:leader="none" w:pos="1016" w:val="left"/>
        </w:tabs>
        <w:numPr>
          <w:ilvl w:val="0"/>
          <w:numId w:val="50"/>
        </w:numPr>
        <w:rPr>
          <w:rFonts w:ascii="Arial" w:cs="Arial" w:eastAsia="Arial" w:hAnsi="Arial"/>
          <w:sz w:val="17"/>
          <w:szCs w:val="17"/>
          <w:color w:val="auto"/>
        </w:rPr>
      </w:pPr>
      <w:r>
        <w:rPr>
          <w:rFonts w:ascii="Arial" w:cs="Arial" w:eastAsia="Arial" w:hAnsi="Arial"/>
          <w:sz w:val="14"/>
          <w:szCs w:val="14"/>
          <w:color w:val="auto"/>
        </w:rPr>
        <w:t>expenses incurred under agreements with third-party contract organizations for pre-clinical studies, clinical trials and consultants that conduct research and development activities on our behalf;</w:t>
      </w:r>
    </w:p>
    <w:p>
      <w:pPr>
        <w:spacing w:after="0" w:line="91" w:lineRule="exact"/>
        <w:rPr>
          <w:rFonts w:ascii="Arial" w:cs="Arial" w:eastAsia="Arial" w:hAnsi="Arial"/>
          <w:sz w:val="17"/>
          <w:szCs w:val="17"/>
          <w:color w:val="auto"/>
        </w:rPr>
      </w:pPr>
    </w:p>
    <w:p>
      <w:pPr>
        <w:ind w:left="1020" w:hanging="506"/>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4"/>
          <w:szCs w:val="14"/>
          <w:color w:val="auto"/>
        </w:rPr>
        <w:t>costs associated with the manufacture of supplies to support research and development, preclinical studies and clinical trials;</w:t>
      </w:r>
    </w:p>
    <w:p>
      <w:pPr>
        <w:spacing w:after="0" w:line="101" w:lineRule="exact"/>
        <w:rPr>
          <w:rFonts w:ascii="Arial" w:cs="Arial" w:eastAsia="Arial" w:hAnsi="Arial"/>
          <w:sz w:val="17"/>
          <w:szCs w:val="17"/>
          <w:color w:val="auto"/>
        </w:rPr>
      </w:pPr>
    </w:p>
    <w:p>
      <w:pPr>
        <w:ind w:left="1020" w:hanging="506"/>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4"/>
          <w:szCs w:val="14"/>
          <w:color w:val="auto"/>
        </w:rPr>
        <w:t>depreciation of laboratory equipment and costs of equipment and supplies;</w:t>
      </w:r>
    </w:p>
    <w:p>
      <w:pPr>
        <w:spacing w:after="0" w:line="90" w:lineRule="exact"/>
        <w:rPr>
          <w:rFonts w:ascii="Arial" w:cs="Arial" w:eastAsia="Arial" w:hAnsi="Arial"/>
          <w:sz w:val="17"/>
          <w:szCs w:val="17"/>
          <w:color w:val="auto"/>
        </w:rPr>
      </w:pPr>
    </w:p>
    <w:p>
      <w:pPr>
        <w:ind w:left="1020" w:hanging="506"/>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4"/>
          <w:szCs w:val="14"/>
          <w:color w:val="auto"/>
        </w:rPr>
        <w:t>costs associated with technology and intellectual property licenses; and</w:t>
      </w:r>
    </w:p>
    <w:p>
      <w:pPr>
        <w:spacing w:after="0" w:line="90" w:lineRule="exact"/>
        <w:rPr>
          <w:rFonts w:ascii="Arial" w:cs="Arial" w:eastAsia="Arial" w:hAnsi="Arial"/>
          <w:sz w:val="17"/>
          <w:szCs w:val="17"/>
          <w:color w:val="auto"/>
        </w:rPr>
      </w:pPr>
    </w:p>
    <w:p>
      <w:pPr>
        <w:ind w:left="1020" w:hanging="506"/>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4"/>
          <w:szCs w:val="14"/>
          <w:color w:val="auto"/>
        </w:rPr>
        <w:t>facilities and other allocated expenses, which include expenses for rent and other facility related costs and other supplies.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our research and development expenses for the years ended December 31, 2022 and 2021 (in thousands):</w:t>
      </w:r>
    </w:p>
    <w:p>
      <w:pPr>
        <w:spacing w:after="0" w:line="172" w:lineRule="exact"/>
        <w:rPr>
          <w:sz w:val="20"/>
          <w:szCs w:val="20"/>
          <w:color w:val="auto"/>
        </w:rPr>
      </w:pPr>
    </w:p>
    <w:tbl>
      <w:tblPr>
        <w:tblLayout w:type="fixed"/>
        <w:tblInd w:w="880" w:type="dxa"/>
        <w:tblCellMar>
          <w:top w:w="0" w:type="dxa"/>
          <w:left w:w="0" w:type="dxa"/>
          <w:bottom w:w="0" w:type="dxa"/>
          <w:right w:w="0" w:type="dxa"/>
        </w:tblCellMar>
      </w:tblPr>
      <w:tr>
        <w:trPr>
          <w:trHeight w:val="156"/>
        </w:trPr>
        <w:tc>
          <w:tcPr>
            <w:tcW w:w="66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153"/>
        </w:trPr>
        <w:tc>
          <w:tcPr>
            <w:tcW w:w="66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Borders>
              <w:bottom w:val="single" w:sz="8" w:color="CFF0FC"/>
            </w:tcBorders>
          </w:tcPr>
          <w:p>
            <w:pPr>
              <w:spacing w:after="0"/>
              <w:rPr>
                <w:sz w:val="13"/>
                <w:szCs w:val="13"/>
                <w:color w:val="auto"/>
              </w:rPr>
            </w:pPr>
          </w:p>
        </w:tc>
      </w:tr>
      <w:tr>
        <w:trPr>
          <w:trHeight w:val="177"/>
        </w:trPr>
        <w:tc>
          <w:tcPr>
            <w:tcW w:w="6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Employee-related expenses</w:t>
            </w:r>
          </w:p>
        </w:tc>
        <w:tc>
          <w:tcPr>
            <w:tcW w:w="880" w:type="dxa"/>
            <w:vAlign w:val="bottom"/>
            <w:shd w:val="clear" w:color="auto" w:fill="CFF0FC"/>
          </w:tcPr>
          <w:p>
            <w:pPr>
              <w:jc w:val="right"/>
              <w:ind w:right="734"/>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ind w:right="11"/>
              <w:spacing w:after="0"/>
              <w:rPr>
                <w:sz w:val="20"/>
                <w:szCs w:val="20"/>
                <w:color w:val="auto"/>
              </w:rPr>
            </w:pPr>
            <w:r>
              <w:rPr>
                <w:rFonts w:ascii="Arial" w:cs="Arial" w:eastAsia="Arial" w:hAnsi="Arial"/>
                <w:sz w:val="14"/>
                <w:szCs w:val="14"/>
                <w:color w:val="auto"/>
              </w:rPr>
              <w:t>30,316</w:t>
            </w: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20,730</w:t>
            </w:r>
          </w:p>
        </w:tc>
        <w:tc>
          <w:tcPr>
            <w:tcW w:w="100" w:type="dxa"/>
            <w:vAlign w:val="bottom"/>
            <w:shd w:val="clear" w:color="auto" w:fill="CFF0FC"/>
          </w:tcPr>
          <w:p>
            <w:pPr>
              <w:spacing w:after="0"/>
              <w:rPr>
                <w:sz w:val="15"/>
                <w:szCs w:val="15"/>
                <w:color w:val="auto"/>
              </w:rPr>
            </w:pPr>
          </w:p>
        </w:tc>
      </w:tr>
      <w:tr>
        <w:trPr>
          <w:trHeight w:val="148"/>
        </w:trPr>
        <w:tc>
          <w:tcPr>
            <w:tcW w:w="6620" w:type="dxa"/>
            <w:vAlign w:val="bottom"/>
          </w:tcPr>
          <w:p>
            <w:pPr>
              <w:ind w:left="20"/>
              <w:spacing w:after="0" w:line="149" w:lineRule="exact"/>
              <w:rPr>
                <w:sz w:val="20"/>
                <w:szCs w:val="20"/>
                <w:color w:val="auto"/>
              </w:rPr>
            </w:pPr>
            <w:r>
              <w:rPr>
                <w:rFonts w:ascii="Arial" w:cs="Arial" w:eastAsia="Arial" w:hAnsi="Arial"/>
                <w:sz w:val="14"/>
                <w:szCs w:val="14"/>
                <w:color w:val="auto"/>
                <w:w w:val="97"/>
              </w:rPr>
              <w:t>Outside and consulting services for preclinical studies and research and development activities by third party</w:t>
            </w: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0"/>
        </w:trPr>
        <w:tc>
          <w:tcPr>
            <w:tcW w:w="6620" w:type="dxa"/>
            <w:vAlign w:val="bottom"/>
          </w:tcPr>
          <w:p>
            <w:pPr>
              <w:ind w:left="140"/>
              <w:spacing w:after="0"/>
              <w:rPr>
                <w:sz w:val="20"/>
                <w:szCs w:val="20"/>
                <w:color w:val="auto"/>
              </w:rPr>
            </w:pPr>
            <w:r>
              <w:rPr>
                <w:rFonts w:ascii="Arial" w:cs="Arial" w:eastAsia="Arial" w:hAnsi="Arial"/>
                <w:sz w:val="14"/>
                <w:szCs w:val="14"/>
                <w:color w:val="auto"/>
              </w:rPr>
              <w:t>contract organizations</w:t>
            </w:r>
          </w:p>
        </w:tc>
        <w:tc>
          <w:tcPr>
            <w:tcW w:w="880" w:type="dxa"/>
            <w:vAlign w:val="bottom"/>
          </w:tcPr>
          <w:p>
            <w:pPr>
              <w:spacing w:after="0"/>
              <w:rPr>
                <w:sz w:val="15"/>
                <w:szCs w:val="15"/>
                <w:color w:val="auto"/>
              </w:rPr>
            </w:pPr>
          </w:p>
        </w:tc>
        <w:tc>
          <w:tcPr>
            <w:tcW w:w="620" w:type="dxa"/>
            <w:vAlign w:val="bottom"/>
          </w:tcPr>
          <w:p>
            <w:pPr>
              <w:jc w:val="right"/>
              <w:ind w:right="11"/>
              <w:spacing w:after="0"/>
              <w:rPr>
                <w:sz w:val="20"/>
                <w:szCs w:val="20"/>
                <w:color w:val="auto"/>
              </w:rPr>
            </w:pPr>
            <w:r>
              <w:rPr>
                <w:rFonts w:ascii="Arial" w:cs="Arial" w:eastAsia="Arial" w:hAnsi="Arial"/>
                <w:sz w:val="14"/>
                <w:szCs w:val="14"/>
                <w:color w:val="auto"/>
              </w:rPr>
              <w:t>25,402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15,674</w:t>
            </w:r>
          </w:p>
        </w:tc>
        <w:tc>
          <w:tcPr>
            <w:tcW w:w="100" w:type="dxa"/>
            <w:vAlign w:val="bottom"/>
          </w:tcPr>
          <w:p>
            <w:pPr>
              <w:spacing w:after="0"/>
              <w:rPr>
                <w:sz w:val="15"/>
                <w:szCs w:val="15"/>
                <w:color w:val="auto"/>
              </w:rPr>
            </w:pPr>
          </w:p>
        </w:tc>
      </w:tr>
      <w:tr>
        <w:trPr>
          <w:trHeight w:val="181"/>
        </w:trPr>
        <w:tc>
          <w:tcPr>
            <w:tcW w:w="6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Clinical trials expenses</w:t>
            </w:r>
          </w:p>
        </w:tc>
        <w:tc>
          <w:tcPr>
            <w:tcW w:w="88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11"/>
              <w:spacing w:after="0"/>
              <w:rPr>
                <w:sz w:val="20"/>
                <w:szCs w:val="20"/>
                <w:color w:val="auto"/>
              </w:rPr>
            </w:pPr>
            <w:r>
              <w:rPr>
                <w:rFonts w:ascii="Arial" w:cs="Arial" w:eastAsia="Arial" w:hAnsi="Arial"/>
                <w:sz w:val="14"/>
                <w:szCs w:val="14"/>
                <w:color w:val="auto"/>
              </w:rPr>
              <w:t>26,032</w:t>
            </w: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29,263</w:t>
            </w:r>
          </w:p>
        </w:tc>
        <w:tc>
          <w:tcPr>
            <w:tcW w:w="100" w:type="dxa"/>
            <w:vAlign w:val="bottom"/>
            <w:shd w:val="clear" w:color="auto" w:fill="CFF0FC"/>
          </w:tcPr>
          <w:p>
            <w:pPr>
              <w:spacing w:after="0"/>
              <w:rPr>
                <w:sz w:val="15"/>
                <w:szCs w:val="15"/>
                <w:color w:val="auto"/>
              </w:rPr>
            </w:pPr>
          </w:p>
        </w:tc>
      </w:tr>
      <w:tr>
        <w:trPr>
          <w:trHeight w:val="180"/>
        </w:trPr>
        <w:tc>
          <w:tcPr>
            <w:tcW w:w="6620" w:type="dxa"/>
            <w:vAlign w:val="bottom"/>
          </w:tcPr>
          <w:p>
            <w:pPr>
              <w:ind w:left="20"/>
              <w:spacing w:after="0"/>
              <w:rPr>
                <w:sz w:val="20"/>
                <w:szCs w:val="20"/>
                <w:color w:val="auto"/>
              </w:rPr>
            </w:pPr>
            <w:r>
              <w:rPr>
                <w:rFonts w:ascii="Arial" w:cs="Arial" w:eastAsia="Arial" w:hAnsi="Arial"/>
                <w:sz w:val="14"/>
                <w:szCs w:val="14"/>
                <w:color w:val="auto"/>
              </w:rPr>
              <w:t>Depreciation of lab equipment and costs of equipment and supplies</w:t>
            </w:r>
          </w:p>
        </w:tc>
        <w:tc>
          <w:tcPr>
            <w:tcW w:w="880" w:type="dxa"/>
            <w:vAlign w:val="bottom"/>
          </w:tcPr>
          <w:p>
            <w:pPr>
              <w:spacing w:after="0"/>
              <w:rPr>
                <w:sz w:val="15"/>
                <w:szCs w:val="15"/>
                <w:color w:val="auto"/>
              </w:rPr>
            </w:pPr>
          </w:p>
        </w:tc>
        <w:tc>
          <w:tcPr>
            <w:tcW w:w="620" w:type="dxa"/>
            <w:vAlign w:val="bottom"/>
          </w:tcPr>
          <w:p>
            <w:pPr>
              <w:jc w:val="right"/>
              <w:ind w:right="11"/>
              <w:spacing w:after="0"/>
              <w:rPr>
                <w:sz w:val="20"/>
                <w:szCs w:val="20"/>
                <w:color w:val="auto"/>
              </w:rPr>
            </w:pPr>
            <w:r>
              <w:rPr>
                <w:rFonts w:ascii="Arial" w:cs="Arial" w:eastAsia="Arial" w:hAnsi="Arial"/>
                <w:sz w:val="14"/>
                <w:szCs w:val="14"/>
                <w:color w:val="auto"/>
              </w:rPr>
              <w:t>5,859</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5,968</w:t>
            </w:r>
          </w:p>
        </w:tc>
        <w:tc>
          <w:tcPr>
            <w:tcW w:w="100" w:type="dxa"/>
            <w:vAlign w:val="bottom"/>
          </w:tcPr>
          <w:p>
            <w:pPr>
              <w:spacing w:after="0"/>
              <w:rPr>
                <w:sz w:val="15"/>
                <w:szCs w:val="15"/>
                <w:color w:val="auto"/>
              </w:rPr>
            </w:pPr>
          </w:p>
        </w:tc>
      </w:tr>
      <w:tr>
        <w:trPr>
          <w:trHeight w:val="181"/>
        </w:trPr>
        <w:tc>
          <w:tcPr>
            <w:tcW w:w="6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Technology and intellectual property licenses</w:t>
            </w:r>
          </w:p>
        </w:tc>
        <w:tc>
          <w:tcPr>
            <w:tcW w:w="88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11"/>
              <w:spacing w:after="0"/>
              <w:rPr>
                <w:sz w:val="20"/>
                <w:szCs w:val="20"/>
                <w:color w:val="auto"/>
              </w:rPr>
            </w:pPr>
            <w:r>
              <w:rPr>
                <w:rFonts w:ascii="Arial" w:cs="Arial" w:eastAsia="Arial" w:hAnsi="Arial"/>
                <w:sz w:val="14"/>
                <w:szCs w:val="14"/>
                <w:color w:val="auto"/>
              </w:rPr>
              <w:t>85</w:t>
            </w: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FF0FC"/>
          </w:tcPr>
          <w:p>
            <w:pPr>
              <w:spacing w:after="0"/>
              <w:rPr>
                <w:sz w:val="15"/>
                <w:szCs w:val="15"/>
                <w:color w:val="auto"/>
              </w:rPr>
            </w:pPr>
          </w:p>
        </w:tc>
      </w:tr>
      <w:tr>
        <w:trPr>
          <w:trHeight w:val="180"/>
        </w:trPr>
        <w:tc>
          <w:tcPr>
            <w:tcW w:w="662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Facilities and other allocated expenses</w:t>
            </w: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9,242</w:t>
            </w:r>
          </w:p>
        </w:tc>
        <w:tc>
          <w:tcPr>
            <w:tcW w:w="80" w:type="dxa"/>
            <w:vAlign w:val="bottom"/>
            <w:tcBorders>
              <w:bottom w:val="single" w:sz="8" w:color="CFF0FC"/>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5,880</w:t>
            </w:r>
          </w:p>
        </w:tc>
        <w:tc>
          <w:tcPr>
            <w:tcW w:w="100" w:type="dxa"/>
            <w:vAlign w:val="bottom"/>
            <w:tcBorders>
              <w:bottom w:val="single" w:sz="8" w:color="CFF0FC"/>
            </w:tcBorders>
          </w:tcPr>
          <w:p>
            <w:pPr>
              <w:spacing w:after="0"/>
              <w:rPr>
                <w:sz w:val="15"/>
                <w:szCs w:val="15"/>
                <w:color w:val="auto"/>
              </w:rPr>
            </w:pPr>
          </w:p>
        </w:tc>
      </w:tr>
      <w:tr>
        <w:trPr>
          <w:trHeight w:val="196"/>
        </w:trPr>
        <w:tc>
          <w:tcPr>
            <w:tcW w:w="6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Total research and development expenses</w:t>
            </w:r>
          </w:p>
        </w:tc>
        <w:tc>
          <w:tcPr>
            <w:tcW w:w="880" w:type="dxa"/>
            <w:vAlign w:val="bottom"/>
            <w:tcBorders>
              <w:bottom w:val="single" w:sz="8" w:color="auto"/>
            </w:tcBorders>
            <w:shd w:val="clear" w:color="auto" w:fill="CFF0FC"/>
          </w:tcPr>
          <w:p>
            <w:pPr>
              <w:jc w:val="right"/>
              <w:ind w:right="734"/>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4"/>
                <w:szCs w:val="14"/>
                <w:color w:val="auto"/>
              </w:rPr>
              <w:t>96,936</w:t>
            </w:r>
          </w:p>
        </w:tc>
        <w:tc>
          <w:tcPr>
            <w:tcW w:w="8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77,548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20"/>
        </w:trPr>
        <w:tc>
          <w:tcPr>
            <w:tcW w:w="66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140" w:firstLine="509"/>
        <w:spacing w:after="0" w:line="321" w:lineRule="auto"/>
        <w:rPr>
          <w:sz w:val="20"/>
          <w:szCs w:val="20"/>
          <w:color w:val="auto"/>
        </w:rPr>
      </w:pPr>
      <w:r>
        <w:rPr>
          <w:rFonts w:ascii="Arial" w:cs="Arial" w:eastAsia="Arial" w:hAnsi="Arial"/>
          <w:sz w:val="13"/>
          <w:szCs w:val="13"/>
          <w:color w:val="auto"/>
        </w:rPr>
        <w:t>We expense all research and development costs in the periods in which they are incurred. We do not allocate our internal costs by product candidates or by preclinical programs as these are in early stages of development. Additionally, although external third-party costs are allocable between product candidates and programs, we do not perform this allocation.</w:t>
      </w:r>
    </w:p>
    <w:p>
      <w:pPr>
        <w:spacing w:after="0" w:line="88" w:lineRule="exact"/>
        <w:rPr>
          <w:sz w:val="20"/>
          <w:szCs w:val="20"/>
          <w:color w:val="auto"/>
        </w:rPr>
      </w:pPr>
    </w:p>
    <w:p>
      <w:pPr>
        <w:jc w:val="both"/>
        <w:ind w:right="180" w:firstLine="509"/>
        <w:spacing w:after="0" w:line="288" w:lineRule="auto"/>
        <w:rPr>
          <w:sz w:val="20"/>
          <w:szCs w:val="20"/>
          <w:color w:val="auto"/>
        </w:rPr>
      </w:pPr>
      <w:r>
        <w:rPr>
          <w:rFonts w:ascii="Arial" w:cs="Arial" w:eastAsia="Arial" w:hAnsi="Arial"/>
          <w:sz w:val="13"/>
          <w:szCs w:val="13"/>
          <w:color w:val="auto"/>
        </w:rPr>
        <w:t>We expect our research and development expenses to increase substantially for the foreseeable future as we continue to invest in research and development activities related to developing our product candidates and our preclinical programs and as they advance into later stages of development. The process of conducting the necessary clinical research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General and Administrative</w:t>
      </w:r>
    </w:p>
    <w:p>
      <w:pPr>
        <w:spacing w:after="0" w:line="94" w:lineRule="exact"/>
        <w:rPr>
          <w:sz w:val="20"/>
          <w:szCs w:val="20"/>
          <w:color w:val="auto"/>
        </w:rPr>
      </w:pPr>
    </w:p>
    <w:p>
      <w:pPr>
        <w:ind w:right="60" w:firstLine="891"/>
        <w:spacing w:after="0" w:line="260" w:lineRule="auto"/>
        <w:rPr>
          <w:sz w:val="20"/>
          <w:szCs w:val="20"/>
          <w:color w:val="auto"/>
        </w:rPr>
      </w:pPr>
      <w:r>
        <w:rPr>
          <w:rFonts w:ascii="Arial" w:cs="Arial" w:eastAsia="Arial" w:hAnsi="Arial"/>
          <w:sz w:val="14"/>
          <w:szCs w:val="14"/>
          <w:color w:val="auto"/>
        </w:rPr>
        <w:t>Our general and administrative expenses consist primarily of salaries, benefits and stock-based compensation for our general and administrative personnel, allocated facilities costs, insurance and other expenses for outside professional services, including legal, marketing, investor relations, human resource and accounting services. We expect general and administrative expenses to increase for the foreseeable future as does the size of our administrative function to support the growth of our business. In addition, if we obtain regulatory approval for any of our product candidates and do not enter into a third-party commercialization collaboration, we expect to incur significant expenses related to building a sales and marketing team to support product sales, marketing and distribution activities.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Interest and Other Income (Expense), net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340" w:firstLine="891"/>
        <w:spacing w:after="0" w:line="281" w:lineRule="auto"/>
        <w:rPr>
          <w:sz w:val="20"/>
          <w:szCs w:val="20"/>
          <w:color w:val="auto"/>
        </w:rPr>
      </w:pPr>
      <w:r>
        <w:rPr>
          <w:rFonts w:ascii="Arial" w:cs="Arial" w:eastAsia="Arial" w:hAnsi="Arial"/>
          <w:sz w:val="14"/>
          <w:szCs w:val="14"/>
          <w:color w:val="auto"/>
        </w:rPr>
        <w:t>Our interest and other income (expense), net consists of interest income earned on cash and cash equivalents, money market funds and short-term investments, realized gains and losses on investments.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Interest Expense</w:t>
      </w:r>
    </w:p>
    <w:p>
      <w:pPr>
        <w:spacing w:after="0" w:line="94" w:lineRule="exact"/>
        <w:rPr>
          <w:sz w:val="20"/>
          <w:szCs w:val="20"/>
          <w:color w:val="auto"/>
        </w:rPr>
      </w:pPr>
    </w:p>
    <w:p>
      <w:pPr>
        <w:ind w:right="180" w:firstLine="891"/>
        <w:spacing w:after="0" w:line="281" w:lineRule="auto"/>
        <w:rPr>
          <w:sz w:val="20"/>
          <w:szCs w:val="20"/>
          <w:color w:val="auto"/>
        </w:rPr>
      </w:pPr>
      <w:r>
        <w:rPr>
          <w:rFonts w:ascii="Arial" w:cs="Arial" w:eastAsia="Arial" w:hAnsi="Arial"/>
          <w:sz w:val="14"/>
          <w:szCs w:val="14"/>
          <w:color w:val="auto"/>
        </w:rPr>
        <w:t>Our interest expense is derived from a term loan executed under the Oxford Loan Agreement that we entered into in May 2022. Borrowings under the Oxford Loan Agreement bear interest at a rate per annum equal to 1-month term Secured Overnight Financing Rate (SOFR) plus 8.5%, subject to an agreed upon floor and cap.</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Comparison of the Years Ended December 31, 2022 and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980" w:type="dxa"/>
            <w:vAlign w:val="bottom"/>
          </w:tcPr>
          <w:p>
            <w:pPr>
              <w:ind w:left="20"/>
              <w:spacing w:after="0"/>
              <w:rPr>
                <w:sz w:val="20"/>
                <w:szCs w:val="20"/>
                <w:color w:val="auto"/>
              </w:rPr>
            </w:pPr>
            <w:r>
              <w:rPr>
                <w:rFonts w:ascii="Arial" w:cs="Arial" w:eastAsia="Arial" w:hAnsi="Arial"/>
                <w:sz w:val="11"/>
                <w:szCs w:val="11"/>
                <w:b w:val="1"/>
                <w:bCs w:val="1"/>
                <w:color w:val="auto"/>
              </w:rPr>
              <w:t>(In thousands, except percentages)</w:t>
            </w:r>
          </w:p>
        </w:tc>
        <w:tc>
          <w:tcPr>
            <w:tcW w:w="8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53"/>
        </w:trPr>
        <w:tc>
          <w:tcPr>
            <w:tcW w:w="49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 Change</w:t>
            </w:r>
          </w:p>
        </w:tc>
        <w:tc>
          <w:tcPr>
            <w:tcW w:w="10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474"/>
              <w:spacing w:after="0"/>
              <w:rPr>
                <w:sz w:val="20"/>
                <w:szCs w:val="20"/>
                <w:color w:val="auto"/>
              </w:rPr>
            </w:pPr>
            <w:r>
              <w:rPr>
                <w:rFonts w:ascii="Arial" w:cs="Arial" w:eastAsia="Arial" w:hAnsi="Arial"/>
                <w:sz w:val="11"/>
                <w:szCs w:val="11"/>
                <w:b w:val="1"/>
                <w:bCs w:val="1"/>
                <w:color w:val="auto"/>
              </w:rPr>
              <w:t>% Change</w:t>
            </w:r>
          </w:p>
        </w:tc>
      </w:tr>
      <w:tr>
        <w:trPr>
          <w:trHeight w:val="177"/>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880" w:type="dxa"/>
            <w:vAlign w:val="bottom"/>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9,685</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27.9 %</w:t>
            </w:r>
          </w:p>
        </w:tc>
      </w:tr>
      <w:tr>
        <w:trPr>
          <w:trHeight w:val="180"/>
        </w:trPr>
        <w:tc>
          <w:tcPr>
            <w:tcW w:w="49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1"/>
        </w:trPr>
        <w:tc>
          <w:tcPr>
            <w:tcW w:w="4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(96,936)</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(77,549)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25.0 %</w:t>
            </w:r>
          </w:p>
        </w:tc>
      </w:tr>
      <w:tr>
        <w:trPr>
          <w:trHeight w:val="180"/>
        </w:trPr>
        <w:tc>
          <w:tcPr>
            <w:tcW w:w="49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General and administrative</w:t>
            </w:r>
          </w:p>
        </w:tc>
        <w:tc>
          <w:tcPr>
            <w:tcW w:w="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(39,949)</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(27,558)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(12,391)</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45.0 %</w:t>
            </w:r>
          </w:p>
        </w:tc>
      </w:tr>
      <w:tr>
        <w:trPr>
          <w:trHeight w:val="171"/>
        </w:trPr>
        <w:tc>
          <w:tcPr>
            <w:tcW w:w="4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operating expenses</w:t>
            </w:r>
          </w:p>
        </w:tc>
        <w:tc>
          <w:tcPr>
            <w:tcW w:w="8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(136,885)</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(105,107)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(31,778)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30.2 %</w:t>
            </w:r>
          </w:p>
        </w:tc>
      </w:tr>
      <w:tr>
        <w:trPr>
          <w:trHeight w:val="171"/>
        </w:trPr>
        <w:tc>
          <w:tcPr>
            <w:tcW w:w="4980" w:type="dxa"/>
            <w:vAlign w:val="bottom"/>
          </w:tcPr>
          <w:p>
            <w:pPr>
              <w:ind w:left="280"/>
              <w:spacing w:after="0"/>
              <w:rPr>
                <w:sz w:val="20"/>
                <w:szCs w:val="20"/>
                <w:color w:val="auto"/>
              </w:rPr>
            </w:pPr>
            <w:r>
              <w:rPr>
                <w:rFonts w:ascii="Arial" w:cs="Arial" w:eastAsia="Arial" w:hAnsi="Arial"/>
                <w:sz w:val="14"/>
                <w:szCs w:val="14"/>
                <w:color w:val="auto"/>
              </w:rPr>
              <w:t>Loss from operations</w:t>
            </w:r>
          </w:p>
        </w:tc>
        <w:tc>
          <w:tcPr>
            <w:tcW w:w="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(127,200)</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(97,535)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(29,665)</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30.4 %</w:t>
            </w:r>
          </w:p>
        </w:tc>
      </w:tr>
      <w:tr>
        <w:trPr>
          <w:trHeight w:val="21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income (expense), net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1,616.9 %</w:t>
            </w:r>
          </w:p>
        </w:tc>
      </w:tr>
      <w:tr>
        <w:trPr>
          <w:trHeight w:val="180"/>
        </w:trPr>
        <w:tc>
          <w:tcPr>
            <w:tcW w:w="49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96"/>
        </w:trPr>
        <w:tc>
          <w:tcPr>
            <w:tcW w:w="49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loss</w:t>
            </w:r>
          </w:p>
        </w:tc>
        <w:tc>
          <w:tcPr>
            <w:tcW w:w="88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(123,321)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(97,263)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(26,058)</w:t>
            </w:r>
          </w:p>
        </w:tc>
        <w:tc>
          <w:tcPr>
            <w:tcW w:w="16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26.8 %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NM: Results not meaningful</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Revenue</w:t>
      </w:r>
    </w:p>
    <w:p>
      <w:pPr>
        <w:spacing w:after="0" w:line="10" w:lineRule="exact"/>
        <w:rPr>
          <w:sz w:val="20"/>
          <w:szCs w:val="20"/>
          <w:color w:val="auto"/>
        </w:rPr>
      </w:pPr>
    </w:p>
    <w:p>
      <w:pPr>
        <w:ind w:right="20" w:firstLine="509"/>
        <w:spacing w:after="0"/>
        <w:rPr>
          <w:sz w:val="20"/>
          <w:szCs w:val="20"/>
          <w:color w:val="auto"/>
        </w:rPr>
      </w:pPr>
      <w:r>
        <w:rPr>
          <w:rFonts w:ascii="Arial" w:cs="Arial" w:eastAsia="Arial" w:hAnsi="Arial"/>
          <w:sz w:val="14"/>
          <w:szCs w:val="14"/>
          <w:color w:val="auto"/>
        </w:rPr>
        <w:t>Revenue was $9.7 million and $7.6 million for the years ended December 31, 2022 and 2021, respectively. The increase of $2.1 million was primarily due to the recognition of a $4.0 million milestone payment in the second quarter of 2022 as Novartis exercised their right to opt-in to a research program and secured an exclusive license to compounds associated with an integrin research target. This increase was partially offset by a decrease in research and development services revenues associated with PLN-1474 given our most significant contribution to the development plan concluded upon transfer of the IND to Novartis in the first quarter of 2021.</w:t>
      </w:r>
    </w:p>
    <w:p>
      <w:pPr>
        <w:spacing w:after="0" w:line="129" w:lineRule="exact"/>
        <w:rPr>
          <w:sz w:val="20"/>
          <w:szCs w:val="20"/>
          <w:color w:val="auto"/>
        </w:rPr>
      </w:pPr>
    </w:p>
    <w:p>
      <w:pPr>
        <w:ind w:right="240" w:firstLine="509"/>
        <w:spacing w:after="0" w:line="281" w:lineRule="auto"/>
        <w:rPr>
          <w:sz w:val="20"/>
          <w:szCs w:val="20"/>
          <w:color w:val="auto"/>
        </w:rPr>
      </w:pPr>
      <w:r>
        <w:rPr>
          <w:rFonts w:ascii="Arial" w:cs="Arial" w:eastAsia="Arial" w:hAnsi="Arial"/>
          <w:sz w:val="14"/>
          <w:szCs w:val="14"/>
          <w:color w:val="auto"/>
        </w:rPr>
        <w:t>We expect our revenue to be derived from the Novartis Agreement for remainder of the term of our collaboration for which we received a termination notice in February 2023. Unless we enter into additional contracts with customers, we do not expect to generate revenues beyond the second quarter of 2023.</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Research and Development Expenses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Research and development expenses were $96.9 million and $77.5 million for the years ended December 31, 2022 and 2021, respectively. The increase of $19.4 million was primarily due to:</w:t>
      </w:r>
    </w:p>
    <w:p>
      <w:pPr>
        <w:spacing w:after="0" w:line="117" w:lineRule="exact"/>
        <w:rPr>
          <w:sz w:val="20"/>
          <w:szCs w:val="20"/>
          <w:color w:val="auto"/>
        </w:rPr>
      </w:pPr>
    </w:p>
    <w:p>
      <w:pPr>
        <w:ind w:left="1780" w:hanging="879"/>
        <w:spacing w:after="0"/>
        <w:tabs>
          <w:tab w:leader="none" w:pos="1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$9.6 million increase in employee-related costs owing to the increase in our research and development workforce and stock-based compensation;</w:t>
      </w:r>
    </w:p>
    <w:p>
      <w:pPr>
        <w:spacing w:after="0" w:line="93" w:lineRule="exact"/>
        <w:rPr>
          <w:rFonts w:ascii="Arial" w:cs="Arial" w:eastAsia="Arial" w:hAnsi="Arial"/>
          <w:sz w:val="14"/>
          <w:szCs w:val="14"/>
          <w:color w:val="auto"/>
        </w:rPr>
      </w:pPr>
    </w:p>
    <w:p>
      <w:pPr>
        <w:ind w:left="1800" w:right="300" w:hanging="899"/>
        <w:spacing w:after="0" w:line="281" w:lineRule="auto"/>
        <w:tabs>
          <w:tab w:leader="none" w:pos="1796" w:val="left"/>
        </w:tabs>
        <w:numPr>
          <w:ilvl w:val="0"/>
          <w:numId w:val="51"/>
        </w:numPr>
        <w:rPr>
          <w:rFonts w:ascii="Arial" w:cs="Arial" w:eastAsia="Arial" w:hAnsi="Arial"/>
          <w:sz w:val="14"/>
          <w:szCs w:val="14"/>
          <w:color w:val="auto"/>
        </w:rPr>
      </w:pPr>
      <w:r>
        <w:rPr>
          <w:rFonts w:ascii="Arial" w:cs="Arial" w:eastAsia="Arial" w:hAnsi="Arial"/>
          <w:sz w:val="14"/>
          <w:szCs w:val="14"/>
          <w:color w:val="auto"/>
        </w:rPr>
        <w:t>$9.7 million increase in outside and consulting services for preclinical studies and research and development activities by third party contract organizations for the advancement of our preclinical programs;</w:t>
      </w:r>
    </w:p>
    <w:p>
      <w:pPr>
        <w:spacing w:after="0" w:line="47" w:lineRule="exact"/>
        <w:rPr>
          <w:rFonts w:ascii="Arial" w:cs="Arial" w:eastAsia="Arial" w:hAnsi="Arial"/>
          <w:sz w:val="14"/>
          <w:szCs w:val="14"/>
          <w:color w:val="auto"/>
        </w:rPr>
      </w:pPr>
    </w:p>
    <w:p>
      <w:pPr>
        <w:ind w:left="1800" w:right="140" w:hanging="899"/>
        <w:spacing w:after="0" w:line="281" w:lineRule="auto"/>
        <w:tabs>
          <w:tab w:leader="none" w:pos="1796" w:val="left"/>
        </w:tabs>
        <w:numPr>
          <w:ilvl w:val="0"/>
          <w:numId w:val="51"/>
        </w:numPr>
        <w:rPr>
          <w:rFonts w:ascii="Arial" w:cs="Arial" w:eastAsia="Arial" w:hAnsi="Arial"/>
          <w:sz w:val="14"/>
          <w:szCs w:val="14"/>
          <w:color w:val="auto"/>
        </w:rPr>
      </w:pPr>
      <w:r>
        <w:rPr>
          <w:rFonts w:ascii="Arial" w:cs="Arial" w:eastAsia="Arial" w:hAnsi="Arial"/>
          <w:sz w:val="14"/>
          <w:szCs w:val="14"/>
          <w:color w:val="auto"/>
        </w:rPr>
        <w:t>$3.2 million decrease in clinical trial expenses largely due to decreased expenses associated with Phase 1 clinical trials, partially offset by an increase in expenses for our Phase 2 trials of bexotegrast.</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$0.1 million decrease in depreciation of lab equipment and costs of equipment and supplies;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$0.1 million increase in technology and intellectual property licenses; and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1780" w:hanging="879"/>
        <w:spacing w:after="0"/>
        <w:tabs>
          <w:tab w:leader="none" w:pos="17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$3.4 million increase in facilities and other allocated expenses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General and Administrative Expenses</w:t>
      </w:r>
    </w:p>
    <w:p>
      <w:pPr>
        <w:spacing w:after="0" w:line="157" w:lineRule="exact"/>
        <w:rPr>
          <w:sz w:val="20"/>
          <w:szCs w:val="20"/>
          <w:color w:val="auto"/>
        </w:rPr>
      </w:pPr>
    </w:p>
    <w:p>
      <w:pPr>
        <w:ind w:right="80" w:firstLine="509"/>
        <w:spacing w:after="0" w:line="321" w:lineRule="auto"/>
        <w:rPr>
          <w:sz w:val="20"/>
          <w:szCs w:val="20"/>
          <w:color w:val="auto"/>
        </w:rPr>
      </w:pPr>
      <w:r>
        <w:rPr>
          <w:rFonts w:ascii="Arial" w:cs="Arial" w:eastAsia="Arial" w:hAnsi="Arial"/>
          <w:sz w:val="13"/>
          <w:szCs w:val="13"/>
          <w:color w:val="auto"/>
        </w:rPr>
        <w:t>General and administrative expenses was $39.9 million and $27.6 million for the years ended December 31, 2022 and 2021, respectively. The increase of $12.4 million was primarily due to a $9.1 million increase in employee-related costs, including stock-based compensation, and a $3.3 million increase in legal, accounting and other professional services.</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Interest and other income (expense), net</w:t>
      </w:r>
    </w:p>
    <w:p>
      <w:pPr>
        <w:spacing w:after="0" w:line="147" w:lineRule="exact"/>
        <w:rPr>
          <w:sz w:val="20"/>
          <w:szCs w:val="20"/>
          <w:color w:val="auto"/>
        </w:rPr>
      </w:pPr>
    </w:p>
    <w:p>
      <w:pPr>
        <w:jc w:val="both"/>
        <w:ind w:right="260" w:firstLine="509"/>
        <w:spacing w:after="0" w:line="267" w:lineRule="auto"/>
        <w:rPr>
          <w:sz w:val="20"/>
          <w:szCs w:val="20"/>
          <w:color w:val="auto"/>
        </w:rPr>
      </w:pPr>
      <w:r>
        <w:rPr>
          <w:rFonts w:ascii="Arial" w:cs="Arial" w:eastAsia="Arial" w:hAnsi="Arial"/>
          <w:sz w:val="14"/>
          <w:szCs w:val="14"/>
          <w:color w:val="auto"/>
        </w:rPr>
        <w:t>Interest and other income (expense), net was $4.7 million and $0.3 million for the years ended December 31, 2022 and 2021, respectively. The increase of $4.4 million was due to higher average investment balances in 2022 compared to 2021 resulting from significant financing activities occurring mid-year 2022 coupled with an increase in the yield on our short-term investment portfolio.</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Interest Expense</w:t>
      </w:r>
    </w:p>
    <w:p>
      <w:pPr>
        <w:spacing w:after="0" w:line="147"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color w:val="auto"/>
        </w:rPr>
        <w:t>Interest expense, net was $0.8 million and zero for the years ended December 31, 2022 and 2021, respectively. The increase of $0.8 million was due to the interest incurred from the Oxford Financing Term Loan, which was issued in the second quarter of 2022.</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4" w:lineRule="exact"/>
        <w:rPr>
          <w:sz w:val="20"/>
          <w:szCs w:val="20"/>
          <w:color w:val="auto"/>
        </w:rPr>
      </w:pPr>
    </w:p>
    <w:p>
      <w:pPr>
        <w:ind w:right="380" w:firstLine="509"/>
        <w:spacing w:after="0" w:line="281" w:lineRule="auto"/>
        <w:rPr>
          <w:sz w:val="20"/>
          <w:szCs w:val="20"/>
          <w:color w:val="auto"/>
        </w:rPr>
      </w:pPr>
      <w:r>
        <w:rPr>
          <w:rFonts w:ascii="Arial" w:cs="Arial" w:eastAsia="Arial" w:hAnsi="Arial"/>
          <w:sz w:val="14"/>
          <w:szCs w:val="14"/>
          <w:color w:val="auto"/>
        </w:rPr>
        <w:t>As of December 31, 2022, we had cash, cash equivalents and short-term investments of $331.2 million. Our cash, cash equivalents and short-term investments consist of U.S. Treasury securities, U.S. Government agency securities and highly rated, investment-grade corporate debt securities.</w:t>
      </w:r>
    </w:p>
    <w:p>
      <w:pPr>
        <w:spacing w:after="0" w:line="47" w:lineRule="exact"/>
        <w:rPr>
          <w:sz w:val="20"/>
          <w:szCs w:val="20"/>
          <w:color w:val="auto"/>
        </w:rPr>
      </w:pPr>
    </w:p>
    <w:p>
      <w:pPr>
        <w:jc w:val="both"/>
        <w:ind w:right="180" w:firstLine="509"/>
        <w:spacing w:after="0" w:line="267" w:lineRule="auto"/>
        <w:rPr>
          <w:sz w:val="20"/>
          <w:szCs w:val="20"/>
          <w:color w:val="auto"/>
        </w:rPr>
      </w:pPr>
      <w:r>
        <w:rPr>
          <w:rFonts w:ascii="Arial" w:cs="Arial" w:eastAsia="Arial" w:hAnsi="Arial"/>
          <w:sz w:val="14"/>
          <w:szCs w:val="14"/>
          <w:color w:val="auto"/>
        </w:rPr>
        <w:t>In May 2022, as amended in October 2022, we entered into a Loan and Security Agreement (the “Oxford Loan Agreement”) with Oxford Finance LLC (or "Oxford"). Upon closing of the Oxford Loan Agreement, we drew $10.0 million and decided to forego drawing on the additional $40.0 million currently available to us. A further $50.0 million may become available to us, $25.0 million upon the achievement of a pre-determined development milestone and $25.0 million at Oxford's discretion.</w:t>
      </w:r>
    </w:p>
    <w:p>
      <w:pPr>
        <w:spacing w:after="0" w:line="57" w:lineRule="exact"/>
        <w:rPr>
          <w:sz w:val="20"/>
          <w:szCs w:val="20"/>
          <w:color w:val="auto"/>
        </w:rPr>
      </w:pPr>
    </w:p>
    <w:p>
      <w:pPr>
        <w:ind w:right="260" w:firstLine="891"/>
        <w:spacing w:after="0" w:line="267" w:lineRule="auto"/>
        <w:rPr>
          <w:sz w:val="20"/>
          <w:szCs w:val="20"/>
          <w:color w:val="auto"/>
        </w:rPr>
      </w:pPr>
      <w:r>
        <w:rPr>
          <w:rFonts w:ascii="Arial" w:cs="Arial" w:eastAsia="Arial" w:hAnsi="Arial"/>
          <w:sz w:val="14"/>
          <w:szCs w:val="14"/>
          <w:color w:val="auto"/>
        </w:rPr>
        <w:t>In July 2022, we completed an underwritten public offering of 12,432,432 shares of common stock, including the exercise in full of the underwriters' option to purchase 1,621,621 additional shares of common stock. The shares were offered at a price to the public of $18.50 per share, resulting in aggregate proceeds of approximately $215.4 million, net of underwriting discounts, commissions and offering expenses.</w:t>
      </w:r>
    </w:p>
    <w:p>
      <w:pPr>
        <w:spacing w:after="0" w:line="57" w:lineRule="exact"/>
        <w:rPr>
          <w:sz w:val="20"/>
          <w:szCs w:val="20"/>
          <w:color w:val="auto"/>
        </w:rPr>
      </w:pPr>
    </w:p>
    <w:p>
      <w:pPr>
        <w:ind w:right="120" w:firstLine="891"/>
        <w:spacing w:after="0" w:line="267" w:lineRule="auto"/>
        <w:rPr>
          <w:sz w:val="20"/>
          <w:szCs w:val="20"/>
          <w:color w:val="auto"/>
        </w:rPr>
      </w:pPr>
      <w:r>
        <w:rPr>
          <w:rFonts w:ascii="Arial" w:cs="Arial" w:eastAsia="Arial" w:hAnsi="Arial"/>
          <w:sz w:val="14"/>
          <w:szCs w:val="14"/>
          <w:color w:val="auto"/>
        </w:rPr>
        <w:t>In January 2023, we completed an underwritten public offering of 9,583,334 shares of common stock, including the exercise in full of the underwriters' option to purchase 1,250,000 additional shares of common stock. The shares were offered at a price to the public of $30.00 per share, resulting in aggregate proceeds of approximately $269.9 million, net of underwriting discounts, commissions and offering expenses.</w:t>
      </w:r>
    </w:p>
    <w:p>
      <w:pPr>
        <w:spacing w:after="0" w:line="57" w:lineRule="exact"/>
        <w:rPr>
          <w:sz w:val="20"/>
          <w:szCs w:val="20"/>
          <w:color w:val="auto"/>
        </w:rPr>
      </w:pPr>
    </w:p>
    <w:p>
      <w:pPr>
        <w:jc w:val="both"/>
        <w:ind w:right="260" w:firstLine="891"/>
        <w:spacing w:after="0" w:line="331" w:lineRule="auto"/>
        <w:rPr>
          <w:sz w:val="20"/>
          <w:szCs w:val="20"/>
          <w:color w:val="auto"/>
        </w:rPr>
      </w:pPr>
      <w:r>
        <w:rPr>
          <w:rFonts w:ascii="Arial" w:cs="Arial" w:eastAsia="Arial" w:hAnsi="Arial"/>
          <w:sz w:val="12"/>
          <w:szCs w:val="12"/>
          <w:color w:val="auto"/>
        </w:rPr>
        <w:t>We believe that our existing capital resources, together with the proceeds our January 2023 public offering, will be sufficient to meet our projected operating requirements into the second half of 2026. We have based these estimates on assumptions that may prove to be wrong, and we could utilize our available capital resources sooner than we currently expect. Further, our operating plan may change, and we may need additional funds to meet operational needs and capital requirements for product development and commercialization sooner than planned.</w:t>
      </w:r>
    </w:p>
    <w:p>
      <w:pPr>
        <w:spacing w:after="0" w:line="23" w:lineRule="exact"/>
        <w:rPr>
          <w:sz w:val="20"/>
          <w:szCs w:val="20"/>
          <w:color w:val="auto"/>
        </w:rPr>
      </w:pPr>
    </w:p>
    <w:p>
      <w:pPr>
        <w:ind w:firstLine="891"/>
        <w:spacing w:after="0" w:line="267" w:lineRule="auto"/>
        <w:rPr>
          <w:sz w:val="20"/>
          <w:szCs w:val="20"/>
          <w:color w:val="auto"/>
        </w:rPr>
      </w:pPr>
      <w:r>
        <w:rPr>
          <w:rFonts w:ascii="Arial" w:cs="Arial" w:eastAsia="Arial" w:hAnsi="Arial"/>
          <w:sz w:val="13"/>
          <w:szCs w:val="13"/>
          <w:color w:val="auto"/>
        </w:rPr>
        <w:t>Our operations have been financed primarily through the issuance and sale of convertible preferred stock, issuance of common stock and our collaboration with Novartis. In July 2021, we entered into a Controlled Equity Offering</w:t>
      </w:r>
      <w:r>
        <w:rPr>
          <w:rFonts w:ascii="Arial" w:cs="Arial" w:eastAsia="Arial" w:hAnsi="Arial"/>
          <w:sz w:val="17"/>
          <w:szCs w:val="17"/>
          <w:color w:val="auto"/>
          <w:vertAlign w:val="superscript"/>
        </w:rPr>
        <w:t>SM</w:t>
      </w:r>
      <w:r>
        <w:rPr>
          <w:rFonts w:ascii="Arial" w:cs="Arial" w:eastAsia="Arial" w:hAnsi="Arial"/>
          <w:sz w:val="13"/>
          <w:szCs w:val="13"/>
          <w:color w:val="auto"/>
        </w:rPr>
        <w:t xml:space="preserve"> Sales Agreement (the “Sales Agreement”) with Cantor Fitzgerald &amp; Co., as sales agent, pursuant to which we may issue and sell up to $150.0 million of shares of common stock from time to time. On July 2, 2021, we filed a registration statement on Form S-3 (File No. 333-257684), as amended, which included a sales agreement prospectus registering the offer and sale of shares under the Sales Agreement (the “Sales Agreement Prospectus”). From July 2, 2021 to January 23, 2023, no shares of common stock were sold pursuant to the Sales Agreement or the Sales Agreement Prospectus. We terminated the Sales Agreement Prospectus on January 23, 2023 in connection with our January 2023 public offering, but the Sales Agreement remains in full force and effect. We will not make any sales of shares of our common stock pursuant to the Sales Agreement unless and until a new sales agreement prospectus or prospectus supplement is filed. We have not issued any shares pursuant to any at-the-market offerings, including pursuant to the Sales Agreement, but may do so at a future date.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Funding Requirements</w:t>
      </w:r>
    </w:p>
    <w:p>
      <w:pPr>
        <w:spacing w:after="0" w:line="94" w:lineRule="exact"/>
        <w:rPr>
          <w:sz w:val="20"/>
          <w:szCs w:val="20"/>
          <w:color w:val="auto"/>
        </w:rPr>
      </w:pPr>
    </w:p>
    <w:p>
      <w:pPr>
        <w:ind w:right="240" w:firstLine="509"/>
        <w:spacing w:after="0" w:line="281" w:lineRule="auto"/>
        <w:rPr>
          <w:sz w:val="20"/>
          <w:szCs w:val="20"/>
          <w:color w:val="auto"/>
        </w:rPr>
      </w:pPr>
      <w:r>
        <w:rPr>
          <w:rFonts w:ascii="Arial" w:cs="Arial" w:eastAsia="Arial" w:hAnsi="Arial"/>
          <w:sz w:val="14"/>
          <w:szCs w:val="14"/>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future funding requirements will depend on many factors, including the following:</w:t>
      </w:r>
    </w:p>
    <w:p>
      <w:pPr>
        <w:spacing w:after="0" w:line="94" w:lineRule="exact"/>
        <w:rPr>
          <w:sz w:val="20"/>
          <w:szCs w:val="20"/>
          <w:color w:val="auto"/>
        </w:rPr>
      </w:pPr>
    </w:p>
    <w:p>
      <w:pPr>
        <w:ind w:left="1780" w:hanging="879"/>
        <w:spacing w:after="0"/>
        <w:tabs>
          <w:tab w:leader="none" w:pos="1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initiation, progress, timing, costs and results of preclinical studies and clinical trials for our product candidates;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clinical development plans we establish for these product candidates;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timelines of our clinical trials and the overall costs to conduct and complete the clinical trials, which may be impacted by the COVID-19 pandemic;</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number and characteristics of product candidates that we develop;</w:t>
      </w:r>
    </w:p>
    <w:p>
      <w:pPr>
        <w:spacing w:after="0" w:line="93" w:lineRule="exact"/>
        <w:rPr>
          <w:rFonts w:ascii="Arial" w:cs="Arial" w:eastAsia="Arial" w:hAnsi="Arial"/>
          <w:sz w:val="14"/>
          <w:szCs w:val="14"/>
          <w:color w:val="auto"/>
        </w:rPr>
      </w:pPr>
    </w:p>
    <w:p>
      <w:pPr>
        <w:ind w:left="1800" w:right="120" w:hanging="899"/>
        <w:spacing w:after="0" w:line="321" w:lineRule="auto"/>
        <w:tabs>
          <w:tab w:leader="none" w:pos="1796"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outcome, timing and cost of meeting regulatory requirements established by the U.S. Food and Drug Administration, or FDA, and other comparable foreign regulatory authorities including but not limited to the European Medicines Agency (EMA), the UK Medicines and Healthcare products Regulatory Agency (MHRA);</w:t>
      </w:r>
    </w:p>
    <w:p>
      <w:pPr>
        <w:spacing w:after="0" w:line="24" w:lineRule="exact"/>
        <w:rPr>
          <w:rFonts w:ascii="Arial" w:cs="Arial" w:eastAsia="Arial" w:hAnsi="Arial"/>
          <w:sz w:val="13"/>
          <w:szCs w:val="13"/>
          <w:color w:val="auto"/>
        </w:rPr>
      </w:pPr>
    </w:p>
    <w:p>
      <w:pPr>
        <w:ind w:left="1780" w:hanging="879"/>
        <w:spacing w:after="0"/>
        <w:tabs>
          <w:tab w:leader="none" w:pos="1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whether we enter into any collaboration agreements and the terms of any such agreements;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cost of filing, prosecuting, defending and enforcing our patent claims and other intellectual property rights;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cost of defending intellectual property disputes, including patent infringement actions brought by third parties against us or our product candidates;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effect of competing technological and market developments;</w:t>
      </w:r>
    </w:p>
    <w:p>
      <w:pPr>
        <w:spacing w:after="0" w:line="93" w:lineRule="exact"/>
        <w:rPr>
          <w:rFonts w:ascii="Arial" w:cs="Arial" w:eastAsia="Arial" w:hAnsi="Arial"/>
          <w:sz w:val="14"/>
          <w:szCs w:val="14"/>
          <w:color w:val="auto"/>
        </w:rPr>
      </w:pPr>
    </w:p>
    <w:p>
      <w:pPr>
        <w:ind w:left="1780" w:hanging="879"/>
        <w:spacing w:after="0"/>
        <w:tabs>
          <w:tab w:leader="none" w:pos="1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cost and timing of completion of commercial-scale outsourced manufacturing activities;</w:t>
      </w:r>
    </w:p>
    <w:p>
      <w:pPr>
        <w:spacing w:after="0" w:line="93" w:lineRule="exact"/>
        <w:rPr>
          <w:rFonts w:ascii="Arial" w:cs="Arial" w:eastAsia="Arial" w:hAnsi="Arial"/>
          <w:sz w:val="14"/>
          <w:szCs w:val="14"/>
          <w:color w:val="auto"/>
        </w:rPr>
      </w:pPr>
    </w:p>
    <w:p>
      <w:pPr>
        <w:ind w:left="1800" w:right="460" w:hanging="899"/>
        <w:spacing w:after="0" w:line="281" w:lineRule="auto"/>
        <w:tabs>
          <w:tab w:leader="none" w:pos="1796"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cost and timing of achieving favorable pricing and reimbursement agreements with the pricing authorities in each market of interest, including of securing a positive recommendation after undergoing a health technology assessment by health technology authorities;</w:t>
      </w:r>
    </w:p>
    <w:p>
      <w:pPr>
        <w:spacing w:after="0" w:line="47" w:lineRule="exact"/>
        <w:rPr>
          <w:rFonts w:ascii="Arial" w:cs="Arial" w:eastAsia="Arial" w:hAnsi="Arial"/>
          <w:sz w:val="14"/>
          <w:szCs w:val="14"/>
          <w:color w:val="auto"/>
        </w:rPr>
      </w:pPr>
    </w:p>
    <w:p>
      <w:pPr>
        <w:ind w:left="1800" w:right="260" w:hanging="899"/>
        <w:spacing w:after="0" w:line="281" w:lineRule="auto"/>
        <w:tabs>
          <w:tab w:leader="none" w:pos="1796"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cost of establishing sales, marketing and distribution capabilities for any product candidates for which we may receive regulatory approval in regions where we choose to commercialize our products on our own; and</w:t>
      </w:r>
    </w:p>
    <w:p>
      <w:pPr>
        <w:spacing w:after="0" w:line="47" w:lineRule="exact"/>
        <w:rPr>
          <w:rFonts w:ascii="Arial" w:cs="Arial" w:eastAsia="Arial" w:hAnsi="Arial"/>
          <w:sz w:val="14"/>
          <w:szCs w:val="14"/>
          <w:color w:val="auto"/>
        </w:rPr>
      </w:pPr>
    </w:p>
    <w:p>
      <w:pPr>
        <w:ind w:left="1780" w:hanging="879"/>
        <w:spacing w:after="0"/>
        <w:tabs>
          <w:tab w:leader="none" w:pos="17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cost of operating as a public company.</w:t>
      </w:r>
    </w:p>
    <w:p>
      <w:pPr>
        <w:spacing w:after="0" w:line="94" w:lineRule="exact"/>
        <w:rPr>
          <w:sz w:val="20"/>
          <w:szCs w:val="20"/>
          <w:color w:val="auto"/>
        </w:rPr>
      </w:pPr>
    </w:p>
    <w:p>
      <w:pPr>
        <w:ind w:firstLine="891"/>
        <w:spacing w:after="0" w:line="280" w:lineRule="auto"/>
        <w:rPr>
          <w:sz w:val="20"/>
          <w:szCs w:val="20"/>
          <w:color w:val="auto"/>
        </w:rPr>
      </w:pPr>
      <w:r>
        <w:rPr>
          <w:rFonts w:ascii="Arial" w:cs="Arial" w:eastAsia="Arial" w:hAnsi="Arial"/>
          <w:sz w:val="13"/>
          <w:szCs w:val="13"/>
          <w:color w:val="auto"/>
        </w:rPr>
        <w:t>Further, our operating plan may change, and we may need additional funds to meet operational needs and capital requirements for clinical trials and other research and development expenditures. If we need to raise additional capital to fund our operations, funding may not be available to us on acceptable terms, or at all.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arrangements. If we raise additional capital through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summarizes our cash flows for the periods indicated (in thousands):</w:t>
      </w:r>
    </w:p>
    <w:p>
      <w:pPr>
        <w:spacing w:after="0" w:line="108" w:lineRule="exact"/>
        <w:rPr>
          <w:sz w:val="20"/>
          <w:szCs w:val="20"/>
          <w:color w:val="auto"/>
        </w:rPr>
      </w:pPr>
    </w:p>
    <w:tbl>
      <w:tblPr>
        <w:tblLayout w:type="fixed"/>
        <w:tblInd w:w="740" w:type="dxa"/>
        <w:tblCellMar>
          <w:top w:w="0" w:type="dxa"/>
          <w:left w:w="0" w:type="dxa"/>
          <w:bottom w:w="0" w:type="dxa"/>
          <w:right w:w="0" w:type="dxa"/>
        </w:tblCellMar>
      </w:tblPr>
      <w:tr>
        <w:trPr>
          <w:trHeight w:val="147"/>
        </w:trPr>
        <w:tc>
          <w:tcPr>
            <w:tcW w:w="6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gridSpan w:val="3"/>
          </w:tcPr>
          <w:p>
            <w:pPr>
              <w:jc w:val="right"/>
              <w:spacing w:after="0"/>
              <w:rPr>
                <w:sz w:val="20"/>
                <w:szCs w:val="20"/>
                <w:color w:val="auto"/>
              </w:rPr>
            </w:pPr>
            <w:r>
              <w:rPr>
                <w:rFonts w:ascii="Arial" w:cs="Arial" w:eastAsia="Arial" w:hAnsi="Arial"/>
                <w:sz w:val="11"/>
                <w:szCs w:val="11"/>
                <w:b w:val="1"/>
                <w:bCs w:val="1"/>
                <w:color w:val="auto"/>
                <w:w w:val="94"/>
              </w:rPr>
              <w:t>Year Ended December 31,</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0"/>
        </w:trPr>
        <w:tc>
          <w:tcPr>
            <w:tcW w:w="66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41"/>
        </w:trPr>
        <w:tc>
          <w:tcPr>
            <w:tcW w:w="66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b w:val="1"/>
                <w:bCs w:val="1"/>
                <w:color w:val="auto"/>
              </w:rPr>
              <w:t>2022</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jc w:val="right"/>
              <w:ind w:right="552"/>
              <w:spacing w:after="0"/>
              <w:rPr>
                <w:sz w:val="20"/>
                <w:szCs w:val="20"/>
                <w:color w:val="auto"/>
              </w:rPr>
            </w:pPr>
            <w:r>
              <w:rPr>
                <w:rFonts w:ascii="Arial" w:cs="Arial" w:eastAsia="Arial" w:hAnsi="Arial"/>
                <w:sz w:val="11"/>
                <w:szCs w:val="11"/>
                <w:b w:val="1"/>
                <w:bCs w:val="1"/>
                <w:color w:val="auto"/>
                <w:w w:val="97"/>
              </w:rPr>
              <w:t>2021</w:t>
            </w:r>
          </w:p>
        </w:tc>
        <w:tc>
          <w:tcPr>
            <w:tcW w:w="100" w:type="dxa"/>
            <w:vAlign w:val="bottom"/>
          </w:tcPr>
          <w:p>
            <w:pPr>
              <w:spacing w:after="0"/>
              <w:rPr>
                <w:sz w:val="12"/>
                <w:szCs w:val="12"/>
                <w:color w:val="auto"/>
              </w:rPr>
            </w:pPr>
          </w:p>
        </w:tc>
      </w:tr>
      <w:tr>
        <w:trPr>
          <w:trHeight w:val="30"/>
        </w:trPr>
        <w:tc>
          <w:tcPr>
            <w:tcW w:w="664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183"/>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used in operating activities</w:t>
            </w:r>
          </w:p>
        </w:tc>
        <w:tc>
          <w:tcPr>
            <w:tcW w:w="880" w:type="dxa"/>
            <w:vAlign w:val="bottom"/>
            <w:tcBorders>
              <w:bottom w:val="single" w:sz="8" w:color="CFF0FC"/>
            </w:tcBorders>
            <w:shd w:val="clear" w:color="auto" w:fill="CFF0FC"/>
          </w:tcPr>
          <w:p>
            <w:pPr>
              <w:jc w:val="right"/>
              <w:ind w:right="734"/>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(94,631)</w:t>
            </w:r>
          </w:p>
        </w:tc>
        <w:tc>
          <w:tcPr>
            <w:tcW w:w="10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(75,443)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212"/>
        </w:trPr>
        <w:tc>
          <w:tcPr>
            <w:tcW w:w="664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(150,204)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73,699</w:t>
            </w:r>
          </w:p>
        </w:tc>
        <w:tc>
          <w:tcPr>
            <w:tcW w:w="100" w:type="dxa"/>
            <w:vAlign w:val="bottom"/>
          </w:tcPr>
          <w:p>
            <w:pPr>
              <w:spacing w:after="0"/>
              <w:rPr>
                <w:sz w:val="18"/>
                <w:szCs w:val="18"/>
                <w:color w:val="auto"/>
              </w:rPr>
            </w:pPr>
          </w:p>
        </w:tc>
      </w:tr>
      <w:tr>
        <w:trPr>
          <w:trHeight w:val="212"/>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8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226,854</w:t>
            </w: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2,527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3"/>
        </w:trPr>
        <w:tc>
          <w:tcPr>
            <w:tcW w:w="6640" w:type="dxa"/>
            <w:vAlign w:val="bottom"/>
          </w:tcPr>
          <w:p>
            <w:pPr>
              <w:ind w:left="180"/>
              <w:spacing w:after="0"/>
              <w:rPr>
                <w:sz w:val="20"/>
                <w:szCs w:val="20"/>
                <w:color w:val="auto"/>
              </w:rPr>
            </w:pPr>
            <w:r>
              <w:rPr>
                <w:rFonts w:ascii="Arial" w:cs="Arial" w:eastAsia="Arial" w:hAnsi="Arial"/>
                <w:sz w:val="14"/>
                <w:szCs w:val="14"/>
                <w:color w:val="auto"/>
              </w:rPr>
              <w:t>Net increase (decrease) in cash and cash equivalents</w:t>
            </w:r>
          </w:p>
        </w:tc>
        <w:tc>
          <w:tcPr>
            <w:tcW w:w="88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(17,981)</w:t>
            </w:r>
          </w:p>
        </w:tc>
        <w:tc>
          <w:tcPr>
            <w:tcW w:w="1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783</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Used in Operating Activities</w:t>
      </w:r>
    </w:p>
    <w:p>
      <w:pPr>
        <w:spacing w:after="0" w:line="157"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Net cash used in operating activities was $94.6 million for the year ended December 31, 2022 compared to $75.4 million for the year ended December 31, 2021. The increase in cash used in operating activities of $19.2 million between the year ended December 31, 2022 and 2021 was primarily due to an increase in our net loss of $26.1 million which was driven by an increase in operating expenses of $31.8 million.</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Provided by (Used in) Investing Activities</w:t>
      </w:r>
    </w:p>
    <w:p>
      <w:pPr>
        <w:spacing w:after="0" w:line="147" w:lineRule="exact"/>
        <w:rPr>
          <w:sz w:val="20"/>
          <w:szCs w:val="20"/>
          <w:color w:val="auto"/>
        </w:rPr>
      </w:pPr>
    </w:p>
    <w:p>
      <w:pPr>
        <w:ind w:right="160" w:firstLine="509"/>
        <w:spacing w:after="0" w:line="297" w:lineRule="auto"/>
        <w:rPr>
          <w:sz w:val="20"/>
          <w:szCs w:val="20"/>
          <w:color w:val="auto"/>
        </w:rPr>
      </w:pPr>
      <w:r>
        <w:rPr>
          <w:rFonts w:ascii="Arial" w:cs="Arial" w:eastAsia="Arial" w:hAnsi="Arial"/>
          <w:sz w:val="13"/>
          <w:szCs w:val="13"/>
          <w:color w:val="auto"/>
        </w:rPr>
        <w:t>Net cash used in investing activities during the year ended December 31, 2022 was $150.2 million compared to net cash provided by in investing activities of $73.7 million during the year ended December 31, 2021. The increase in cash used by investing activities of $223.9 million between the year ended December 31, 2022 and 2021 is primarily due to the investment purchases following our July 2022 public offering plus regular variation year over year regarding the timing of investment purchases versus maturities in our short-term investment portfolio.</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Cash Provided by Financing Activities</w:t>
      </w:r>
    </w:p>
    <w:p>
      <w:pPr>
        <w:spacing w:after="0" w:line="147" w:lineRule="exact"/>
        <w:rPr>
          <w:sz w:val="20"/>
          <w:szCs w:val="20"/>
          <w:color w:val="auto"/>
        </w:rPr>
      </w:pPr>
    </w:p>
    <w:p>
      <w:pPr>
        <w:ind w:right="100" w:firstLine="509"/>
        <w:spacing w:after="0" w:line="267" w:lineRule="auto"/>
        <w:rPr>
          <w:sz w:val="20"/>
          <w:szCs w:val="20"/>
          <w:color w:val="auto"/>
        </w:rPr>
      </w:pPr>
      <w:r>
        <w:rPr>
          <w:rFonts w:ascii="Arial" w:cs="Arial" w:eastAsia="Arial" w:hAnsi="Arial"/>
          <w:sz w:val="14"/>
          <w:szCs w:val="14"/>
          <w:color w:val="auto"/>
        </w:rPr>
        <w:t>Net cash provided by financing activities was $226.9 million during the year ended December 31, 2022 as compared to $2.5 million during the year ended December 31, 2021. The increase in cash provided by financing activities of $224.3 million between the year ended December 31, 2022 and 2021 is attributable to the July 2022 public offering and term loan entered into under the Oxford Loan Agreement.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During the periods presented, we did not have, nor do we currently have, any off-balance sheet arrangements or holdings in any variable interest entities.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Material Cash Requirements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our material cash requirements as of December 31, 2022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Payments Due by Period</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30"/>
        </w:trPr>
        <w:tc>
          <w:tcPr>
            <w:tcW w:w="34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2"/>
        </w:trPr>
        <w:tc>
          <w:tcPr>
            <w:tcW w:w="3480" w:type="dxa"/>
            <w:vAlign w:val="bottom"/>
          </w:tcPr>
          <w:p>
            <w:pPr>
              <w:spacing w:after="0"/>
              <w:rPr>
                <w:sz w:val="11"/>
                <w:szCs w:val="11"/>
                <w:color w:val="auto"/>
              </w:rPr>
            </w:pPr>
          </w:p>
        </w:tc>
        <w:tc>
          <w:tcPr>
            <w:tcW w:w="1040" w:type="dxa"/>
            <w:vAlign w:val="bottom"/>
          </w:tcPr>
          <w:p>
            <w:pPr>
              <w:jc w:val="right"/>
              <w:ind w:right="16"/>
              <w:spacing w:after="0"/>
              <w:rPr>
                <w:sz w:val="20"/>
                <w:szCs w:val="20"/>
                <w:color w:val="auto"/>
              </w:rPr>
            </w:pPr>
            <w:r>
              <w:rPr>
                <w:rFonts w:ascii="Arial" w:cs="Arial" w:eastAsia="Arial" w:hAnsi="Arial"/>
                <w:sz w:val="11"/>
                <w:szCs w:val="11"/>
                <w:b w:val="1"/>
                <w:bCs w:val="1"/>
                <w:color w:val="auto"/>
              </w:rPr>
              <w:t>Less than</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2"/>
          </w:tcPr>
          <w:p>
            <w:pPr>
              <w:ind w:left="260"/>
              <w:spacing w:after="0"/>
              <w:rPr>
                <w:sz w:val="20"/>
                <w:szCs w:val="20"/>
                <w:color w:val="auto"/>
              </w:rPr>
            </w:pPr>
            <w:r>
              <w:rPr>
                <w:rFonts w:ascii="Arial" w:cs="Arial" w:eastAsia="Arial" w:hAnsi="Arial"/>
                <w:sz w:val="11"/>
                <w:szCs w:val="11"/>
                <w:b w:val="1"/>
                <w:bCs w:val="1"/>
                <w:color w:val="auto"/>
              </w:rPr>
              <w:t>1 to 3</w:t>
            </w:r>
          </w:p>
        </w:tc>
        <w:tc>
          <w:tcPr>
            <w:tcW w:w="120" w:type="dxa"/>
            <w:vAlign w:val="bottom"/>
          </w:tcPr>
          <w:p>
            <w:pPr>
              <w:spacing w:after="0"/>
              <w:rPr>
                <w:sz w:val="11"/>
                <w:szCs w:val="11"/>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7"/>
              </w:rPr>
              <w:t>3 to 5</w:t>
            </w:r>
          </w:p>
        </w:tc>
        <w:tc>
          <w:tcPr>
            <w:tcW w:w="280" w:type="dxa"/>
            <w:vAlign w:val="bottom"/>
          </w:tcPr>
          <w:p>
            <w:pPr>
              <w:spacing w:after="0"/>
              <w:rPr>
                <w:sz w:val="11"/>
                <w:szCs w:val="11"/>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More Than</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7"/>
        </w:trPr>
        <w:tc>
          <w:tcPr>
            <w:tcW w:w="3480" w:type="dxa"/>
            <w:vAlign w:val="bottom"/>
          </w:tcPr>
          <w:p>
            <w:pPr>
              <w:spacing w:after="0"/>
              <w:rPr>
                <w:sz w:val="12"/>
                <w:szCs w:val="12"/>
                <w:color w:val="auto"/>
              </w:rPr>
            </w:pPr>
          </w:p>
        </w:tc>
        <w:tc>
          <w:tcPr>
            <w:tcW w:w="1040" w:type="dxa"/>
            <w:vAlign w:val="bottom"/>
          </w:tcPr>
          <w:p>
            <w:pPr>
              <w:jc w:val="right"/>
              <w:ind w:right="76"/>
              <w:spacing w:after="0"/>
              <w:rPr>
                <w:sz w:val="20"/>
                <w:szCs w:val="20"/>
                <w:color w:val="auto"/>
              </w:rPr>
            </w:pPr>
            <w:r>
              <w:rPr>
                <w:rFonts w:ascii="Arial" w:cs="Arial" w:eastAsia="Arial" w:hAnsi="Arial"/>
                <w:sz w:val="11"/>
                <w:szCs w:val="11"/>
                <w:b w:val="1"/>
                <w:bCs w:val="1"/>
                <w:color w:val="auto"/>
              </w:rPr>
              <w:t>1 Year</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ind w:left="260"/>
              <w:spacing w:after="0"/>
              <w:rPr>
                <w:sz w:val="20"/>
                <w:szCs w:val="20"/>
                <w:color w:val="auto"/>
              </w:rPr>
            </w:pPr>
            <w:r>
              <w:rPr>
                <w:rFonts w:ascii="Arial" w:cs="Arial" w:eastAsia="Arial" w:hAnsi="Arial"/>
                <w:sz w:val="11"/>
                <w:szCs w:val="11"/>
                <w:b w:val="1"/>
                <w:bCs w:val="1"/>
                <w:color w:val="auto"/>
              </w:rPr>
              <w:t>Years</w:t>
            </w:r>
          </w:p>
        </w:tc>
        <w:tc>
          <w:tcPr>
            <w:tcW w:w="120" w:type="dxa"/>
            <w:vAlign w:val="bottom"/>
          </w:tcPr>
          <w:p>
            <w:pPr>
              <w:spacing w:after="0"/>
              <w:rPr>
                <w:sz w:val="12"/>
                <w:szCs w:val="12"/>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Years</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1"/>
              </w:rPr>
              <w:t>5 Years</w:t>
            </w:r>
          </w:p>
        </w:tc>
        <w:tc>
          <w:tcPr>
            <w:tcW w:w="340" w:type="dxa"/>
            <w:vAlign w:val="bottom"/>
          </w:tcPr>
          <w:p>
            <w:pPr>
              <w:spacing w:after="0"/>
              <w:rPr>
                <w:sz w:val="12"/>
                <w:szCs w:val="12"/>
                <w:color w:val="auto"/>
              </w:rPr>
            </w:pPr>
          </w:p>
        </w:tc>
        <w:tc>
          <w:tcPr>
            <w:tcW w:w="1140" w:type="dxa"/>
            <w:vAlign w:val="bottom"/>
          </w:tcPr>
          <w:p>
            <w:pPr>
              <w:jc w:val="right"/>
              <w:ind w:right="554"/>
              <w:spacing w:after="0"/>
              <w:rPr>
                <w:sz w:val="20"/>
                <w:szCs w:val="20"/>
                <w:color w:val="auto"/>
              </w:rPr>
            </w:pPr>
            <w:r>
              <w:rPr>
                <w:rFonts w:ascii="Arial" w:cs="Arial" w:eastAsia="Arial" w:hAnsi="Arial"/>
                <w:sz w:val="11"/>
                <w:szCs w:val="11"/>
                <w:b w:val="1"/>
                <w:bCs w:val="1"/>
                <w:color w:val="auto"/>
              </w:rPr>
              <w:t>Total</w:t>
            </w:r>
          </w:p>
        </w:tc>
      </w:tr>
      <w:tr>
        <w:trPr>
          <w:trHeight w:val="30"/>
        </w:trPr>
        <w:tc>
          <w:tcPr>
            <w:tcW w:w="348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3"/>
        </w:trPr>
        <w:tc>
          <w:tcPr>
            <w:tcW w:w="3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Operating lease</w:t>
            </w:r>
          </w:p>
        </w:tc>
        <w:tc>
          <w:tcPr>
            <w:tcW w:w="1040" w:type="dxa"/>
            <w:vAlign w:val="bottom"/>
            <w:tcBorders>
              <w:bottom w:val="single" w:sz="8" w:color="CFF0FC"/>
            </w:tcBorders>
            <w:shd w:val="clear" w:color="auto" w:fill="CFF0FC"/>
          </w:tcPr>
          <w:p>
            <w:pPr>
              <w:jc w:val="right"/>
              <w:ind w:right="896"/>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2,836</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3,624</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jc w:val="right"/>
              <w:ind w:right="1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FF0FC"/>
            </w:tcBorders>
            <w:gridSpan w:val="2"/>
            <w:shd w:val="clear" w:color="auto" w:fill="CFF0FC"/>
          </w:tcPr>
          <w:p>
            <w:pPr>
              <w:ind w:left="10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FF0FC"/>
            </w:tcBorders>
            <w:shd w:val="clear" w:color="auto" w:fill="CFF0FC"/>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6,460</w:t>
            </w:r>
          </w:p>
        </w:tc>
      </w:tr>
      <w:tr>
        <w:trPr>
          <w:trHeight w:val="181"/>
        </w:trPr>
        <w:tc>
          <w:tcPr>
            <w:tcW w:w="3480" w:type="dxa"/>
            <w:vAlign w:val="bottom"/>
          </w:tcPr>
          <w:p>
            <w:pPr>
              <w:ind w:left="180"/>
              <w:spacing w:after="0"/>
              <w:rPr>
                <w:sz w:val="20"/>
                <w:szCs w:val="20"/>
                <w:color w:val="auto"/>
              </w:rPr>
            </w:pPr>
            <w:r>
              <w:rPr>
                <w:rFonts w:ascii="Arial" w:cs="Arial" w:eastAsia="Arial" w:hAnsi="Arial"/>
                <w:sz w:val="14"/>
                <w:szCs w:val="14"/>
                <w:color w:val="auto"/>
              </w:rPr>
              <w:t>Total obligations</w:t>
            </w:r>
          </w:p>
        </w:tc>
        <w:tc>
          <w:tcPr>
            <w:tcW w:w="1040" w:type="dxa"/>
            <w:vAlign w:val="bottom"/>
            <w:tcBorders>
              <w:top w:val="single" w:sz="8" w:color="auto"/>
            </w:tcBorders>
          </w:tcPr>
          <w:p>
            <w:pPr>
              <w:jc w:val="right"/>
              <w:ind w:right="896"/>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2,836</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3,624</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6,460</w:t>
            </w:r>
          </w:p>
        </w:tc>
      </w:tr>
      <w:tr>
        <w:trPr>
          <w:trHeight w:val="22"/>
        </w:trPr>
        <w:tc>
          <w:tcPr>
            <w:tcW w:w="3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509"/>
        <w:spacing w:after="0" w:line="267" w:lineRule="auto"/>
        <w:rPr>
          <w:sz w:val="20"/>
          <w:szCs w:val="20"/>
          <w:color w:val="auto"/>
        </w:rPr>
      </w:pPr>
      <w:r>
        <w:rPr>
          <w:rFonts w:ascii="Arial" w:cs="Arial" w:eastAsia="Arial" w:hAnsi="Arial"/>
          <w:sz w:val="14"/>
          <w:szCs w:val="14"/>
          <w:color w:val="auto"/>
        </w:rPr>
        <w:t>We enter into contracts in the normal course of business with third-party contract organizations for clinical trials, non-clinical studies and testing, manufacturing and other services and products. These contracts generally provide for termination following a certain period after notice and therefore we believe that our cancellable obligations under these agreements are not material and they are not included in the table above.</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have not included milestone or royalty payments or other contractual payment obligations in the table above if the timing and amount of such obligations are unknown or uncertain.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Polices and Estimates</w:t>
      </w:r>
    </w:p>
    <w:p>
      <w:pPr>
        <w:spacing w:after="0" w:line="151" w:lineRule="exact"/>
        <w:rPr>
          <w:sz w:val="20"/>
          <w:szCs w:val="20"/>
          <w:color w:val="auto"/>
        </w:rPr>
      </w:pPr>
    </w:p>
    <w:p>
      <w:pPr>
        <w:ind w:right="320" w:firstLine="509"/>
        <w:spacing w:after="0" w:line="281" w:lineRule="auto"/>
        <w:rPr>
          <w:sz w:val="20"/>
          <w:szCs w:val="20"/>
          <w:color w:val="auto"/>
        </w:rPr>
      </w:pPr>
      <w:r>
        <w:rPr>
          <w:rFonts w:ascii="Arial" w:cs="Arial" w:eastAsia="Arial" w:hAnsi="Arial"/>
          <w:sz w:val="14"/>
          <w:szCs w:val="14"/>
          <w:color w:val="auto"/>
        </w:rPr>
        <w:t>Our management’s discussion and analysis of our financial condition and results of operations is based on our financial statements, which have been prepared in accordance with United States generally accepted accounting principles.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25" w:lineRule="exact"/>
        <w:rPr>
          <w:sz w:val="20"/>
          <w:szCs w:val="20"/>
          <w:color w:val="auto"/>
        </w:rPr>
      </w:pPr>
    </w:p>
    <w:p>
      <w:pPr>
        <w:ind w:right="580" w:firstLine="509"/>
        <w:spacing w:after="0" w:line="281" w:lineRule="auto"/>
        <w:rPr>
          <w:sz w:val="20"/>
          <w:szCs w:val="20"/>
          <w:color w:val="auto"/>
        </w:rPr>
      </w:pPr>
      <w:r>
        <w:rPr>
          <w:rFonts w:ascii="Arial" w:cs="Arial" w:eastAsia="Arial" w:hAnsi="Arial"/>
          <w:sz w:val="14"/>
          <w:szCs w:val="14"/>
          <w:color w:val="auto"/>
        </w:rPr>
        <w:t>While our significant accounting policies are described in more detail in Note 2 to our financial statements appearing elsewhere in this Annual Report, we believe that the following accounting policies are those most critical to the judgments and estimates used in the preparation of our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47" w:lineRule="exact"/>
        <w:rPr>
          <w:sz w:val="20"/>
          <w:szCs w:val="20"/>
          <w:color w:val="auto"/>
        </w:rPr>
      </w:pPr>
    </w:p>
    <w:p>
      <w:pPr>
        <w:ind w:right="80" w:firstLine="509"/>
        <w:spacing w:after="0" w:line="257" w:lineRule="auto"/>
        <w:rPr>
          <w:sz w:val="20"/>
          <w:szCs w:val="20"/>
          <w:color w:val="auto"/>
        </w:rPr>
      </w:pPr>
      <w:r>
        <w:rPr>
          <w:rFonts w:ascii="Arial" w:cs="Arial" w:eastAsia="Arial" w:hAnsi="Arial"/>
          <w:sz w:val="14"/>
          <w:szCs w:val="14"/>
          <w:color w:val="auto"/>
        </w:rPr>
        <w:t xml:space="preserve">As of December 31, 2022, all of our revenue to date has been generated from the Novartis Agreement. We recognize revenue when our customer obtains control of promised goods or services, in an amount that reflects the consideration which we expect to receive in exchange for those goods or services. To determine the appropriate amount of revenue to be recognized for arrangements determined to be within the scope of Accounting Standards Codification Topic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("Topic 606") we perform the following five steps: (i) identification of the contract(s) with the customer, (ii) identification 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we satisfy each performance obligation. We only apply the five-step model to contracts when it is probable that we will collect the consideration we are entitled to in exchange for the goods or services we transfer to our customer.</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Identification of the Contracts with the Customers</w:t>
      </w:r>
    </w:p>
    <w:p>
      <w:pPr>
        <w:spacing w:after="0" w:line="147" w:lineRule="exact"/>
        <w:rPr>
          <w:sz w:val="20"/>
          <w:szCs w:val="20"/>
          <w:color w:val="auto"/>
        </w:rPr>
      </w:pPr>
    </w:p>
    <w:p>
      <w:pPr>
        <w:ind w:right="520" w:firstLine="509"/>
        <w:spacing w:after="0" w:line="281" w:lineRule="auto"/>
        <w:rPr>
          <w:sz w:val="20"/>
          <w:szCs w:val="20"/>
          <w:color w:val="auto"/>
        </w:rPr>
      </w:pPr>
      <w:r>
        <w:rPr>
          <w:rFonts w:ascii="Arial" w:cs="Arial" w:eastAsia="Arial" w:hAnsi="Arial"/>
          <w:sz w:val="14"/>
          <w:szCs w:val="14"/>
          <w:color w:val="auto"/>
        </w:rPr>
        <w:t>We evaluate every contract to determine whether it in its entirety or in part represent a contract with a customer, or a collaboration agreement and, based on this determination, apply appropriate accounting guidance.</w:t>
      </w:r>
    </w:p>
    <w:p>
      <w:pPr>
        <w:spacing w:after="0" w:line="100" w:lineRule="exact"/>
        <w:rPr>
          <w:sz w:val="20"/>
          <w:szCs w:val="20"/>
          <w:color w:val="auto"/>
        </w:rPr>
      </w:pPr>
    </w:p>
    <w:p>
      <w:pPr>
        <w:ind w:right="20" w:firstLine="509"/>
        <w:spacing w:after="0" w:line="262" w:lineRule="auto"/>
        <w:rPr>
          <w:sz w:val="20"/>
          <w:szCs w:val="20"/>
          <w:color w:val="auto"/>
        </w:rPr>
      </w:pPr>
      <w:r>
        <w:rPr>
          <w:rFonts w:ascii="Arial" w:cs="Arial" w:eastAsia="Arial" w:hAnsi="Arial"/>
          <w:sz w:val="14"/>
          <w:szCs w:val="14"/>
          <w:color w:val="auto"/>
        </w:rPr>
        <w:t>We account for a contract with a customer that is within the scope of Topic 606 when all of the following criteria are met: (i) the arrangement has been approved by the parties and the parties are committed to perform their respective obligations, (ii) each party’s rights regarding the goods or services to be transferred can be identified, (iii) the payment terms for the goods or services to be transferred can be identified, (iv) the arrangement has commercial substance and (v) collection of substantially all of the consideration to which we will be entitled in exchange for the goods or services that will be transferred to the customer is probable.</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Identification of the Performance Obligations</w:t>
      </w:r>
    </w:p>
    <w:p>
      <w:pPr>
        <w:spacing w:after="0" w:line="147" w:lineRule="exact"/>
        <w:rPr>
          <w:sz w:val="20"/>
          <w:szCs w:val="20"/>
          <w:color w:val="auto"/>
        </w:rPr>
      </w:pPr>
    </w:p>
    <w:p>
      <w:pPr>
        <w:ind w:firstLine="509"/>
        <w:spacing w:after="0" w:line="279" w:lineRule="auto"/>
        <w:rPr>
          <w:sz w:val="20"/>
          <w:szCs w:val="20"/>
          <w:color w:val="auto"/>
        </w:rPr>
      </w:pPr>
      <w:r>
        <w:rPr>
          <w:rFonts w:ascii="Arial" w:cs="Arial" w:eastAsia="Arial" w:hAnsi="Arial"/>
          <w:sz w:val="13"/>
          <w:szCs w:val="13"/>
          <w:color w:val="auto"/>
        </w:rPr>
        <w:t>The promised goods or services in our collaboration and option arrangements consist of license and research and development services. The arrangements also have options for additional items (i.e., license rights). Options are considered to be marketing offers and are to be accounted for as separate contracts when the customer elects such options, unless we determine the option provides a material right which would not be provided without entering into the contract. The determination as to whether such options are material rights requires significant management judgment, and management considers factors such as other similar arrangements, market data and the terms of the contractual arrangement to make such conclusion. Performance obligations are promised goods or services in a contract to transfer a distinct good or service to the customer.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we consider factors such as the stage of development of the underlying intellectual property, the capabilities of our customer to develop the intellectual property on their own and whether the required expertise is readily available.</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Determination of the Transaction Price</w:t>
      </w:r>
    </w:p>
    <w:p>
      <w:pPr>
        <w:spacing w:after="0" w:line="157" w:lineRule="exact"/>
        <w:rPr>
          <w:sz w:val="20"/>
          <w:szCs w:val="20"/>
          <w:color w:val="auto"/>
        </w:rPr>
      </w:pPr>
    </w:p>
    <w:p>
      <w:pPr>
        <w:jc w:val="both"/>
        <w:ind w:right="180" w:firstLine="509"/>
        <w:spacing w:after="0" w:line="288" w:lineRule="auto"/>
        <w:rPr>
          <w:sz w:val="20"/>
          <w:szCs w:val="20"/>
          <w:color w:val="auto"/>
        </w:rPr>
      </w:pPr>
      <w:r>
        <w:rPr>
          <w:rFonts w:ascii="Arial" w:cs="Arial" w:eastAsia="Arial" w:hAnsi="Arial"/>
          <w:sz w:val="13"/>
          <w:szCs w:val="13"/>
          <w:color w:val="auto"/>
        </w:rPr>
        <w:t>We estimate the transaction price based on the amount of consideration we expect to receive for transferring the promised goods or services in the contract. The consideration may include both fixed consideration and variable consideration. At the inception of each arrangement that includes variable consideration, we evaluate the amount of the potential payments and the likelihood that the payments will be received. We utilize either the most likely amount method or expected value method to estimate the transaction price based on which method better predicts the amount of consideration expected to be received. If it is probable that a significant revenue reversal would not occur, the variable consideration is included in the transaction price.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40" w:firstLine="509"/>
        <w:spacing w:after="0" w:line="281" w:lineRule="auto"/>
        <w:rPr>
          <w:sz w:val="20"/>
          <w:szCs w:val="20"/>
          <w:color w:val="auto"/>
        </w:rPr>
      </w:pPr>
      <w:r>
        <w:rPr>
          <w:rFonts w:ascii="Arial" w:cs="Arial" w:eastAsia="Arial" w:hAnsi="Arial"/>
          <w:sz w:val="14"/>
          <w:szCs w:val="14"/>
          <w:color w:val="auto"/>
        </w:rPr>
        <w:t>All contingent future payments, which include research, development, regulatory, and sales-based royalty payments, have not been considered in the initial analysis, as they are contingent upon option(s) being exercised or are subject to significant risk of achievement.</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Allocation of Transaction Price</w:t>
      </w:r>
    </w:p>
    <w:p>
      <w:pPr>
        <w:spacing w:after="0" w:line="147" w:lineRule="exact"/>
        <w:rPr>
          <w:sz w:val="20"/>
          <w:szCs w:val="20"/>
          <w:color w:val="auto"/>
        </w:rPr>
      </w:pPr>
    </w:p>
    <w:p>
      <w:pPr>
        <w:ind w:right="120" w:firstLine="509"/>
        <w:spacing w:after="0" w:line="260" w:lineRule="auto"/>
        <w:rPr>
          <w:sz w:val="20"/>
          <w:szCs w:val="20"/>
          <w:color w:val="auto"/>
        </w:rPr>
      </w:pPr>
      <w:r>
        <w:rPr>
          <w:rFonts w:ascii="Arial" w:cs="Arial" w:eastAsia="Arial" w:hAnsi="Arial"/>
          <w:sz w:val="14"/>
          <w:szCs w:val="14"/>
          <w:color w:val="auto"/>
        </w:rPr>
        <w:t>We allocate the transaction price based on the estimated standalone selling price. We must develop assumptions that require judgment to determine the standalone selling price for each performance obligation identified in the contract. We utilize key assumptions to determine the standalone selling price, which may include other comparable transactions, pricing considered in negotiating the transaction, and the estimated costs. Certain variable consideration is allocated specifically to one or more performance obligations in a contract when the terms of the variable consideration relate to the satisfaction of the performance obligation and the resulting amounts allocated to each performance obligation are consistent with the amounts we would expect to receive for satisfying each performance obligation.</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Recognition of Revenue</w:t>
      </w:r>
    </w:p>
    <w:p>
      <w:pPr>
        <w:spacing w:after="0" w:line="157" w:lineRule="exact"/>
        <w:rPr>
          <w:sz w:val="20"/>
          <w:szCs w:val="20"/>
          <w:color w:val="auto"/>
        </w:rPr>
      </w:pPr>
    </w:p>
    <w:p>
      <w:pPr>
        <w:ind w:right="420" w:firstLine="509"/>
        <w:spacing w:after="0" w:line="267" w:lineRule="auto"/>
        <w:rPr>
          <w:sz w:val="20"/>
          <w:szCs w:val="20"/>
          <w:color w:val="auto"/>
        </w:rPr>
      </w:pPr>
      <w:r>
        <w:rPr>
          <w:rFonts w:ascii="Arial" w:cs="Arial" w:eastAsia="Arial" w:hAnsi="Arial"/>
          <w:sz w:val="14"/>
          <w:szCs w:val="14"/>
          <w:color w:val="auto"/>
        </w:rPr>
        <w:t>We recognize revenue at the point in time when distinct, functional licenses are transferred to the licensee and/or over the period of time which we perform research and development services. We utilize a cost-based input method to measure proportional performance, as such costs have direct relationship between our effort and the progress made towards satisfying its performance obligations to Novartis.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Accrued and Prepaid Research and Development Expenses</w:t>
      </w:r>
    </w:p>
    <w:p>
      <w:pPr>
        <w:spacing w:after="0" w:line="94" w:lineRule="exact"/>
        <w:rPr>
          <w:sz w:val="20"/>
          <w:szCs w:val="20"/>
          <w:color w:val="auto"/>
        </w:rPr>
      </w:pPr>
    </w:p>
    <w:p>
      <w:pPr>
        <w:ind w:right="200" w:firstLine="509"/>
        <w:spacing w:after="0" w:line="284" w:lineRule="auto"/>
        <w:rPr>
          <w:sz w:val="20"/>
          <w:szCs w:val="20"/>
          <w:color w:val="auto"/>
        </w:rPr>
      </w:pPr>
      <w:r>
        <w:rPr>
          <w:rFonts w:ascii="Arial" w:cs="Arial" w:eastAsia="Arial" w:hAnsi="Arial"/>
          <w:sz w:val="13"/>
          <w:szCs w:val="13"/>
          <w:color w:val="auto"/>
        </w:rPr>
        <w:t>We record accrued expenses for estimated costs of our research and development activities which include the conduct of clinical studies and preclinical studies by third-party service providers. We record the estimated costs of research and development activities based upon the estimated amount of services provided but not yet invoiced and include these costs in accrued liabilities in the balance sheets and within research and development expenses in the statements of operations and comprehensive loss. These costs are a significant component of our research and development expenses. We record accrued expenses for these costs based on factors such as estimates of the work completed and in accordance with agreements established with these third-party service providers. Any payments made in advance of services provided are recorded as prepaid assets, which are expensed as the contracted services are performed.</w:t>
      </w:r>
    </w:p>
    <w:p>
      <w:pPr>
        <w:spacing w:after="0" w:line="49"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We estimate the amount of work completed through review of detailed budgets and timelines included in our contracts and agreements, and update these estimates with information obtained from third-party service providers and internal personnel on a quarterly basis. We make significant judgments and estimates in determining the accrued and/or prepaid balance in each reporting period. As actual costs become known, we adjust our estimates. Our accrued expenses and prepaid research and development expenses are dependent, in part, upon the receipt of timely and accurate reporting from clinical research organizations, other third-party service providers and internal research and development personnel. If we under estimate or over-estimate the level of services performed or the costs of these services, our accrued expenses could differ from our estimates. For the periods presented, we have experienced no material differences between our accrued expenses and actual expenses.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Emerging Growth Company Status and JOBS Act Accounting Election</w:t>
      </w:r>
    </w:p>
    <w:p>
      <w:pPr>
        <w:spacing w:after="0" w:line="98" w:lineRule="exact"/>
        <w:rPr>
          <w:sz w:val="20"/>
          <w:szCs w:val="20"/>
          <w:color w:val="auto"/>
        </w:rPr>
      </w:pPr>
    </w:p>
    <w:p>
      <w:pPr>
        <w:ind w:right="40" w:firstLine="509"/>
        <w:spacing w:after="0" w:line="262" w:lineRule="auto"/>
        <w:rPr>
          <w:sz w:val="20"/>
          <w:szCs w:val="20"/>
          <w:color w:val="auto"/>
        </w:rPr>
      </w:pPr>
      <w:r>
        <w:rPr>
          <w:rFonts w:ascii="Arial" w:cs="Arial" w:eastAsia="Arial" w:hAnsi="Arial"/>
          <w:sz w:val="14"/>
          <w:szCs w:val="14"/>
          <w:color w:val="auto"/>
        </w:rPr>
        <w:t>Based on the market value of our common stock held by our non-affiliates as of June 30, 2021, we were considered a “large accelerated filer” on December 31, 2021 and thus lost, and will not regain, our status as an emerging growth company. Additionally, based on the market value of our common stock held by our non-affiliates as of June 30, 2022, we were considered a "non-accelerated filer" and “smaller reporting company” on December 31, 2022, and thus will not be subject to filing deadlines applicable to "accelerated filers," nor the requirements of Section 404(b)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information set forth under Note 2 to the financial statements under the caption “Recently Issued Accounting Pronouncements”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9100" w:type="dxa"/>
            <w:vAlign w:val="bottom"/>
            <w:gridSpan w:val="9"/>
          </w:tcPr>
          <w:p>
            <w:pPr>
              <w:spacing w:after="0"/>
              <w:rPr>
                <w:sz w:val="20"/>
                <w:szCs w:val="20"/>
                <w:color w:val="auto"/>
              </w:rPr>
            </w:pPr>
            <w:r>
              <w:rPr>
                <w:rFonts w:ascii="Arial" w:cs="Arial" w:eastAsia="Arial" w:hAnsi="Arial"/>
                <w:sz w:val="14"/>
                <w:szCs w:val="14"/>
                <w:color w:val="0000FF"/>
              </w:rPr>
              <w:t>Table of Contents</w:t>
            </w:r>
          </w:p>
        </w:tc>
        <w:tc>
          <w:tcPr>
            <w:tcW w:w="2180" w:type="dxa"/>
            <w:vAlign w:val="bottom"/>
          </w:tcPr>
          <w:p>
            <w:pPr>
              <w:spacing w:after="0"/>
              <w:rPr>
                <w:sz w:val="14"/>
                <w:szCs w:val="14"/>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786"/>
        </w:trPr>
        <w:tc>
          <w:tcPr>
            <w:tcW w:w="9100" w:type="dxa"/>
            <w:vAlign w:val="bottom"/>
            <w:gridSpan w:val="9"/>
          </w:tcPr>
          <w:p>
            <w:pPr>
              <w:spacing w:after="0"/>
              <w:rPr>
                <w:sz w:val="20"/>
                <w:szCs w:val="20"/>
                <w:color w:val="auto"/>
              </w:rPr>
            </w:pPr>
            <w:r>
              <w:rPr>
                <w:rFonts w:ascii="Arial" w:cs="Arial" w:eastAsia="Arial" w:hAnsi="Arial"/>
                <w:sz w:val="14"/>
                <w:szCs w:val="14"/>
                <w:b w:val="1"/>
                <w:bCs w:val="1"/>
                <w:color w:val="auto"/>
              </w:rPr>
              <w:t>Item 8. Financial Statements and Supplementary Data.</w:t>
            </w:r>
          </w:p>
        </w:tc>
        <w:tc>
          <w:tcPr>
            <w:tcW w:w="218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ind w:left="40"/>
              <w:spacing w:after="0"/>
              <w:rPr>
                <w:sz w:val="20"/>
                <w:szCs w:val="20"/>
                <w:color w:val="auto"/>
              </w:rPr>
            </w:pPr>
            <w:r>
              <w:rPr>
                <w:rFonts w:ascii="Arial" w:cs="Arial" w:eastAsia="Arial" w:hAnsi="Arial"/>
                <w:sz w:val="14"/>
                <w:szCs w:val="14"/>
                <w:b w:val="1"/>
                <w:bCs w:val="1"/>
                <w:color w:val="auto"/>
              </w:rPr>
              <w:t>INDEX TO FINANCIAL STATEMENTS</w:t>
            </w:r>
          </w:p>
        </w:tc>
        <w:tc>
          <w:tcPr>
            <w:tcW w:w="21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520" w:type="dxa"/>
            <w:vAlign w:val="bottom"/>
            <w:tcBorders>
              <w:bottom w:val="single" w:sz="8" w:color="0E32E1"/>
            </w:tcBorders>
            <w:gridSpan w:val="5"/>
          </w:tcPr>
          <w:p>
            <w:pPr>
              <w:spacing w:after="0"/>
              <w:rPr>
                <w:sz w:val="20"/>
                <w:szCs w:val="20"/>
                <w:color w:val="auto"/>
              </w:rPr>
            </w:pPr>
            <w:r>
              <w:rPr>
                <w:rFonts w:ascii="Arial" w:cs="Arial" w:eastAsia="Arial" w:hAnsi="Arial"/>
                <w:sz w:val="14"/>
                <w:szCs w:val="14"/>
                <w:color w:val="0E32E1"/>
                <w:w w:val="93"/>
              </w:rPr>
              <w:t>Report of Independent Registered Public Accounting Firm (PCAOB ID No. 34)</w:t>
            </w:r>
          </w:p>
        </w:tc>
        <w:tc>
          <w:tcPr>
            <w:tcW w:w="4560" w:type="dxa"/>
            <w:vAlign w:val="bottom"/>
            <w:gridSpan w:val="3"/>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203"/>
        </w:trPr>
        <w:tc>
          <w:tcPr>
            <w:tcW w:w="20" w:type="dxa"/>
            <w:vAlign w:val="bottom"/>
          </w:tcPr>
          <w:p>
            <w:pPr>
              <w:spacing w:after="0"/>
              <w:rPr>
                <w:sz w:val="17"/>
                <w:szCs w:val="17"/>
                <w:color w:val="auto"/>
              </w:rPr>
            </w:pPr>
          </w:p>
        </w:tc>
        <w:tc>
          <w:tcPr>
            <w:tcW w:w="9080" w:type="dxa"/>
            <w:vAlign w:val="bottom"/>
            <w:gridSpan w:val="8"/>
          </w:tcPr>
          <w:p>
            <w:pPr>
              <w:spacing w:after="0"/>
              <w:rPr>
                <w:sz w:val="20"/>
                <w:szCs w:val="20"/>
                <w:color w:val="auto"/>
              </w:rPr>
            </w:pPr>
            <w:r>
              <w:rPr>
                <w:rFonts w:ascii="Arial" w:cs="Arial" w:eastAsia="Arial" w:hAnsi="Arial"/>
                <w:sz w:val="14"/>
                <w:szCs w:val="14"/>
                <w:color w:val="0000FF"/>
              </w:rPr>
              <w:t>Balance Sheets as of December 31, 2022 and 2021</w:t>
            </w:r>
          </w:p>
        </w:tc>
        <w:tc>
          <w:tcPr>
            <w:tcW w:w="218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20"/>
        </w:trPr>
        <w:tc>
          <w:tcPr>
            <w:tcW w:w="2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080" w:type="dxa"/>
            <w:vAlign w:val="bottom"/>
            <w:gridSpan w:val="8"/>
          </w:tcPr>
          <w:p>
            <w:pPr>
              <w:spacing w:after="0"/>
              <w:rPr>
                <w:sz w:val="20"/>
                <w:szCs w:val="20"/>
                <w:color w:val="auto"/>
              </w:rPr>
            </w:pPr>
            <w:r>
              <w:rPr>
                <w:rFonts w:ascii="Arial" w:cs="Arial" w:eastAsia="Arial" w:hAnsi="Arial"/>
                <w:sz w:val="14"/>
                <w:szCs w:val="14"/>
                <w:color w:val="0000FF"/>
              </w:rPr>
              <w:t>Statements of Operations and Comprehensive Loss for the Years ended December 31, 2022 and 2021</w:t>
            </w:r>
          </w:p>
        </w:tc>
        <w:tc>
          <w:tcPr>
            <w:tcW w:w="218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203"/>
        </w:trPr>
        <w:tc>
          <w:tcPr>
            <w:tcW w:w="20" w:type="dxa"/>
            <w:vAlign w:val="bottom"/>
          </w:tcPr>
          <w:p>
            <w:pPr>
              <w:spacing w:after="0"/>
              <w:rPr>
                <w:sz w:val="17"/>
                <w:szCs w:val="17"/>
                <w:color w:val="auto"/>
              </w:rPr>
            </w:pPr>
          </w:p>
        </w:tc>
        <w:tc>
          <w:tcPr>
            <w:tcW w:w="5720" w:type="dxa"/>
            <w:vAlign w:val="bottom"/>
            <w:tcBorders>
              <w:top w:val="single" w:sz="8" w:color="0000FF"/>
            </w:tcBorders>
            <w:gridSpan w:val="7"/>
          </w:tcPr>
          <w:p>
            <w:pPr>
              <w:spacing w:after="0"/>
              <w:rPr>
                <w:sz w:val="20"/>
                <w:szCs w:val="20"/>
                <w:color w:val="auto"/>
              </w:rPr>
            </w:pPr>
            <w:r>
              <w:rPr>
                <w:rFonts w:ascii="Arial" w:cs="Arial" w:eastAsia="Arial" w:hAnsi="Arial"/>
                <w:sz w:val="14"/>
                <w:szCs w:val="14"/>
                <w:color w:val="0000FF"/>
              </w:rPr>
              <w:t>Statements of Stockholders’ Equity for the Years ended December 31, 2022 and 2021</w:t>
            </w:r>
          </w:p>
        </w:tc>
        <w:tc>
          <w:tcPr>
            <w:tcW w:w="336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203"/>
        </w:trPr>
        <w:tc>
          <w:tcPr>
            <w:tcW w:w="20" w:type="dxa"/>
            <w:vAlign w:val="bottom"/>
          </w:tcPr>
          <w:p>
            <w:pPr>
              <w:spacing w:after="0"/>
              <w:rPr>
                <w:sz w:val="17"/>
                <w:szCs w:val="17"/>
                <w:color w:val="auto"/>
              </w:rPr>
            </w:pPr>
          </w:p>
        </w:tc>
        <w:tc>
          <w:tcPr>
            <w:tcW w:w="4840" w:type="dxa"/>
            <w:vAlign w:val="bottom"/>
            <w:tcBorders>
              <w:top w:val="single" w:sz="8" w:color="0000FF"/>
            </w:tcBorders>
            <w:gridSpan w:val="6"/>
          </w:tcPr>
          <w:p>
            <w:pPr>
              <w:spacing w:after="0"/>
              <w:rPr>
                <w:sz w:val="20"/>
                <w:szCs w:val="20"/>
                <w:color w:val="auto"/>
              </w:rPr>
            </w:pPr>
            <w:r>
              <w:rPr>
                <w:rFonts w:ascii="Arial" w:cs="Arial" w:eastAsia="Arial" w:hAnsi="Arial"/>
                <w:sz w:val="14"/>
                <w:szCs w:val="14"/>
                <w:color w:val="0000FF"/>
              </w:rPr>
              <w:t>Statements of Cash Flows for the Years ended December 31, 2022 and 2021</w:t>
            </w:r>
          </w:p>
        </w:tc>
        <w:tc>
          <w:tcPr>
            <w:tcW w:w="4240" w:type="dxa"/>
            <w:vAlign w:val="bottom"/>
            <w:gridSpan w:val="2"/>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03"/>
        </w:trPr>
        <w:tc>
          <w:tcPr>
            <w:tcW w:w="20" w:type="dxa"/>
            <w:vAlign w:val="bottom"/>
          </w:tcPr>
          <w:p>
            <w:pPr>
              <w:spacing w:after="0"/>
              <w:rPr>
                <w:sz w:val="17"/>
                <w:szCs w:val="17"/>
                <w:color w:val="auto"/>
              </w:rPr>
            </w:pPr>
          </w:p>
        </w:tc>
        <w:tc>
          <w:tcPr>
            <w:tcW w:w="17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4"/>
                <w:szCs w:val="14"/>
                <w:color w:val="0000FF"/>
                <w:w w:val="89"/>
              </w:rPr>
              <w:t>Notes to Financial Statements</w:t>
            </w:r>
          </w:p>
        </w:tc>
        <w:tc>
          <w:tcPr>
            <w:tcW w:w="2600" w:type="dxa"/>
            <w:vAlign w:val="bottom"/>
            <w:tcBorders>
              <w:top w:val="single" w:sz="8" w:color="0000FF"/>
            </w:tcBorders>
            <w:gridSpan w:val="2"/>
          </w:tcPr>
          <w:p>
            <w:pPr>
              <w:spacing w:after="0"/>
              <w:rPr>
                <w:sz w:val="17"/>
                <w:szCs w:val="17"/>
                <w:color w:val="auto"/>
              </w:rPr>
            </w:pPr>
          </w:p>
        </w:tc>
        <w:tc>
          <w:tcPr>
            <w:tcW w:w="4780" w:type="dxa"/>
            <w:vAlign w:val="bottom"/>
            <w:gridSpan w:val="4"/>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913"/>
        </w:trPr>
        <w:tc>
          <w:tcPr>
            <w:tcW w:w="5740" w:type="dxa"/>
            <w:vAlign w:val="bottom"/>
            <w:gridSpan w:val="8"/>
          </w:tcPr>
          <w:p>
            <w:pPr>
              <w:jc w:val="right"/>
              <w:ind w:right="20"/>
              <w:spacing w:after="0"/>
              <w:rPr>
                <w:sz w:val="20"/>
                <w:szCs w:val="20"/>
                <w:color w:val="auto"/>
              </w:rPr>
            </w:pPr>
            <w:r>
              <w:rPr>
                <w:rFonts w:ascii="Arial" w:cs="Arial" w:eastAsia="Arial" w:hAnsi="Arial"/>
                <w:sz w:val="14"/>
                <w:szCs w:val="14"/>
                <w:color w:val="auto"/>
              </w:rPr>
              <w:t>86</w:t>
            </w:r>
          </w:p>
        </w:tc>
        <w:tc>
          <w:tcPr>
            <w:tcW w:w="33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36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Pliant Therapeutics, Inc.</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51" w:lineRule="exact"/>
        <w:rPr>
          <w:sz w:val="20"/>
          <w:szCs w:val="20"/>
          <w:color w:val="auto"/>
        </w:rPr>
      </w:pPr>
    </w:p>
    <w:p>
      <w:pPr>
        <w:ind w:right="60"/>
        <w:spacing w:after="0" w:line="288" w:lineRule="auto"/>
        <w:rPr>
          <w:sz w:val="20"/>
          <w:szCs w:val="20"/>
          <w:color w:val="auto"/>
        </w:rPr>
      </w:pPr>
      <w:r>
        <w:rPr>
          <w:rFonts w:ascii="Arial" w:cs="Arial" w:eastAsia="Arial" w:hAnsi="Arial"/>
          <w:sz w:val="13"/>
          <w:szCs w:val="13"/>
          <w:color w:val="auto"/>
        </w:rPr>
        <w:t>We have audited the accompanying balance sheets of Pliant Therapeutics, Inc. (the "Company") as of December 31, 2022 and 2021, the related statements of operations and comprehensive loss, stockholders’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51"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right="340"/>
        <w:spacing w:after="0" w:line="262"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4" w:lineRule="exact"/>
        <w:rPr>
          <w:sz w:val="20"/>
          <w:szCs w:val="20"/>
          <w:color w:val="auto"/>
        </w:rPr>
      </w:pPr>
    </w:p>
    <w:p>
      <w:pPr>
        <w:ind w:right="160"/>
        <w:spacing w:after="0" w:line="331" w:lineRule="auto"/>
        <w:rPr>
          <w:sz w:val="20"/>
          <w:szCs w:val="20"/>
          <w:color w:val="auto"/>
        </w:rPr>
      </w:pPr>
      <w:r>
        <w:rPr>
          <w:rFonts w:ascii="Arial" w:cs="Arial" w:eastAsia="Arial" w:hAnsi="Arial"/>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w:t>
      </w:r>
    </w:p>
    <w:p>
      <w:pPr>
        <w:spacing w:after="0" w:line="151" w:lineRule="exact"/>
        <w:rPr>
          <w:sz w:val="20"/>
          <w:szCs w:val="20"/>
          <w:color w:val="auto"/>
        </w:rPr>
      </w:pPr>
    </w:p>
    <w:p>
      <w:pPr>
        <w:ind w:right="540"/>
        <w:spacing w:after="0" w:line="262" w:lineRule="auto"/>
        <w:rPr>
          <w:sz w:val="20"/>
          <w:szCs w:val="20"/>
          <w:color w:val="auto"/>
        </w:rPr>
      </w:pPr>
      <w:r>
        <w:rPr>
          <w:rFonts w:ascii="Arial" w:cs="Arial" w:eastAsia="Arial" w:hAnsi="Arial"/>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0"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b w:val="1"/>
          <w:bCs w:val="1"/>
          <w:color w:val="auto"/>
        </w:rPr>
        <w:t>Accrued Research and Development Liabilities and Prepaid Expenses and Other Current Assets – Accrued and Prepaid Research and Development Expenses — Refer to Notes 2 and 5 to the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Critical Audit Matter Description</w:t>
      </w:r>
    </w:p>
    <w:p>
      <w:pPr>
        <w:spacing w:after="0" w:line="157"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The Company records accrued expenses for costs of research and development activities which include the conduct of clinical studies and preclinical studies by third-party service providers, based upon the estimated amount of services provided but not yet invoiced. Any payments made in advance of services provided are recorded as prepaid assets, which are expensed as the contracted services are performed. The Company estimates the amount of work completed through review of detailed budgets and timelines included in its contracts and agreements, and updates these estimates with information obtained from third-party service providers and internal personnel on a quarterly basis. As of December 31, 2022, accrued research and development expenses were $11.2 million and prepaid research and development expenses were $3.4 million.</w:t>
      </w:r>
    </w:p>
    <w:p>
      <w:pPr>
        <w:spacing w:after="0" w:line="115" w:lineRule="exact"/>
        <w:rPr>
          <w:sz w:val="20"/>
          <w:szCs w:val="20"/>
          <w:color w:val="auto"/>
        </w:rPr>
      </w:pPr>
    </w:p>
    <w:p>
      <w:pPr>
        <w:ind w:right="440"/>
        <w:spacing w:after="0" w:line="321" w:lineRule="auto"/>
        <w:rPr>
          <w:sz w:val="20"/>
          <w:szCs w:val="20"/>
          <w:color w:val="auto"/>
        </w:rPr>
      </w:pPr>
      <w:r>
        <w:rPr>
          <w:rFonts w:ascii="Arial" w:cs="Arial" w:eastAsia="Arial" w:hAnsi="Arial"/>
          <w:sz w:val="13"/>
          <w:szCs w:val="13"/>
          <w:color w:val="auto"/>
        </w:rPr>
        <w:t>Given the significant judgments made by management in estimating the progress or stage of completion of the services, auditing the Company’s accrued and prepaid research and development expenses was especially challenging. Specifically, because the amount of accrued and prepaid research and development expenses is dependent on management’s receipt of</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20"/>
        <w:spacing w:after="0" w:line="321" w:lineRule="auto"/>
        <w:rPr>
          <w:sz w:val="20"/>
          <w:szCs w:val="20"/>
          <w:color w:val="auto"/>
        </w:rPr>
      </w:pPr>
      <w:r>
        <w:rPr>
          <w:rFonts w:ascii="Arial" w:cs="Arial" w:eastAsia="Arial" w:hAnsi="Arial"/>
          <w:sz w:val="13"/>
          <w:szCs w:val="13"/>
          <w:color w:val="auto"/>
        </w:rPr>
        <w:t>timely and accurate reporting from third-party service providers, management’s estimates of work completed as of the balance sheet date, and management’s estimates of the period over which this work will be performed, auditing accrued and prepaid research and development expenses required a high degree of auditor judgment and an increased extent of effort.</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How the Critical Audit Matter Was Addressed in the Audit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Our audit procedures related to the Company’s accrued and prepaid research and development expenses included the following, among others:</w:t>
      </w:r>
    </w:p>
    <w:p>
      <w:pPr>
        <w:spacing w:after="0" w:line="94" w:lineRule="exact"/>
        <w:rPr>
          <w:sz w:val="20"/>
          <w:szCs w:val="20"/>
          <w:color w:val="auto"/>
        </w:rPr>
      </w:pPr>
    </w:p>
    <w:p>
      <w:pPr>
        <w:ind w:left="1020" w:right="120" w:hanging="506"/>
        <w:spacing w:after="0" w:line="267" w:lineRule="auto"/>
        <w:tabs>
          <w:tab w:leader="none" w:pos="1016"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a sample of agreements and contracts, we read the related statement of work, purchase order, and inspected information the Company received from its third-party service providers. We tested the accuracy and completeness of the underlying information used in the estimates and evaluated the significant assumptions that are used by management to estimate the recorded amounts by performing the following procedures:</w:t>
      </w:r>
    </w:p>
    <w:p>
      <w:pPr>
        <w:spacing w:after="0" w:line="56" w:lineRule="exact"/>
        <w:rPr>
          <w:rFonts w:ascii="Arial" w:cs="Arial" w:eastAsia="Arial" w:hAnsi="Arial"/>
          <w:sz w:val="14"/>
          <w:szCs w:val="14"/>
          <w:color w:val="auto"/>
        </w:rPr>
      </w:pPr>
    </w:p>
    <w:p>
      <w:pPr>
        <w:ind w:left="1540" w:hanging="517"/>
        <w:spacing w:after="0" w:line="281" w:lineRule="auto"/>
        <w:tabs>
          <w:tab w:leader="none" w:pos="1537" w:val="left"/>
        </w:tabs>
        <w:numPr>
          <w:ilvl w:val="1"/>
          <w:numId w:val="54"/>
        </w:numPr>
        <w:rPr>
          <w:rFonts w:ascii="Arial" w:cs="Arial" w:eastAsia="Arial" w:hAnsi="Arial"/>
          <w:sz w:val="14"/>
          <w:szCs w:val="14"/>
          <w:color w:val="auto"/>
        </w:rPr>
      </w:pPr>
      <w:r>
        <w:rPr>
          <w:rFonts w:ascii="Arial" w:cs="Arial" w:eastAsia="Arial" w:hAnsi="Arial"/>
          <w:sz w:val="14"/>
          <w:szCs w:val="14"/>
          <w:color w:val="auto"/>
        </w:rPr>
        <w:t>Performed corroborating inquiries with the Company’s research and development personnel that oversee the preclinical and clinical studies to obtain information regarding the nature and extent of progress of preclinical and clinical studies.</w:t>
      </w:r>
    </w:p>
    <w:p>
      <w:pPr>
        <w:spacing w:after="0" w:line="47" w:lineRule="exact"/>
        <w:rPr>
          <w:rFonts w:ascii="Arial" w:cs="Arial" w:eastAsia="Arial" w:hAnsi="Arial"/>
          <w:sz w:val="14"/>
          <w:szCs w:val="14"/>
          <w:color w:val="auto"/>
        </w:rPr>
      </w:pPr>
    </w:p>
    <w:p>
      <w:pPr>
        <w:ind w:left="1540" w:right="40" w:hanging="517"/>
        <w:spacing w:after="0" w:line="281" w:lineRule="auto"/>
        <w:tabs>
          <w:tab w:leader="none" w:pos="1537" w:val="left"/>
        </w:tabs>
        <w:numPr>
          <w:ilvl w:val="1"/>
          <w:numId w:val="54"/>
        </w:numPr>
        <w:rPr>
          <w:rFonts w:ascii="Arial" w:cs="Arial" w:eastAsia="Arial" w:hAnsi="Arial"/>
          <w:sz w:val="14"/>
          <w:szCs w:val="14"/>
          <w:color w:val="auto"/>
        </w:rPr>
      </w:pPr>
      <w:r>
        <w:rPr>
          <w:rFonts w:ascii="Arial" w:cs="Arial" w:eastAsia="Arial" w:hAnsi="Arial"/>
          <w:sz w:val="14"/>
          <w:szCs w:val="14"/>
          <w:color w:val="auto"/>
        </w:rPr>
        <w:t>Obtained external written confirmations from the Company’s third-party service providers regarding the accuracy and completeness of contracted amounts and percentage of completion.</w:t>
      </w:r>
    </w:p>
    <w:p>
      <w:pPr>
        <w:spacing w:after="0" w:line="47" w:lineRule="exact"/>
        <w:rPr>
          <w:rFonts w:ascii="Arial" w:cs="Arial" w:eastAsia="Arial" w:hAnsi="Arial"/>
          <w:sz w:val="14"/>
          <w:szCs w:val="14"/>
          <w:color w:val="auto"/>
        </w:rPr>
      </w:pPr>
    </w:p>
    <w:p>
      <w:pPr>
        <w:ind w:left="1520" w:hanging="497"/>
        <w:spacing w:after="0"/>
        <w:tabs>
          <w:tab w:leader="none" w:pos="1520" w:val="left"/>
        </w:tabs>
        <w:numPr>
          <w:ilvl w:val="1"/>
          <w:numId w:val="54"/>
        </w:numPr>
        <w:rPr>
          <w:rFonts w:ascii="Arial" w:cs="Arial" w:eastAsia="Arial" w:hAnsi="Arial"/>
          <w:sz w:val="14"/>
          <w:szCs w:val="14"/>
          <w:color w:val="auto"/>
        </w:rPr>
      </w:pPr>
      <w:r>
        <w:rPr>
          <w:rFonts w:ascii="Arial" w:cs="Arial" w:eastAsia="Arial" w:hAnsi="Arial"/>
          <w:sz w:val="14"/>
          <w:szCs w:val="14"/>
          <w:color w:val="auto"/>
        </w:rPr>
        <w:t>Evaluated management’s judgments using the evidence obtained.</w:t>
      </w:r>
    </w:p>
    <w:p>
      <w:pPr>
        <w:spacing w:after="0" w:line="93" w:lineRule="exact"/>
        <w:rPr>
          <w:rFonts w:ascii="Arial" w:cs="Arial" w:eastAsia="Arial" w:hAnsi="Arial"/>
          <w:sz w:val="14"/>
          <w:szCs w:val="14"/>
          <w:color w:val="auto"/>
        </w:rPr>
      </w:pPr>
    </w:p>
    <w:p>
      <w:pPr>
        <w:ind w:left="1020" w:right="420" w:hanging="506"/>
        <w:spacing w:after="0" w:line="281" w:lineRule="auto"/>
        <w:tabs>
          <w:tab w:leader="none" w:pos="1016"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a sample of agreements and contracts, we obtained the corresponding invoices and evidence of payment to test the Company’s disbursements made to third-party service providers as of December 31, 2022.</w:t>
      </w:r>
    </w:p>
    <w:p>
      <w:pPr>
        <w:spacing w:after="0" w:line="47" w:lineRule="exact"/>
        <w:rPr>
          <w:rFonts w:ascii="Arial" w:cs="Arial" w:eastAsia="Arial" w:hAnsi="Arial"/>
          <w:sz w:val="14"/>
          <w:szCs w:val="14"/>
          <w:color w:val="auto"/>
        </w:rPr>
      </w:pPr>
    </w:p>
    <w:p>
      <w:pPr>
        <w:ind w:left="1020" w:hanging="506"/>
        <w:spacing w:after="0"/>
        <w:tabs>
          <w:tab w:leader="none" w:pos="10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We compared invoices received by the Company subsequent to December 31, 2022 to the accrued research and development expenses recognized by the Company as of that date.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March 9, 2023</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2018.</w:t>
      </w: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Pliant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number of shares and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ind w:left="180"/>
              <w:spacing w:after="0"/>
              <w:rPr>
                <w:sz w:val="20"/>
                <w:szCs w:val="20"/>
                <w:color w:val="auto"/>
              </w:rPr>
            </w:pPr>
            <w:r>
              <w:rPr>
                <w:rFonts w:ascii="Arial" w:cs="Arial" w:eastAsia="Arial" w:hAnsi="Arial"/>
                <w:sz w:val="11"/>
                <w:szCs w:val="11"/>
                <w:b w:val="1"/>
                <w:bCs w:val="1"/>
                <w:color w:val="auto"/>
              </w:rPr>
              <w:t>December 31,</w:t>
            </w:r>
          </w:p>
        </w:tc>
        <w:tc>
          <w:tcPr>
            <w:tcW w:w="240" w:type="dxa"/>
            <w:vAlign w:val="bottom"/>
          </w:tcPr>
          <w:p>
            <w:pPr>
              <w:spacing w:after="0"/>
              <w:rPr>
                <w:sz w:val="11"/>
                <w:szCs w:val="11"/>
                <w:color w:val="auto"/>
              </w:rPr>
            </w:pPr>
          </w:p>
        </w:tc>
        <w:tc>
          <w:tcPr>
            <w:tcW w:w="1240" w:type="dxa"/>
            <w:vAlign w:val="bottom"/>
          </w:tcPr>
          <w:p>
            <w:pPr>
              <w:jc w:val="right"/>
              <w:ind w:right="330"/>
              <w:spacing w:after="0"/>
              <w:rPr>
                <w:sz w:val="20"/>
                <w:szCs w:val="20"/>
                <w:color w:val="auto"/>
              </w:rPr>
            </w:pPr>
            <w:r>
              <w:rPr>
                <w:rFonts w:ascii="Arial" w:cs="Arial" w:eastAsia="Arial" w:hAnsi="Arial"/>
                <w:sz w:val="11"/>
                <w:szCs w:val="11"/>
                <w:b w:val="1"/>
                <w:bCs w:val="1"/>
                <w:color w:val="auto"/>
              </w:rPr>
              <w:t>December 31,</w:t>
            </w:r>
          </w:p>
        </w:tc>
      </w:tr>
      <w:tr>
        <w:trPr>
          <w:trHeight w:val="147"/>
        </w:trPr>
        <w:tc>
          <w:tcPr>
            <w:tcW w:w="8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50"/>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50"/>
              <w:spacing w:after="0"/>
              <w:rPr>
                <w:sz w:val="20"/>
                <w:szCs w:val="20"/>
                <w:color w:val="auto"/>
              </w:rPr>
            </w:pPr>
            <w:r>
              <w:rPr>
                <w:rFonts w:ascii="Arial" w:cs="Arial" w:eastAsia="Arial" w:hAnsi="Arial"/>
                <w:sz w:val="11"/>
                <w:szCs w:val="11"/>
                <w:b w:val="1"/>
                <w:bCs w:val="1"/>
                <w:color w:val="auto"/>
              </w:rPr>
              <w:t>2021</w:t>
            </w:r>
          </w:p>
        </w:tc>
      </w:tr>
      <w:tr>
        <w:trPr>
          <w:trHeight w:val="30"/>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
        </w:trPr>
        <w:tc>
          <w:tcPr>
            <w:tcW w:w="8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33,685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51,665</w:t>
            </w:r>
          </w:p>
        </w:tc>
      </w:tr>
      <w:tr>
        <w:trPr>
          <w:trHeight w:val="191"/>
        </w:trPr>
        <w:tc>
          <w:tcPr>
            <w:tcW w:w="8220" w:type="dxa"/>
            <w:vAlign w:val="bottom"/>
          </w:tcPr>
          <w:p>
            <w:pPr>
              <w:ind w:left="180"/>
              <w:spacing w:after="0"/>
              <w:rPr>
                <w:sz w:val="20"/>
                <w:szCs w:val="20"/>
                <w:color w:val="auto"/>
              </w:rPr>
            </w:pPr>
            <w:r>
              <w:rPr>
                <w:rFonts w:ascii="Arial" w:cs="Arial" w:eastAsia="Arial" w:hAnsi="Arial"/>
                <w:sz w:val="14"/>
                <w:szCs w:val="14"/>
                <w:color w:val="auto"/>
              </w:rPr>
              <w:t>Short-term investments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297,502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148,931</w:t>
            </w:r>
          </w:p>
        </w:tc>
      </w:tr>
      <w:tr>
        <w:trPr>
          <w:trHeight w:val="22"/>
        </w:trPr>
        <w:tc>
          <w:tcPr>
            <w:tcW w:w="8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1,998</w:t>
            </w:r>
          </w:p>
        </w:tc>
      </w:tr>
      <w:tr>
        <w:trPr>
          <w:trHeight w:val="191"/>
        </w:trPr>
        <w:tc>
          <w:tcPr>
            <w:tcW w:w="8220" w:type="dxa"/>
            <w:vAlign w:val="bottom"/>
          </w:tcPr>
          <w:p>
            <w:pPr>
              <w:ind w:left="180"/>
              <w:spacing w:after="0"/>
              <w:rPr>
                <w:sz w:val="20"/>
                <w:szCs w:val="20"/>
                <w:color w:val="auto"/>
              </w:rPr>
            </w:pPr>
            <w:r>
              <w:rPr>
                <w:rFonts w:ascii="Arial" w:cs="Arial" w:eastAsia="Arial" w:hAnsi="Arial"/>
                <w:sz w:val="14"/>
                <w:szCs w:val="14"/>
                <w:color w:val="auto"/>
              </w:rPr>
              <w:t>Tax credit receivable</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22"/>
        </w:trPr>
        <w:tc>
          <w:tcPr>
            <w:tcW w:w="8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 (Note 5)</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7,058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6,764</w:t>
            </w:r>
          </w:p>
        </w:tc>
      </w:tr>
      <w:tr>
        <w:trPr>
          <w:trHeight w:val="181"/>
        </w:trPr>
        <w:tc>
          <w:tcPr>
            <w:tcW w:w="8220" w:type="dxa"/>
            <w:vAlign w:val="bottom"/>
          </w:tcPr>
          <w:p>
            <w:pPr>
              <w:ind w:left="44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340,311</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209,441</w:t>
            </w:r>
          </w:p>
        </w:tc>
      </w:tr>
      <w:tr>
        <w:trPr>
          <w:trHeight w:val="22"/>
        </w:trPr>
        <w:tc>
          <w:tcPr>
            <w:tcW w:w="8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4,486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4,606</w:t>
            </w: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5,422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6,330</w:t>
            </w:r>
          </w:p>
        </w:tc>
      </w:tr>
      <w:tr>
        <w:trPr>
          <w:trHeight w:val="22"/>
        </w:trPr>
        <w:tc>
          <w:tcPr>
            <w:tcW w:w="8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838</w:t>
            </w:r>
          </w:p>
        </w:tc>
      </w:tr>
      <w:tr>
        <w:trPr>
          <w:trHeight w:val="181"/>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350,613</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221,215</w:t>
            </w:r>
          </w:p>
        </w:tc>
      </w:tr>
      <w:tr>
        <w:trPr>
          <w:trHeight w:val="22"/>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53"/>
        </w:trPr>
        <w:tc>
          <w:tcPr>
            <w:tcW w:w="8220" w:type="dxa"/>
            <w:vAlign w:val="bottom"/>
            <w:tcBorders>
              <w:bottom w:val="single" w:sz="8" w:color="CCEEFF"/>
            </w:tcBorders>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
        </w:trPr>
        <w:tc>
          <w:tcPr>
            <w:tcW w:w="8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2,971</w:t>
            </w:r>
          </w:p>
        </w:tc>
      </w:tr>
      <w:tr>
        <w:trPr>
          <w:trHeight w:val="212"/>
        </w:trPr>
        <w:tc>
          <w:tcPr>
            <w:tcW w:w="8220" w:type="dxa"/>
            <w:vAlign w:val="bottom"/>
          </w:tcPr>
          <w:p>
            <w:pPr>
              <w:ind w:left="180"/>
              <w:spacing w:after="0"/>
              <w:rPr>
                <w:sz w:val="20"/>
                <w:szCs w:val="20"/>
                <w:color w:val="auto"/>
              </w:rPr>
            </w:pPr>
            <w:r>
              <w:rPr>
                <w:rFonts w:ascii="Arial" w:cs="Arial" w:eastAsia="Arial" w:hAnsi="Arial"/>
                <w:sz w:val="14"/>
                <w:szCs w:val="14"/>
                <w:color w:val="auto"/>
              </w:rPr>
              <w:t>Accrued research and development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11,218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5,868</w:t>
            </w:r>
          </w:p>
        </w:tc>
      </w:tr>
      <w:tr>
        <w:trPr>
          <w:trHeight w:val="192"/>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Accrued and other liabilities (Note 6)</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8,658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6,123</w:t>
            </w:r>
          </w:p>
        </w:tc>
      </w:tr>
      <w:tr>
        <w:trPr>
          <w:trHeight w:val="191"/>
        </w:trPr>
        <w:tc>
          <w:tcPr>
            <w:tcW w:w="8220" w:type="dxa"/>
            <w:vAlign w:val="bottom"/>
          </w:tcPr>
          <w:p>
            <w:pPr>
              <w:ind w:left="180"/>
              <w:spacing w:after="0"/>
              <w:rPr>
                <w:sz w:val="20"/>
                <w:szCs w:val="20"/>
                <w:color w:val="auto"/>
              </w:rPr>
            </w:pPr>
            <w:r>
              <w:rPr>
                <w:rFonts w:ascii="Arial" w:cs="Arial" w:eastAsia="Arial" w:hAnsi="Arial"/>
                <w:sz w:val="14"/>
                <w:szCs w:val="14"/>
                <w:color w:val="auto"/>
              </w:rPr>
              <w:t>Lease liabilities, current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1,869</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23,913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16,831</w:t>
            </w:r>
          </w:p>
        </w:tc>
      </w:tr>
      <w:tr>
        <w:trPr>
          <w:trHeight w:val="191"/>
        </w:trPr>
        <w:tc>
          <w:tcPr>
            <w:tcW w:w="8220" w:type="dxa"/>
            <w:vAlign w:val="bottom"/>
          </w:tcPr>
          <w:p>
            <w:pPr>
              <w:ind w:left="180"/>
              <w:spacing w:after="0"/>
              <w:rPr>
                <w:sz w:val="20"/>
                <w:szCs w:val="20"/>
                <w:color w:val="auto"/>
              </w:rPr>
            </w:pPr>
            <w:r>
              <w:rPr>
                <w:rFonts w:ascii="Arial" w:cs="Arial" w:eastAsia="Arial" w:hAnsi="Arial"/>
                <w:sz w:val="14"/>
                <w:szCs w:val="14"/>
                <w:color w:val="auto"/>
              </w:rPr>
              <w:t>Lease liabilities, non-current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3,429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5,325</w:t>
            </w:r>
          </w:p>
        </w:tc>
      </w:tr>
      <w:tr>
        <w:trPr>
          <w:trHeight w:val="22"/>
        </w:trPr>
        <w:tc>
          <w:tcPr>
            <w:tcW w:w="8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Long-term debt (Note 7)</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9,929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220" w:type="dxa"/>
            <w:vAlign w:val="bottom"/>
          </w:tcPr>
          <w:p>
            <w:pPr>
              <w:ind w:left="520"/>
              <w:spacing w:after="0"/>
              <w:rPr>
                <w:sz w:val="20"/>
                <w:szCs w:val="20"/>
                <w:color w:val="auto"/>
              </w:rPr>
            </w:pPr>
            <w:r>
              <w:rPr>
                <w:rFonts w:ascii="Arial" w:cs="Arial" w:eastAsia="Arial" w:hAnsi="Arial"/>
                <w:sz w:val="14"/>
                <w:szCs w:val="14"/>
                <w:color w:val="auto"/>
              </w:rPr>
              <w:t>Total liabilities</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37,271</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22,156</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12)</w:t>
            </w: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
        </w:trPr>
        <w:tc>
          <w:tcPr>
            <w:tcW w:w="8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0"/>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2"/>
              </w:rPr>
              <w:t>Common stock, $0.0001 par value; 300,000,000 shares authorized at December 31, 2022 and 2021; and 48,941,254 and 36,083,301 shares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2"/>
        </w:trPr>
        <w:tc>
          <w:tcPr>
            <w:tcW w:w="82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issued and outstanding at December 31, 2022 and 2021, respectively;</w:t>
            </w: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1"/>
        </w:trPr>
        <w:tc>
          <w:tcPr>
            <w:tcW w:w="822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653,707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414,348</w:t>
            </w:r>
          </w:p>
        </w:tc>
      </w:tr>
      <w:tr>
        <w:trPr>
          <w:trHeight w:val="22"/>
        </w:trPr>
        <w:tc>
          <w:tcPr>
            <w:tcW w:w="8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Accumulated deficit</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(338,412)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(215,091)</w:t>
            </w:r>
          </w:p>
        </w:tc>
      </w:tr>
      <w:tr>
        <w:trPr>
          <w:trHeight w:val="191"/>
        </w:trPr>
        <w:tc>
          <w:tcPr>
            <w:tcW w:w="8220" w:type="dxa"/>
            <w:vAlign w:val="bottom"/>
          </w:tcPr>
          <w:p>
            <w:pPr>
              <w:ind w:left="18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(201)</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3"/>
        </w:trPr>
        <w:tc>
          <w:tcPr>
            <w:tcW w:w="82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313,342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199,059</w:t>
            </w:r>
          </w:p>
        </w:tc>
      </w:tr>
      <w:tr>
        <w:trPr>
          <w:trHeight w:val="181"/>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350,613</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221,215</w:t>
            </w:r>
          </w:p>
        </w:tc>
      </w:tr>
      <w:tr>
        <w:trPr>
          <w:trHeight w:val="22"/>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color w:val="auto"/>
        </w:rPr>
        <w:t>Pliant Therapeutics, Inc.</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color w:val="auto"/>
        </w:rPr>
        <w:t>Statements of Operations and Comprehensive Loss</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4"/>
          <w:szCs w:val="14"/>
          <w:i w:val="1"/>
          <w:iCs w:val="1"/>
          <w:color w:val="auto"/>
        </w:rPr>
        <w:t>(In thousands, except number of shares and per share amounts)</w:t>
      </w:r>
    </w:p>
    <w:p>
      <w:pPr>
        <w:spacing w:after="0" w:line="109" w:lineRule="exact"/>
        <w:rPr>
          <w:sz w:val="20"/>
          <w:szCs w:val="20"/>
          <w:color w:val="auto"/>
        </w:rPr>
      </w:pPr>
    </w:p>
    <w:tbl>
      <w:tblPr>
        <w:tblLayout w:type="fixed"/>
        <w:tblInd w:w="720" w:type="dxa"/>
        <w:tblCellMar>
          <w:top w:w="0" w:type="dxa"/>
          <w:left w:w="0" w:type="dxa"/>
          <w:bottom w:w="0" w:type="dxa"/>
          <w:right w:w="0" w:type="dxa"/>
        </w:tblCellMar>
      </w:tblPr>
      <w:tr>
        <w:trPr>
          <w:trHeight w:val="147"/>
        </w:trPr>
        <w:tc>
          <w:tcPr>
            <w:tcW w:w="6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571"/>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jc w:val="right"/>
              <w:ind w:right="550"/>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9,685</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7,572</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700" w:type="dxa"/>
            <w:vAlign w:val="bottom"/>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Research and development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(96,936)</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(77,549)</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00" w:type="dxa"/>
            <w:vAlign w:val="bottom"/>
          </w:tcPr>
          <w:p>
            <w:pPr>
              <w:ind w:left="160"/>
              <w:spacing w:after="0"/>
              <w:rPr>
                <w:sz w:val="20"/>
                <w:szCs w:val="20"/>
                <w:color w:val="auto"/>
              </w:rPr>
            </w:pPr>
            <w:r>
              <w:rPr>
                <w:rFonts w:ascii="Arial" w:cs="Arial" w:eastAsia="Arial" w:hAnsi="Arial"/>
                <w:sz w:val="14"/>
                <w:szCs w:val="14"/>
                <w:color w:val="auto"/>
              </w:rPr>
              <w:t>General and administrative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(39,949)</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(27,558)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(136,885)</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(105,107)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Arial" w:cs="Arial" w:eastAsia="Arial" w:hAnsi="Arial"/>
                <w:sz w:val="14"/>
                <w:szCs w:val="14"/>
                <w:color w:val="auto"/>
              </w:rPr>
              <w:t>Loss from operations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(127,200)</w:t>
            </w: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(97,535)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Interest and other income (expense), net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700" w:type="dxa"/>
            <w:vAlign w:val="bottom"/>
          </w:tcPr>
          <w:p>
            <w:pPr>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(123,321)</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(97,263)</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70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(123,321)</w:t>
            </w:r>
          </w:p>
        </w:tc>
        <w:tc>
          <w:tcPr>
            <w:tcW w:w="100" w:type="dxa"/>
            <w:vAlign w:val="bottom"/>
          </w:tcPr>
          <w:p>
            <w:pPr>
              <w:spacing w:after="0"/>
              <w:rPr>
                <w:sz w:val="16"/>
                <w:szCs w:val="16"/>
                <w:color w:val="auto"/>
              </w:rPr>
            </w:pPr>
          </w:p>
        </w:tc>
        <w:tc>
          <w:tcPr>
            <w:tcW w:w="620" w:type="dxa"/>
            <w:vAlign w:val="bottom"/>
          </w:tcPr>
          <w:p>
            <w:pPr>
              <w:jc w:val="right"/>
              <w:ind w:right="46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(97,263)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70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4"/>
                <w:szCs w:val="14"/>
                <w:color w:val="auto"/>
              </w:rPr>
              <w:t>Net loss per share, attributable to common stockholders:</w:t>
            </w: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700" w:type="dxa"/>
            <w:vAlign w:val="bottom"/>
          </w:tcPr>
          <w:p>
            <w:pPr>
              <w:ind w:left="160"/>
              <w:spacing w:after="0"/>
              <w:rPr>
                <w:sz w:val="20"/>
                <w:szCs w:val="20"/>
                <w:color w:val="auto"/>
              </w:rPr>
            </w:pPr>
            <w:r>
              <w:rPr>
                <w:rFonts w:ascii="Arial" w:cs="Arial" w:eastAsia="Arial" w:hAnsi="Arial"/>
                <w:sz w:val="14"/>
                <w:szCs w:val="14"/>
                <w:color w:val="auto"/>
              </w:rPr>
              <w:t>Basic</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6"/>
                <w:szCs w:val="16"/>
                <w:color w:val="auto"/>
              </w:rPr>
            </w:pPr>
          </w:p>
        </w:tc>
        <w:tc>
          <w:tcPr>
            <w:tcW w:w="620" w:type="dxa"/>
            <w:vAlign w:val="bottom"/>
          </w:tcPr>
          <w:p>
            <w:pPr>
              <w:jc w:val="right"/>
              <w:ind w:right="46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Shares used in computing net loss per share attributable to common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7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700" w:type="dxa"/>
            <w:vAlign w:val="bottom"/>
          </w:tcPr>
          <w:p>
            <w:pPr>
              <w:ind w:left="40"/>
              <w:spacing w:after="0"/>
              <w:rPr>
                <w:sz w:val="20"/>
                <w:szCs w:val="20"/>
                <w:color w:val="auto"/>
              </w:rPr>
            </w:pPr>
            <w:r>
              <w:rPr>
                <w:rFonts w:ascii="Arial" w:cs="Arial" w:eastAsia="Arial" w:hAnsi="Arial"/>
                <w:sz w:val="14"/>
                <w:szCs w:val="14"/>
                <w:color w:val="auto"/>
              </w:rPr>
              <w:t>stockholders: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42,015,908</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35,846,421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4"/>
                <w:szCs w:val="14"/>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7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Arial" w:cs="Arial" w:eastAsia="Arial" w:hAnsi="Arial"/>
                <w:sz w:val="14"/>
                <w:szCs w:val="14"/>
                <w:color w:val="auto"/>
              </w:rPr>
              <w:t>42,015,908</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jc w:val="right"/>
              <w:spacing w:after="0" w:line="153" w:lineRule="exact"/>
              <w:rPr>
                <w:sz w:val="20"/>
                <w:szCs w:val="20"/>
                <w:color w:val="auto"/>
              </w:rPr>
            </w:pPr>
            <w:r>
              <w:rPr>
                <w:rFonts w:ascii="Arial" w:cs="Arial" w:eastAsia="Arial" w:hAnsi="Arial"/>
                <w:sz w:val="14"/>
                <w:szCs w:val="14"/>
                <w:color w:val="auto"/>
              </w:rPr>
              <w:t>35,846,421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70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4"/>
                <w:szCs w:val="14"/>
                <w:color w:val="auto"/>
              </w:rPr>
              <w:t>Comprehensive loss:</w:t>
            </w: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700" w:type="dxa"/>
            <w:vAlign w:val="bottom"/>
          </w:tcPr>
          <w:p>
            <w:pPr>
              <w:ind w:left="18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(123,321)</w:t>
            </w:r>
          </w:p>
        </w:tc>
        <w:tc>
          <w:tcPr>
            <w:tcW w:w="100" w:type="dxa"/>
            <w:vAlign w:val="bottom"/>
          </w:tcPr>
          <w:p>
            <w:pPr>
              <w:spacing w:after="0"/>
              <w:rPr>
                <w:sz w:val="16"/>
                <w:szCs w:val="16"/>
                <w:color w:val="auto"/>
              </w:rPr>
            </w:pPr>
          </w:p>
        </w:tc>
        <w:tc>
          <w:tcPr>
            <w:tcW w:w="620" w:type="dxa"/>
            <w:vAlign w:val="bottom"/>
          </w:tcPr>
          <w:p>
            <w:pPr>
              <w:jc w:val="right"/>
              <w:ind w:right="46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(97,263)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00" w:type="dxa"/>
            <w:vAlign w:val="bottom"/>
          </w:tcPr>
          <w:p>
            <w:pPr>
              <w:ind w:left="160"/>
              <w:spacing w:after="0"/>
              <w:rPr>
                <w:sz w:val="20"/>
                <w:szCs w:val="20"/>
                <w:color w:val="auto"/>
              </w:rPr>
            </w:pPr>
            <w:r>
              <w:rPr>
                <w:rFonts w:ascii="Arial" w:cs="Arial" w:eastAsia="Arial" w:hAnsi="Arial"/>
                <w:sz w:val="14"/>
                <w:szCs w:val="14"/>
                <w:color w:val="auto"/>
              </w:rPr>
              <w:t>Net unrealized loss on short-term investments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(1,757)</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other comprehensive loss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(1,757)</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700" w:type="dxa"/>
            <w:vAlign w:val="bottom"/>
          </w:tcPr>
          <w:p>
            <w:pPr>
              <w:spacing w:after="0"/>
              <w:rPr>
                <w:sz w:val="20"/>
                <w:szCs w:val="20"/>
                <w:color w:val="auto"/>
              </w:rPr>
            </w:pPr>
            <w:r>
              <w:rPr>
                <w:rFonts w:ascii="Arial" w:cs="Arial" w:eastAsia="Arial" w:hAnsi="Arial"/>
                <w:sz w:val="14"/>
                <w:szCs w:val="14"/>
                <w:color w:val="auto"/>
              </w:rPr>
              <w:t>Comprehensive loss</w:t>
            </w:r>
          </w:p>
        </w:tc>
        <w:tc>
          <w:tcPr>
            <w:tcW w:w="34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(125,078)</w:t>
            </w:r>
          </w:p>
        </w:tc>
        <w:tc>
          <w:tcPr>
            <w:tcW w:w="100" w:type="dxa"/>
            <w:vAlign w:val="bottom"/>
          </w:tcPr>
          <w:p>
            <w:pPr>
              <w:spacing w:after="0"/>
              <w:rPr>
                <w:sz w:val="15"/>
                <w:szCs w:val="15"/>
                <w:color w:val="auto"/>
              </w:rPr>
            </w:pPr>
          </w:p>
        </w:tc>
        <w:tc>
          <w:tcPr>
            <w:tcW w:w="620" w:type="dxa"/>
            <w:vAlign w:val="bottom"/>
            <w:tcBorders>
              <w:top w:val="single" w:sz="8" w:color="auto"/>
            </w:tcBorders>
          </w:tcPr>
          <w:p>
            <w:pPr>
              <w:jc w:val="right"/>
              <w:ind w:right="46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(97,432)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520"/>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80"/>
          </w:cols>
          <w:pgMar w:left="300" w:top="129" w:right="101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at December 31, 2021</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Vesting of restricted stock awards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3"/>
          <w:szCs w:val="13"/>
          <w:color w:val="auto"/>
        </w:rPr>
        <w:t>Option exercises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3"/>
          <w:szCs w:val="13"/>
          <w:color w:val="auto"/>
        </w:rPr>
        <w:t>Stock-based compensation expense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unrealized loss on short-term investments</w:t>
      </w:r>
    </w:p>
    <w:p>
      <w:pPr>
        <w:spacing w:after="0" w:line="52" w:lineRule="exact"/>
        <w:rPr>
          <w:sz w:val="20"/>
          <w:szCs w:val="20"/>
          <w:color w:val="auto"/>
        </w:rPr>
      </w:pPr>
    </w:p>
    <w:p>
      <w:pPr>
        <w:ind w:left="140" w:hanging="126"/>
        <w:spacing w:after="0" w:line="257" w:lineRule="auto"/>
        <w:rPr>
          <w:sz w:val="20"/>
          <w:szCs w:val="20"/>
          <w:color w:val="auto"/>
        </w:rPr>
      </w:pPr>
      <w:r>
        <w:rPr>
          <w:rFonts w:ascii="Arial" w:cs="Arial" w:eastAsia="Arial" w:hAnsi="Arial"/>
          <w:sz w:val="13"/>
          <w:szCs w:val="13"/>
          <w:color w:val="auto"/>
        </w:rPr>
        <w:t>Common stock issued in a public offering, net of offering expenses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loss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at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380"/>
        <w:spacing w:after="0"/>
        <w:rPr>
          <w:sz w:val="20"/>
          <w:szCs w:val="20"/>
          <w:color w:val="auto"/>
        </w:rPr>
      </w:pPr>
      <w:r>
        <w:rPr>
          <w:rFonts w:ascii="Arial" w:cs="Arial" w:eastAsia="Arial" w:hAnsi="Arial"/>
          <w:sz w:val="14"/>
          <w:szCs w:val="14"/>
          <w:b w:val="1"/>
          <w:bCs w:val="1"/>
          <w:color w:val="auto"/>
        </w:rPr>
        <w:t>Pliant Therapeutics, Inc.</w:t>
      </w:r>
    </w:p>
    <w:p>
      <w:pPr>
        <w:spacing w:after="0" w:line="23" w:lineRule="exact"/>
        <w:rPr>
          <w:sz w:val="20"/>
          <w:szCs w:val="20"/>
          <w:color w:val="auto"/>
        </w:rPr>
      </w:pPr>
    </w:p>
    <w:p>
      <w:pPr>
        <w:jc w:val="center"/>
        <w:ind w:right="2380"/>
        <w:spacing w:after="0"/>
        <w:rPr>
          <w:sz w:val="20"/>
          <w:szCs w:val="20"/>
          <w:color w:val="auto"/>
        </w:rPr>
      </w:pPr>
      <w:r>
        <w:rPr>
          <w:rFonts w:ascii="Arial" w:cs="Arial" w:eastAsia="Arial" w:hAnsi="Arial"/>
          <w:sz w:val="14"/>
          <w:szCs w:val="14"/>
          <w:b w:val="1"/>
          <w:bCs w:val="1"/>
          <w:color w:val="auto"/>
        </w:rPr>
        <w:t>Statements of Stockholders’ Equity</w:t>
      </w:r>
    </w:p>
    <w:p>
      <w:pPr>
        <w:spacing w:after="0" w:line="9" w:lineRule="exact"/>
        <w:rPr>
          <w:sz w:val="20"/>
          <w:szCs w:val="20"/>
          <w:color w:val="auto"/>
        </w:rPr>
      </w:pPr>
    </w:p>
    <w:p>
      <w:pPr>
        <w:jc w:val="center"/>
        <w:ind w:right="2380"/>
        <w:spacing w:after="0"/>
        <w:rPr>
          <w:sz w:val="20"/>
          <w:szCs w:val="20"/>
          <w:color w:val="auto"/>
        </w:rPr>
      </w:pPr>
      <w:r>
        <w:rPr>
          <w:rFonts w:ascii="Arial" w:cs="Arial" w:eastAsia="Arial" w:hAnsi="Arial"/>
          <w:sz w:val="14"/>
          <w:szCs w:val="14"/>
          <w:i w:val="1"/>
          <w:iCs w:val="1"/>
          <w:color w:val="auto"/>
        </w:rPr>
        <w:t>(In thousands, except number of shares and per share amounts)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60" w:type="dxa"/>
            <w:vAlign w:val="bottom"/>
            <w:gridSpan w:val="3"/>
            <w:vMerge w:val="restart"/>
          </w:tcPr>
          <w:p>
            <w:pPr>
              <w:jc w:val="right"/>
              <w:ind w:right="42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76"/>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8"/>
        </w:trPr>
        <w:tc>
          <w:tcPr>
            <w:tcW w:w="206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2"/>
                <w:szCs w:val="12"/>
                <w:color w:val="auto"/>
              </w:rPr>
            </w:pPr>
          </w:p>
        </w:tc>
        <w:tc>
          <w:tcPr>
            <w:tcW w:w="1080" w:type="dxa"/>
            <w:vAlign w:val="bottom"/>
            <w:gridSpan w:val="2"/>
          </w:tcPr>
          <w:p>
            <w:pPr>
              <w:ind w:left="60"/>
              <w:spacing w:after="0" w:line="138"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2"/>
                <w:szCs w:val="12"/>
                <w:color w:val="auto"/>
              </w:rPr>
            </w:pPr>
          </w:p>
        </w:tc>
        <w:tc>
          <w:tcPr>
            <w:tcW w:w="980" w:type="dxa"/>
            <w:vAlign w:val="bottom"/>
          </w:tcPr>
          <w:p>
            <w:pPr>
              <w:jc w:val="center"/>
              <w:ind w:right="56"/>
              <w:spacing w:after="0" w:line="138"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9"/>
        </w:trPr>
        <w:tc>
          <w:tcPr>
            <w:tcW w:w="1220" w:type="dxa"/>
            <w:vAlign w:val="bottom"/>
            <w:gridSpan w:val="2"/>
          </w:tcPr>
          <w:p>
            <w:pPr>
              <w:ind w:left="360"/>
              <w:spacing w:after="0"/>
              <w:rPr>
                <w:sz w:val="20"/>
                <w:szCs w:val="20"/>
                <w:color w:val="auto"/>
              </w:rPr>
            </w:pPr>
            <w:r>
              <w:rPr>
                <w:rFonts w:ascii="Arial" w:cs="Arial" w:eastAsia="Arial" w:hAnsi="Arial"/>
                <w:sz w:val="13"/>
                <w:szCs w:val="13"/>
                <w:b w:val="1"/>
                <w:bCs w:val="1"/>
                <w:color w:val="auto"/>
              </w:rPr>
              <w:t>Shares</w:t>
            </w:r>
          </w:p>
        </w:tc>
        <w:tc>
          <w:tcPr>
            <w:tcW w:w="840" w:type="dxa"/>
            <w:vAlign w:val="bottom"/>
          </w:tcPr>
          <w:p>
            <w:pPr>
              <w:jc w:val="right"/>
              <w:ind w:right="27"/>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Loss</w:t>
            </w:r>
          </w:p>
        </w:tc>
        <w:tc>
          <w:tcPr>
            <w:tcW w:w="140" w:type="dxa"/>
            <w:vAlign w:val="bottom"/>
          </w:tcPr>
          <w:p>
            <w:pPr>
              <w:spacing w:after="0"/>
              <w:rPr>
                <w:sz w:val="15"/>
                <w:szCs w:val="15"/>
                <w:color w:val="auto"/>
              </w:rPr>
            </w:pPr>
          </w:p>
        </w:tc>
        <w:tc>
          <w:tcPr>
            <w:tcW w:w="108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5"/>
                <w:szCs w:val="15"/>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36,083,301</w:t>
            </w:r>
          </w:p>
        </w:tc>
        <w:tc>
          <w:tcPr>
            <w:tcW w:w="120" w:type="dxa"/>
            <w:vAlign w:val="bottom"/>
          </w:tcPr>
          <w:p>
            <w:pPr>
              <w:spacing w:after="0"/>
              <w:rPr>
                <w:sz w:val="14"/>
                <w:szCs w:val="14"/>
                <w:color w:val="auto"/>
              </w:rPr>
            </w:pPr>
          </w:p>
        </w:tc>
        <w:tc>
          <w:tcPr>
            <w:tcW w:w="840" w:type="dxa"/>
            <w:vAlign w:val="bottom"/>
            <w:tcBorders>
              <w:top w:val="single" w:sz="8" w:color="auto"/>
            </w:tcBorders>
          </w:tcPr>
          <w:p>
            <w:pPr>
              <w:jc w:val="right"/>
              <w:ind w:right="727"/>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414,348</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ind w:left="460"/>
              <w:spacing w:after="0"/>
              <w:rPr>
                <w:sz w:val="20"/>
                <w:szCs w:val="20"/>
                <w:color w:val="auto"/>
              </w:rPr>
            </w:pPr>
            <w:r>
              <w:rPr>
                <w:rFonts w:ascii="Arial" w:cs="Arial" w:eastAsia="Arial" w:hAnsi="Arial"/>
                <w:sz w:val="13"/>
                <w:szCs w:val="13"/>
                <w:color w:val="auto"/>
                <w:w w:val="89"/>
              </w:rPr>
              <w:t>(215,091)</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199,059</w:t>
            </w:r>
          </w:p>
        </w:tc>
        <w:tc>
          <w:tcPr>
            <w:tcW w:w="0" w:type="dxa"/>
            <w:vAlign w:val="bottom"/>
          </w:tcPr>
          <w:p>
            <w:pPr>
              <w:spacing w:after="0"/>
              <w:rPr>
                <w:sz w:val="1"/>
                <w:szCs w:val="1"/>
                <w:color w:val="auto"/>
              </w:rPr>
            </w:pPr>
          </w:p>
        </w:tc>
      </w:tr>
      <w:tr>
        <w:trPr>
          <w:trHeight w:val="212"/>
        </w:trPr>
        <w:tc>
          <w:tcPr>
            <w:tcW w:w="1100" w:type="dxa"/>
            <w:vAlign w:val="bottom"/>
          </w:tcPr>
          <w:p>
            <w:pPr>
              <w:jc w:val="right"/>
              <w:spacing w:after="0"/>
              <w:rPr>
                <w:sz w:val="20"/>
                <w:szCs w:val="20"/>
                <w:color w:val="auto"/>
              </w:rPr>
            </w:pPr>
            <w:r>
              <w:rPr>
                <w:rFonts w:ascii="Arial" w:cs="Arial" w:eastAsia="Arial" w:hAnsi="Arial"/>
                <w:sz w:val="13"/>
                <w:szCs w:val="13"/>
                <w:color w:val="auto"/>
              </w:rPr>
              <w:t>21,841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12"/>
        </w:trPr>
        <w:tc>
          <w:tcPr>
            <w:tcW w:w="1100" w:type="dxa"/>
            <w:vAlign w:val="bottom"/>
          </w:tcPr>
          <w:p>
            <w:pPr>
              <w:jc w:val="right"/>
              <w:spacing w:after="0"/>
              <w:rPr>
                <w:sz w:val="20"/>
                <w:szCs w:val="20"/>
                <w:color w:val="auto"/>
              </w:rPr>
            </w:pPr>
            <w:r>
              <w:rPr>
                <w:rFonts w:ascii="Arial" w:cs="Arial" w:eastAsia="Arial" w:hAnsi="Arial"/>
                <w:sz w:val="13"/>
                <w:szCs w:val="13"/>
                <w:color w:val="auto"/>
              </w:rPr>
              <w:t>403,680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1,360</w:t>
            </w:r>
          </w:p>
        </w:tc>
        <w:tc>
          <w:tcPr>
            <w:tcW w:w="0" w:type="dxa"/>
            <w:vAlign w:val="bottom"/>
          </w:tcPr>
          <w:p>
            <w:pPr>
              <w:spacing w:after="0"/>
              <w:rPr>
                <w:sz w:val="1"/>
                <w:szCs w:val="1"/>
                <w:color w:val="auto"/>
              </w:rPr>
            </w:pPr>
          </w:p>
        </w:tc>
      </w:tr>
      <w:tr>
        <w:trPr>
          <w:trHeight w:val="212"/>
        </w:trPr>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22,598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22,598</w:t>
            </w:r>
          </w:p>
        </w:tc>
        <w:tc>
          <w:tcPr>
            <w:tcW w:w="0" w:type="dxa"/>
            <w:vAlign w:val="bottom"/>
          </w:tcPr>
          <w:p>
            <w:pPr>
              <w:spacing w:after="0"/>
              <w:rPr>
                <w:sz w:val="1"/>
                <w:szCs w:val="1"/>
                <w:color w:val="auto"/>
              </w:rPr>
            </w:pPr>
          </w:p>
        </w:tc>
      </w:tr>
      <w:tr>
        <w:trPr>
          <w:trHeight w:val="212"/>
        </w:trPr>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(1,757)</w:t>
            </w:r>
          </w:p>
        </w:tc>
        <w:tc>
          <w:tcPr>
            <w:tcW w:w="0" w:type="dxa"/>
            <w:vAlign w:val="bottom"/>
          </w:tcPr>
          <w:p>
            <w:pPr>
              <w:spacing w:after="0"/>
              <w:rPr>
                <w:sz w:val="1"/>
                <w:szCs w:val="1"/>
                <w:color w:val="auto"/>
              </w:rPr>
            </w:pPr>
          </w:p>
        </w:tc>
      </w:tr>
      <w:tr>
        <w:trPr>
          <w:trHeight w:val="361"/>
        </w:trPr>
        <w:tc>
          <w:tcPr>
            <w:tcW w:w="1100" w:type="dxa"/>
            <w:vAlign w:val="bottom"/>
          </w:tcPr>
          <w:p>
            <w:pPr>
              <w:jc w:val="right"/>
              <w:spacing w:after="0"/>
              <w:rPr>
                <w:sz w:val="20"/>
                <w:szCs w:val="20"/>
                <w:color w:val="auto"/>
              </w:rPr>
            </w:pPr>
            <w:r>
              <w:rPr>
                <w:rFonts w:ascii="Arial" w:cs="Arial" w:eastAsia="Arial" w:hAnsi="Arial"/>
                <w:sz w:val="13"/>
                <w:szCs w:val="13"/>
                <w:color w:val="auto"/>
              </w:rPr>
              <w:t>12,432,432</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215,399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215,401</w:t>
            </w:r>
          </w:p>
        </w:tc>
        <w:tc>
          <w:tcPr>
            <w:tcW w:w="0" w:type="dxa"/>
            <w:vAlign w:val="bottom"/>
          </w:tcPr>
          <w:p>
            <w:pPr>
              <w:spacing w:after="0"/>
              <w:rPr>
                <w:sz w:val="1"/>
                <w:szCs w:val="1"/>
                <w:color w:val="auto"/>
              </w:rPr>
            </w:pPr>
          </w:p>
        </w:tc>
      </w:tr>
      <w:tr>
        <w:trPr>
          <w:trHeight w:val="209"/>
        </w:trPr>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980" w:type="dxa"/>
            <w:vAlign w:val="bottom"/>
          </w:tcPr>
          <w:p>
            <w:pPr>
              <w:ind w:left="460"/>
              <w:spacing w:after="0"/>
              <w:rPr>
                <w:sz w:val="20"/>
                <w:szCs w:val="20"/>
                <w:color w:val="auto"/>
              </w:rPr>
            </w:pPr>
            <w:r>
              <w:rPr>
                <w:rFonts w:ascii="Arial" w:cs="Arial" w:eastAsia="Arial" w:hAnsi="Arial"/>
                <w:sz w:val="13"/>
                <w:szCs w:val="13"/>
                <w:color w:val="auto"/>
                <w:w w:val="89"/>
              </w:rPr>
              <w:t>(123,321)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(123,321)</w:t>
            </w:r>
          </w:p>
        </w:tc>
        <w:tc>
          <w:tcPr>
            <w:tcW w:w="0" w:type="dxa"/>
            <w:vAlign w:val="bottom"/>
          </w:tcPr>
          <w:p>
            <w:pPr>
              <w:spacing w:after="0"/>
              <w:rPr>
                <w:sz w:val="1"/>
                <w:szCs w:val="1"/>
                <w:color w:val="auto"/>
              </w:rPr>
            </w:pPr>
          </w:p>
        </w:tc>
      </w:tr>
      <w:tr>
        <w:trPr>
          <w:trHeight w:val="182"/>
        </w:trPr>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48,941,254</w:t>
            </w:r>
          </w:p>
        </w:tc>
        <w:tc>
          <w:tcPr>
            <w:tcW w:w="12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653,707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(1,958)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3"/>
                <w:szCs w:val="13"/>
                <w:color w:val="auto"/>
                <w:w w:val="89"/>
              </w:rPr>
              <w:t>(338,412)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313,342</w:t>
            </w:r>
          </w:p>
        </w:tc>
        <w:tc>
          <w:tcPr>
            <w:tcW w:w="0" w:type="dxa"/>
            <w:vAlign w:val="bottom"/>
          </w:tcPr>
          <w:p>
            <w:pPr>
              <w:spacing w:after="0"/>
              <w:rPr>
                <w:sz w:val="1"/>
                <w:szCs w:val="1"/>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-1178560</wp:posOffset>
            </wp:positionV>
            <wp:extent cx="6616065" cy="1282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16065" cy="12827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-915670</wp:posOffset>
            </wp:positionV>
            <wp:extent cx="6616065" cy="134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16065" cy="13462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-646430</wp:posOffset>
            </wp:positionV>
            <wp:extent cx="6616065" cy="134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16065" cy="13462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-288925</wp:posOffset>
            </wp:positionV>
            <wp:extent cx="6616065" cy="134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16065" cy="134620"/>
                    </a:xfrm>
                    <a:prstGeom prst="rect">
                      <a:avLst/>
                    </a:prstGeom>
                    <a:noFill/>
                  </pic:spPr>
                </pic:pic>
              </a:graphicData>
            </a:graphic>
          </wp:anchor>
        </w:drawing>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76" w:lineRule="exact"/>
        <w:rPr>
          <w:sz w:val="20"/>
          <w:szCs w:val="20"/>
          <w:color w:val="auto"/>
        </w:rPr>
      </w:pPr>
    </w:p>
    <w:p>
      <w:pPr>
        <w:ind w:left="2340"/>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-2066290</wp:posOffset>
            </wp:positionH>
            <wp:positionV relativeFrom="paragraph">
              <wp:posOffset>53340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2940" w:space="300"/>
            <w:col w:w="7180"/>
          </w:cols>
          <w:pgMar w:left="300" w:top="129" w:right="117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at December 31, 2020</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Vesting of restricted stock awards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3"/>
          <w:szCs w:val="13"/>
          <w:color w:val="auto"/>
        </w:rPr>
        <w:t>Option exercises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3"/>
          <w:szCs w:val="13"/>
          <w:color w:val="auto"/>
        </w:rPr>
        <w:t>Stock-based compensation expense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1"/>
          <w:szCs w:val="11"/>
          <w:color w:val="auto"/>
        </w:rPr>
        <w:t>Net unrealized loss on short-term investments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loss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 at December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420"/>
        <w:spacing w:after="0"/>
        <w:rPr>
          <w:sz w:val="20"/>
          <w:szCs w:val="20"/>
          <w:color w:val="auto"/>
        </w:rPr>
      </w:pPr>
      <w:r>
        <w:rPr>
          <w:rFonts w:ascii="Arial" w:cs="Arial" w:eastAsia="Arial" w:hAnsi="Arial"/>
          <w:sz w:val="14"/>
          <w:szCs w:val="14"/>
          <w:b w:val="1"/>
          <w:bCs w:val="1"/>
          <w:color w:val="auto"/>
        </w:rPr>
        <w:t>Pliant Therapeutics, Inc.</w:t>
      </w:r>
    </w:p>
    <w:p>
      <w:pPr>
        <w:spacing w:after="0" w:line="23" w:lineRule="exact"/>
        <w:rPr>
          <w:sz w:val="20"/>
          <w:szCs w:val="20"/>
          <w:color w:val="auto"/>
        </w:rPr>
      </w:pPr>
    </w:p>
    <w:p>
      <w:pPr>
        <w:jc w:val="center"/>
        <w:ind w:right="2420"/>
        <w:spacing w:after="0"/>
        <w:rPr>
          <w:sz w:val="20"/>
          <w:szCs w:val="20"/>
          <w:color w:val="auto"/>
        </w:rPr>
      </w:pPr>
      <w:r>
        <w:rPr>
          <w:rFonts w:ascii="Arial" w:cs="Arial" w:eastAsia="Arial" w:hAnsi="Arial"/>
          <w:sz w:val="14"/>
          <w:szCs w:val="14"/>
          <w:b w:val="1"/>
          <w:bCs w:val="1"/>
          <w:color w:val="auto"/>
        </w:rPr>
        <w:t>Statements of Stockholders’ Equity</w:t>
      </w:r>
    </w:p>
    <w:p>
      <w:pPr>
        <w:spacing w:after="0" w:line="9" w:lineRule="exact"/>
        <w:rPr>
          <w:sz w:val="20"/>
          <w:szCs w:val="20"/>
          <w:color w:val="auto"/>
        </w:rPr>
      </w:pPr>
    </w:p>
    <w:p>
      <w:pPr>
        <w:jc w:val="center"/>
        <w:ind w:right="2420"/>
        <w:spacing w:after="0"/>
        <w:rPr>
          <w:sz w:val="20"/>
          <w:szCs w:val="20"/>
          <w:color w:val="auto"/>
        </w:rPr>
      </w:pPr>
      <w:r>
        <w:rPr>
          <w:rFonts w:ascii="Arial" w:cs="Arial" w:eastAsia="Arial" w:hAnsi="Arial"/>
          <w:sz w:val="14"/>
          <w:szCs w:val="14"/>
          <w:i w:val="1"/>
          <w:iCs w:val="1"/>
          <w:color w:val="auto"/>
        </w:rPr>
        <w:t>(In thousands, except number of shares and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gridSpan w:val="3"/>
            <w:vMerge w:val="restart"/>
          </w:tcPr>
          <w:p>
            <w:pPr>
              <w:jc w:val="right"/>
              <w:ind w:right="416"/>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11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7"/>
        </w:trPr>
        <w:tc>
          <w:tcPr>
            <w:tcW w:w="204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jc w:val="center"/>
              <w:ind w:right="100"/>
              <w:spacing w:after="0" w:line="107" w:lineRule="exact"/>
              <w:rPr>
                <w:sz w:val="20"/>
                <w:szCs w:val="20"/>
                <w:color w:val="auto"/>
              </w:rPr>
            </w:pPr>
            <w:r>
              <w:rPr>
                <w:rFonts w:ascii="Arial" w:cs="Arial" w:eastAsia="Arial" w:hAnsi="Arial"/>
                <w:sz w:val="12"/>
                <w:szCs w:val="12"/>
                <w:b w:val="1"/>
                <w:bCs w:val="1"/>
                <w:color w:val="auto"/>
                <w:w w:val="99"/>
              </w:rPr>
              <w:t>Additional Paid-In</w:t>
            </w:r>
          </w:p>
        </w:tc>
        <w:tc>
          <w:tcPr>
            <w:tcW w:w="100" w:type="dxa"/>
            <w:vAlign w:val="bottom"/>
          </w:tcPr>
          <w:p>
            <w:pPr>
              <w:spacing w:after="0"/>
              <w:rPr>
                <w:sz w:val="11"/>
                <w:szCs w:val="11"/>
                <w:color w:val="auto"/>
              </w:rPr>
            </w:pPr>
          </w:p>
        </w:tc>
        <w:tc>
          <w:tcPr>
            <w:tcW w:w="1120" w:type="dxa"/>
            <w:vAlign w:val="bottom"/>
            <w:gridSpan w:val="2"/>
          </w:tcPr>
          <w:p>
            <w:pPr>
              <w:ind w:left="40"/>
              <w:spacing w:after="0" w:line="107" w:lineRule="exact"/>
              <w:rPr>
                <w:sz w:val="20"/>
                <w:szCs w:val="20"/>
                <w:color w:val="auto"/>
              </w:rPr>
            </w:pPr>
            <w:r>
              <w:rPr>
                <w:rFonts w:ascii="Arial" w:cs="Arial" w:eastAsia="Arial" w:hAnsi="Arial"/>
                <w:sz w:val="12"/>
                <w:szCs w:val="12"/>
                <w:b w:val="1"/>
                <w:bCs w:val="1"/>
                <w:color w:val="auto"/>
              </w:rPr>
              <w:t>Comprehensive</w:t>
            </w:r>
          </w:p>
        </w:tc>
        <w:tc>
          <w:tcPr>
            <w:tcW w:w="140" w:type="dxa"/>
            <w:vAlign w:val="bottom"/>
          </w:tcPr>
          <w:p>
            <w:pPr>
              <w:spacing w:after="0"/>
              <w:rPr>
                <w:sz w:val="11"/>
                <w:szCs w:val="11"/>
                <w:color w:val="auto"/>
              </w:rPr>
            </w:pPr>
          </w:p>
        </w:tc>
        <w:tc>
          <w:tcPr>
            <w:tcW w:w="108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11"/>
                <w:szCs w:val="11"/>
                <w:color w:val="auto"/>
              </w:rPr>
            </w:pPr>
          </w:p>
        </w:tc>
        <w:tc>
          <w:tcPr>
            <w:tcW w:w="980" w:type="dxa"/>
            <w:vAlign w:val="bottom"/>
          </w:tcPr>
          <w:p>
            <w:pPr>
              <w:jc w:val="center"/>
              <w:ind w:right="97"/>
              <w:spacing w:after="0" w:line="107"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85"/>
        </w:trPr>
        <w:tc>
          <w:tcPr>
            <w:tcW w:w="1200" w:type="dxa"/>
            <w:vAlign w:val="bottom"/>
            <w:gridSpan w:val="2"/>
          </w:tcPr>
          <w:p>
            <w:pPr>
              <w:ind w:left="360"/>
              <w:spacing w:after="0"/>
              <w:rPr>
                <w:sz w:val="20"/>
                <w:szCs w:val="20"/>
                <w:color w:val="auto"/>
              </w:rPr>
            </w:pPr>
            <w:r>
              <w:rPr>
                <w:rFonts w:ascii="Arial" w:cs="Arial" w:eastAsia="Arial" w:hAnsi="Arial"/>
                <w:sz w:val="13"/>
                <w:szCs w:val="13"/>
                <w:b w:val="1"/>
                <w:bCs w:val="1"/>
                <w:color w:val="auto"/>
              </w:rPr>
              <w:t>Shares</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6"/>
                <w:szCs w:val="16"/>
                <w:color w:val="auto"/>
              </w:rPr>
            </w:pPr>
          </w:p>
        </w:tc>
        <w:tc>
          <w:tcPr>
            <w:tcW w:w="1120" w:type="dxa"/>
            <w:vAlign w:val="bottom"/>
            <w:gridSpan w:val="2"/>
          </w:tcPr>
          <w:p>
            <w:pPr>
              <w:ind w:left="340"/>
              <w:spacing w:after="0"/>
              <w:rPr>
                <w:sz w:val="20"/>
                <w:szCs w:val="20"/>
                <w:color w:val="auto"/>
              </w:rPr>
            </w:pPr>
            <w:r>
              <w:rPr>
                <w:rFonts w:ascii="Arial" w:cs="Arial" w:eastAsia="Arial" w:hAnsi="Arial"/>
                <w:sz w:val="13"/>
                <w:szCs w:val="13"/>
                <w:b w:val="1"/>
                <w:bCs w:val="1"/>
                <w:color w:val="auto"/>
              </w:rPr>
              <w:t>Loss</w:t>
            </w:r>
          </w:p>
        </w:tc>
        <w:tc>
          <w:tcPr>
            <w:tcW w:w="140" w:type="dxa"/>
            <w:vAlign w:val="bottom"/>
          </w:tcPr>
          <w:p>
            <w:pPr>
              <w:spacing w:after="0"/>
              <w:rPr>
                <w:sz w:val="16"/>
                <w:szCs w:val="16"/>
                <w:color w:val="auto"/>
              </w:rPr>
            </w:pPr>
          </w:p>
        </w:tc>
        <w:tc>
          <w:tcPr>
            <w:tcW w:w="108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6"/>
                <w:szCs w:val="16"/>
                <w:color w:val="auto"/>
              </w:rPr>
            </w:pPr>
          </w:p>
        </w:tc>
        <w:tc>
          <w:tcPr>
            <w:tcW w:w="980" w:type="dxa"/>
            <w:vAlign w:val="bottom"/>
          </w:tcPr>
          <w:p>
            <w:pPr>
              <w:jc w:val="center"/>
              <w:ind w:right="7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74"/>
        </w:trPr>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35,552,795</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ind w:right="696"/>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400,918</w:t>
            </w:r>
          </w:p>
        </w:tc>
        <w:tc>
          <w:tcPr>
            <w:tcW w:w="10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(117,828)</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283,061</w:t>
            </w:r>
          </w:p>
        </w:tc>
        <w:tc>
          <w:tcPr>
            <w:tcW w:w="0" w:type="dxa"/>
            <w:vAlign w:val="bottom"/>
          </w:tcPr>
          <w:p>
            <w:pPr>
              <w:spacing w:after="0"/>
              <w:rPr>
                <w:sz w:val="1"/>
                <w:szCs w:val="1"/>
                <w:color w:val="auto"/>
              </w:rPr>
            </w:pPr>
          </w:p>
        </w:tc>
      </w:tr>
      <w:tr>
        <w:trPr>
          <w:trHeight w:val="212"/>
        </w:trPr>
        <w:tc>
          <w:tcPr>
            <w:tcW w:w="1100" w:type="dxa"/>
            <w:vAlign w:val="bottom"/>
          </w:tcPr>
          <w:p>
            <w:pPr>
              <w:jc w:val="right"/>
              <w:spacing w:after="0"/>
              <w:rPr>
                <w:sz w:val="20"/>
                <w:szCs w:val="20"/>
                <w:color w:val="auto"/>
              </w:rPr>
            </w:pPr>
            <w:r>
              <w:rPr>
                <w:rFonts w:ascii="Arial" w:cs="Arial" w:eastAsia="Arial" w:hAnsi="Arial"/>
                <w:sz w:val="13"/>
                <w:szCs w:val="13"/>
                <w:color w:val="auto"/>
              </w:rPr>
              <w:t>103,164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12"/>
        </w:trPr>
        <w:tc>
          <w:tcPr>
            <w:tcW w:w="1100" w:type="dxa"/>
            <w:vAlign w:val="bottom"/>
          </w:tcPr>
          <w:p>
            <w:pPr>
              <w:jc w:val="right"/>
              <w:spacing w:after="0"/>
              <w:rPr>
                <w:sz w:val="20"/>
                <w:szCs w:val="20"/>
                <w:color w:val="auto"/>
              </w:rPr>
            </w:pPr>
            <w:r>
              <w:rPr>
                <w:rFonts w:ascii="Arial" w:cs="Arial" w:eastAsia="Arial" w:hAnsi="Arial"/>
                <w:sz w:val="13"/>
                <w:szCs w:val="13"/>
                <w:color w:val="auto"/>
              </w:rPr>
              <w:t>427,342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2,984</w:t>
            </w:r>
          </w:p>
        </w:tc>
        <w:tc>
          <w:tcPr>
            <w:tcW w:w="0" w:type="dxa"/>
            <w:vAlign w:val="bottom"/>
          </w:tcPr>
          <w:p>
            <w:pPr>
              <w:spacing w:after="0"/>
              <w:rPr>
                <w:sz w:val="1"/>
                <w:szCs w:val="1"/>
                <w:color w:val="auto"/>
              </w:rPr>
            </w:pPr>
          </w:p>
        </w:tc>
      </w:tr>
      <w:tr>
        <w:trPr>
          <w:trHeight w:val="212"/>
        </w:trPr>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10,437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10,437</w:t>
            </w:r>
          </w:p>
        </w:tc>
        <w:tc>
          <w:tcPr>
            <w:tcW w:w="0" w:type="dxa"/>
            <w:vAlign w:val="bottom"/>
          </w:tcPr>
          <w:p>
            <w:pPr>
              <w:spacing w:after="0"/>
              <w:rPr>
                <w:sz w:val="1"/>
                <w:szCs w:val="1"/>
                <w:color w:val="auto"/>
              </w:rPr>
            </w:pPr>
          </w:p>
        </w:tc>
      </w:tr>
      <w:tr>
        <w:trPr>
          <w:trHeight w:val="212"/>
        </w:trPr>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220"/>
        </w:trPr>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112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(97,263)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(97,263)</w:t>
            </w:r>
          </w:p>
        </w:tc>
        <w:tc>
          <w:tcPr>
            <w:tcW w:w="0" w:type="dxa"/>
            <w:vAlign w:val="bottom"/>
          </w:tcPr>
          <w:p>
            <w:pPr>
              <w:spacing w:after="0"/>
              <w:rPr>
                <w:sz w:val="1"/>
                <w:szCs w:val="1"/>
                <w:color w:val="auto"/>
              </w:rPr>
            </w:pPr>
          </w:p>
        </w:tc>
      </w:tr>
      <w:tr>
        <w:trPr>
          <w:trHeight w:val="182"/>
        </w:trPr>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36,083,301</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414,348</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(215,091)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199,059</w:t>
            </w:r>
          </w:p>
        </w:tc>
        <w:tc>
          <w:tcPr>
            <w:tcW w:w="0" w:type="dxa"/>
            <w:vAlign w:val="bottom"/>
          </w:tcPr>
          <w:p>
            <w:pPr>
              <w:spacing w:after="0"/>
              <w:rPr>
                <w:sz w:val="1"/>
                <w:szCs w:val="1"/>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-2066290</wp:posOffset>
            </wp:positionH>
            <wp:positionV relativeFrom="paragraph">
              <wp:posOffset>-956310</wp:posOffset>
            </wp:positionV>
            <wp:extent cx="6622415" cy="1282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22415" cy="128270"/>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-693420</wp:posOffset>
            </wp:positionV>
            <wp:extent cx="6622415" cy="134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22415" cy="134620"/>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-423545</wp:posOffset>
            </wp:positionV>
            <wp:extent cx="6622415" cy="134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22415" cy="134620"/>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-154305</wp:posOffset>
            </wp:positionV>
            <wp:extent cx="6622415" cy="141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22415" cy="141605"/>
                    </a:xfrm>
                    <a:prstGeom prst="rect">
                      <a:avLst/>
                    </a:prstGeom>
                    <a:noFill/>
                  </pic:spPr>
                </pic:pic>
              </a:graphicData>
            </a:graphic>
          </wp:anchor>
        </w:drawing>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76" w:lineRule="exact"/>
        <w:rPr>
          <w:sz w:val="20"/>
          <w:szCs w:val="20"/>
          <w:color w:val="auto"/>
        </w:rPr>
      </w:pPr>
    </w:p>
    <w:p>
      <w:pPr>
        <w:ind w:left="2320"/>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53340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2540" w:space="720"/>
            <w:col w:w="7180"/>
          </w:cols>
          <w:pgMar w:left="300" w:top="129" w:right="115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Pliant Therapeutics, Inc.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4"/>
          <w:szCs w:val="14"/>
          <w:i w:val="1"/>
          <w:iCs w:val="1"/>
          <w:color w:val="auto"/>
        </w:rPr>
        <w:t>(In thousands)</w:t>
      </w:r>
    </w:p>
    <w:p>
      <w:pPr>
        <w:spacing w:after="0" w:line="115"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7980" w:type="dxa"/>
            <w:vAlign w:val="bottom"/>
          </w:tcPr>
          <w:p>
            <w:pPr>
              <w:spacing w:after="0"/>
              <w:rPr>
                <w:sz w:val="15"/>
                <w:szCs w:val="15"/>
                <w:color w:val="auto"/>
              </w:rPr>
            </w:pPr>
          </w:p>
        </w:tc>
        <w:tc>
          <w:tcPr>
            <w:tcW w:w="2400" w:type="dxa"/>
            <w:vAlign w:val="bottom"/>
            <w:tcBorders>
              <w:bottom w:val="single" w:sz="8" w:color="auto"/>
            </w:tcBorders>
            <w:gridSpan w:val="4"/>
          </w:tcPr>
          <w:p>
            <w:pPr>
              <w:ind w:left="760"/>
              <w:spacing w:after="0"/>
              <w:rPr>
                <w:sz w:val="20"/>
                <w:szCs w:val="20"/>
                <w:color w:val="auto"/>
              </w:rPr>
            </w:pPr>
            <w:r>
              <w:rPr>
                <w:rFonts w:ascii="Arial" w:cs="Arial" w:eastAsia="Arial" w:hAnsi="Arial"/>
                <w:sz w:val="13"/>
                <w:szCs w:val="13"/>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9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w w:val="96"/>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w w:val="96"/>
              </w:rPr>
              <w:t>2021</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980" w:type="dxa"/>
            <w:vAlign w:val="bottom"/>
          </w:tcPr>
          <w:p>
            <w:pPr>
              <w:ind w:left="20"/>
              <w:spacing w:after="0"/>
              <w:rPr>
                <w:sz w:val="20"/>
                <w:szCs w:val="20"/>
                <w:color w:val="auto"/>
              </w:rPr>
            </w:pPr>
            <w:r>
              <w:rPr>
                <w:rFonts w:ascii="Arial" w:cs="Arial" w:eastAsia="Arial" w:hAnsi="Arial"/>
                <w:sz w:val="13"/>
                <w:szCs w:val="13"/>
                <w:color w:val="auto"/>
              </w:rPr>
              <w:t>Net loss</w:t>
            </w:r>
          </w:p>
        </w:tc>
        <w:tc>
          <w:tcPr>
            <w:tcW w:w="88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(123,321)</w:t>
            </w:r>
          </w:p>
        </w:tc>
        <w:tc>
          <w:tcPr>
            <w:tcW w:w="10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(97,263)</w:t>
            </w:r>
          </w:p>
        </w:tc>
        <w:tc>
          <w:tcPr>
            <w:tcW w:w="0" w:type="dxa"/>
            <w:vAlign w:val="bottom"/>
          </w:tcPr>
          <w:p>
            <w:pPr>
              <w:spacing w:after="0"/>
              <w:rPr>
                <w:sz w:val="1"/>
                <w:szCs w:val="1"/>
                <w:color w:val="auto"/>
              </w:rPr>
            </w:pPr>
          </w:p>
        </w:tc>
      </w:tr>
      <w:tr>
        <w:trPr>
          <w:trHeight w:val="199"/>
        </w:trPr>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980" w:type="dxa"/>
            <w:vAlign w:val="bottom"/>
          </w:tcPr>
          <w:p>
            <w:pPr>
              <w:ind w:left="180"/>
              <w:spacing w:after="0"/>
              <w:rPr>
                <w:sz w:val="20"/>
                <w:szCs w:val="20"/>
                <w:color w:val="auto"/>
              </w:rPr>
            </w:pPr>
            <w:r>
              <w:rPr>
                <w:rFonts w:ascii="Arial" w:cs="Arial" w:eastAsia="Arial" w:hAnsi="Arial"/>
                <w:sz w:val="13"/>
                <w:szCs w:val="13"/>
                <w:color w:val="auto"/>
              </w:rPr>
              <w:t>Depreciation expense</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1,823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1,535</w:t>
            </w:r>
          </w:p>
        </w:tc>
        <w:tc>
          <w:tcPr>
            <w:tcW w:w="0" w:type="dxa"/>
            <w:vAlign w:val="bottom"/>
          </w:tcPr>
          <w:p>
            <w:pPr>
              <w:spacing w:after="0"/>
              <w:rPr>
                <w:sz w:val="1"/>
                <w:szCs w:val="1"/>
                <w:color w:val="auto"/>
              </w:rPr>
            </w:pPr>
          </w:p>
        </w:tc>
      </w:tr>
      <w:tr>
        <w:trPr>
          <w:trHeight w:val="199"/>
        </w:trPr>
        <w:tc>
          <w:tcPr>
            <w:tcW w:w="7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22,598</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10,437</w:t>
            </w:r>
          </w:p>
        </w:tc>
        <w:tc>
          <w:tcPr>
            <w:tcW w:w="0" w:type="dxa"/>
            <w:vAlign w:val="bottom"/>
          </w:tcPr>
          <w:p>
            <w:pPr>
              <w:spacing w:after="0"/>
              <w:rPr>
                <w:sz w:val="1"/>
                <w:szCs w:val="1"/>
                <w:color w:val="auto"/>
              </w:rPr>
            </w:pPr>
          </w:p>
        </w:tc>
      </w:tr>
      <w:tr>
        <w:trPr>
          <w:trHeight w:val="183"/>
        </w:trPr>
        <w:tc>
          <w:tcPr>
            <w:tcW w:w="7980" w:type="dxa"/>
            <w:vAlign w:val="bottom"/>
          </w:tcPr>
          <w:p>
            <w:pPr>
              <w:ind w:left="180"/>
              <w:spacing w:after="0"/>
              <w:rPr>
                <w:sz w:val="20"/>
                <w:szCs w:val="20"/>
                <w:color w:val="auto"/>
              </w:rPr>
            </w:pPr>
            <w:r>
              <w:rPr>
                <w:rFonts w:ascii="Arial" w:cs="Arial" w:eastAsia="Arial" w:hAnsi="Arial"/>
                <w:sz w:val="13"/>
                <w:szCs w:val="13"/>
                <w:color w:val="auto"/>
              </w:rPr>
              <w:t>Noncash lease expense</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1,858</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1,669</w:t>
            </w:r>
          </w:p>
        </w:tc>
        <w:tc>
          <w:tcPr>
            <w:tcW w:w="0" w:type="dxa"/>
            <w:vAlign w:val="bottom"/>
          </w:tcPr>
          <w:p>
            <w:pPr>
              <w:spacing w:after="0"/>
              <w:rPr>
                <w:sz w:val="1"/>
                <w:szCs w:val="1"/>
                <w:color w:val="auto"/>
              </w:rPr>
            </w:pPr>
          </w:p>
        </w:tc>
      </w:tr>
      <w:tr>
        <w:trPr>
          <w:trHeight w:val="199"/>
        </w:trPr>
        <w:tc>
          <w:tcPr>
            <w:tcW w:w="7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(Accretion) amortization on short-term investments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(1,806)</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1,262</w:t>
            </w:r>
          </w:p>
        </w:tc>
        <w:tc>
          <w:tcPr>
            <w:tcW w:w="0" w:type="dxa"/>
            <w:vAlign w:val="bottom"/>
          </w:tcPr>
          <w:p>
            <w:pPr>
              <w:spacing w:after="0"/>
              <w:rPr>
                <w:sz w:val="1"/>
                <w:szCs w:val="1"/>
                <w:color w:val="auto"/>
              </w:rPr>
            </w:pPr>
          </w:p>
        </w:tc>
      </w:tr>
      <w:tr>
        <w:trPr>
          <w:trHeight w:val="183"/>
        </w:trPr>
        <w:tc>
          <w:tcPr>
            <w:tcW w:w="7980" w:type="dxa"/>
            <w:vAlign w:val="bottom"/>
          </w:tcPr>
          <w:p>
            <w:pPr>
              <w:ind w:left="180"/>
              <w:spacing w:after="0"/>
              <w:rPr>
                <w:sz w:val="20"/>
                <w:szCs w:val="20"/>
                <w:color w:val="auto"/>
              </w:rPr>
            </w:pPr>
            <w:r>
              <w:rPr>
                <w:rFonts w:ascii="Arial" w:cs="Arial" w:eastAsia="Arial" w:hAnsi="Arial"/>
                <w:sz w:val="13"/>
                <w:szCs w:val="13"/>
                <w:color w:val="auto"/>
              </w:rPr>
              <w:t>Changes in operating assets and liabilities:</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9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Accounts receivable</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7,281</w:t>
            </w:r>
          </w:p>
        </w:tc>
        <w:tc>
          <w:tcPr>
            <w:tcW w:w="0" w:type="dxa"/>
            <w:vAlign w:val="bottom"/>
          </w:tcPr>
          <w:p>
            <w:pPr>
              <w:spacing w:after="0"/>
              <w:rPr>
                <w:sz w:val="1"/>
                <w:szCs w:val="1"/>
                <w:color w:val="auto"/>
              </w:rPr>
            </w:pPr>
          </w:p>
        </w:tc>
      </w:tr>
      <w:tr>
        <w:trPr>
          <w:trHeight w:val="183"/>
        </w:trPr>
        <w:tc>
          <w:tcPr>
            <w:tcW w:w="7980" w:type="dxa"/>
            <w:vAlign w:val="bottom"/>
          </w:tcPr>
          <w:p>
            <w:pPr>
              <w:ind w:left="360"/>
              <w:spacing w:after="0"/>
              <w:rPr>
                <w:sz w:val="20"/>
                <w:szCs w:val="20"/>
                <w:color w:val="auto"/>
              </w:rPr>
            </w:pPr>
            <w:r>
              <w:rPr>
                <w:rFonts w:ascii="Arial" w:cs="Arial" w:eastAsia="Arial" w:hAnsi="Arial"/>
                <w:sz w:val="13"/>
                <w:szCs w:val="13"/>
                <w:color w:val="auto"/>
              </w:rPr>
              <w:t>Prepaid expenses and other current assets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(294)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(2,266)</w:t>
            </w:r>
          </w:p>
        </w:tc>
        <w:tc>
          <w:tcPr>
            <w:tcW w:w="0" w:type="dxa"/>
            <w:vAlign w:val="bottom"/>
          </w:tcPr>
          <w:p>
            <w:pPr>
              <w:spacing w:after="0"/>
              <w:rPr>
                <w:sz w:val="1"/>
                <w:szCs w:val="1"/>
                <w:color w:val="auto"/>
              </w:rPr>
            </w:pPr>
          </w:p>
        </w:tc>
      </w:tr>
      <w:tr>
        <w:trPr>
          <w:trHeight w:val="199"/>
        </w:trPr>
        <w:tc>
          <w:tcPr>
            <w:tcW w:w="79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Other non-current assets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83"/>
        </w:trPr>
        <w:tc>
          <w:tcPr>
            <w:tcW w:w="7980" w:type="dxa"/>
            <w:vAlign w:val="bottom"/>
          </w:tcPr>
          <w:p>
            <w:pPr>
              <w:ind w:left="360"/>
              <w:spacing w:after="0"/>
              <w:rPr>
                <w:sz w:val="20"/>
                <w:szCs w:val="20"/>
                <w:color w:val="auto"/>
              </w:rPr>
            </w:pPr>
            <w:r>
              <w:rPr>
                <w:rFonts w:ascii="Arial" w:cs="Arial" w:eastAsia="Arial" w:hAnsi="Arial"/>
                <w:sz w:val="13"/>
                <w:szCs w:val="13"/>
                <w:color w:val="auto"/>
              </w:rPr>
              <w:t>Accounts payable</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(1,351)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891</w:t>
            </w:r>
          </w:p>
        </w:tc>
        <w:tc>
          <w:tcPr>
            <w:tcW w:w="0" w:type="dxa"/>
            <w:vAlign w:val="bottom"/>
          </w:tcPr>
          <w:p>
            <w:pPr>
              <w:spacing w:after="0"/>
              <w:rPr>
                <w:sz w:val="1"/>
                <w:szCs w:val="1"/>
                <w:color w:val="auto"/>
              </w:rPr>
            </w:pPr>
          </w:p>
        </w:tc>
      </w:tr>
      <w:tr>
        <w:trPr>
          <w:trHeight w:val="199"/>
        </w:trPr>
        <w:tc>
          <w:tcPr>
            <w:tcW w:w="79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Accrued liabilities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7,904</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2,695</w:t>
            </w:r>
          </w:p>
        </w:tc>
        <w:tc>
          <w:tcPr>
            <w:tcW w:w="0" w:type="dxa"/>
            <w:vAlign w:val="bottom"/>
          </w:tcPr>
          <w:p>
            <w:pPr>
              <w:spacing w:after="0"/>
              <w:rPr>
                <w:sz w:val="1"/>
                <w:szCs w:val="1"/>
                <w:color w:val="auto"/>
              </w:rPr>
            </w:pPr>
          </w:p>
        </w:tc>
      </w:tr>
      <w:tr>
        <w:trPr>
          <w:trHeight w:val="189"/>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Operating lease liabilities</w:t>
            </w: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(2,258)</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(1,754)</w:t>
            </w:r>
          </w:p>
        </w:tc>
        <w:tc>
          <w:tcPr>
            <w:tcW w:w="0" w:type="dxa"/>
            <w:vAlign w:val="bottom"/>
          </w:tcPr>
          <w:p>
            <w:pPr>
              <w:spacing w:after="0"/>
              <w:rPr>
                <w:sz w:val="1"/>
                <w:szCs w:val="1"/>
                <w:color w:val="auto"/>
              </w:rPr>
            </w:pPr>
          </w:p>
        </w:tc>
      </w:tr>
      <w:tr>
        <w:trPr>
          <w:trHeight w:val="184"/>
        </w:trPr>
        <w:tc>
          <w:tcPr>
            <w:tcW w:w="79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Net cash used in operating activities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(94,631)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(75,443)</w:t>
            </w:r>
          </w:p>
        </w:tc>
        <w:tc>
          <w:tcPr>
            <w:tcW w:w="0" w:type="dxa"/>
            <w:vAlign w:val="bottom"/>
          </w:tcPr>
          <w:p>
            <w:pPr>
              <w:spacing w:after="0"/>
              <w:rPr>
                <w:sz w:val="1"/>
                <w:szCs w:val="1"/>
                <w:color w:val="auto"/>
              </w:rPr>
            </w:pPr>
          </w:p>
        </w:tc>
      </w:tr>
      <w:tr>
        <w:trPr>
          <w:trHeight w:val="183"/>
        </w:trPr>
        <w:tc>
          <w:tcPr>
            <w:tcW w:w="798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short-term investments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(325,716)</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(219,887)</w:t>
            </w:r>
          </w:p>
        </w:tc>
        <w:tc>
          <w:tcPr>
            <w:tcW w:w="0" w:type="dxa"/>
            <w:vAlign w:val="bottom"/>
          </w:tcPr>
          <w:p>
            <w:pPr>
              <w:spacing w:after="0"/>
              <w:rPr>
                <w:sz w:val="1"/>
                <w:szCs w:val="1"/>
                <w:color w:val="auto"/>
              </w:rPr>
            </w:pPr>
          </w:p>
        </w:tc>
      </w:tr>
      <w:tr>
        <w:trPr>
          <w:trHeight w:val="183"/>
        </w:trPr>
        <w:tc>
          <w:tcPr>
            <w:tcW w:w="7980" w:type="dxa"/>
            <w:vAlign w:val="bottom"/>
          </w:tcPr>
          <w:p>
            <w:pPr>
              <w:ind w:left="20"/>
              <w:spacing w:after="0"/>
              <w:rPr>
                <w:sz w:val="20"/>
                <w:szCs w:val="20"/>
                <w:color w:val="auto"/>
              </w:rPr>
            </w:pPr>
            <w:r>
              <w:rPr>
                <w:rFonts w:ascii="Arial" w:cs="Arial" w:eastAsia="Arial" w:hAnsi="Arial"/>
                <w:sz w:val="13"/>
                <w:szCs w:val="13"/>
                <w:color w:val="auto"/>
              </w:rPr>
              <w:t>Maturity of short-term investments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177,272</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7"/>
              </w:rPr>
              <w:t>295,539</w:t>
            </w:r>
          </w:p>
        </w:tc>
        <w:tc>
          <w:tcPr>
            <w:tcW w:w="0" w:type="dxa"/>
            <w:vAlign w:val="bottom"/>
          </w:tcPr>
          <w:p>
            <w:pPr>
              <w:spacing w:after="0"/>
              <w:rPr>
                <w:sz w:val="1"/>
                <w:szCs w:val="1"/>
                <w:color w:val="auto"/>
              </w:rPr>
            </w:pPr>
          </w:p>
        </w:tc>
      </w:tr>
      <w:tr>
        <w:trPr>
          <w:trHeight w:val="199"/>
        </w:trPr>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property and equipment</w:t>
            </w: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(1,760)</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(1,953)</w:t>
            </w:r>
          </w:p>
        </w:tc>
        <w:tc>
          <w:tcPr>
            <w:tcW w:w="0" w:type="dxa"/>
            <w:vAlign w:val="bottom"/>
          </w:tcPr>
          <w:p>
            <w:pPr>
              <w:spacing w:after="0"/>
              <w:rPr>
                <w:sz w:val="1"/>
                <w:szCs w:val="1"/>
                <w:color w:val="auto"/>
              </w:rPr>
            </w:pPr>
          </w:p>
        </w:tc>
      </w:tr>
      <w:tr>
        <w:trPr>
          <w:trHeight w:val="174"/>
        </w:trPr>
        <w:tc>
          <w:tcPr>
            <w:tcW w:w="798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Net cash (used in) provided by investing activities</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(150,204)</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73,699</w:t>
            </w:r>
          </w:p>
        </w:tc>
        <w:tc>
          <w:tcPr>
            <w:tcW w:w="0" w:type="dxa"/>
            <w:vAlign w:val="bottom"/>
          </w:tcPr>
          <w:p>
            <w:pPr>
              <w:spacing w:after="0"/>
              <w:rPr>
                <w:sz w:val="1"/>
                <w:szCs w:val="1"/>
                <w:color w:val="auto"/>
              </w:rPr>
            </w:pPr>
          </w:p>
        </w:tc>
      </w:tr>
      <w:tr>
        <w:trPr>
          <w:trHeight w:val="179"/>
        </w:trPr>
        <w:tc>
          <w:tcPr>
            <w:tcW w:w="7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980" w:type="dxa"/>
            <w:vAlign w:val="bottom"/>
          </w:tcPr>
          <w:p>
            <w:pPr>
              <w:ind w:left="20"/>
              <w:spacing w:after="0"/>
              <w:rPr>
                <w:sz w:val="20"/>
                <w:szCs w:val="20"/>
                <w:color w:val="auto"/>
              </w:rPr>
            </w:pPr>
            <w:r>
              <w:rPr>
                <w:rFonts w:ascii="Arial" w:cs="Arial" w:eastAsia="Arial" w:hAnsi="Arial"/>
                <w:sz w:val="13"/>
                <w:szCs w:val="13"/>
                <w:color w:val="auto"/>
              </w:rPr>
              <w:t>Proceeds from sale of common stock in a public offering</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216,201</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3"/>
        </w:trPr>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term loan, net of issuance costs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9,850</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980" w:type="dxa"/>
            <w:vAlign w:val="bottom"/>
          </w:tcPr>
          <w:p>
            <w:pPr>
              <w:ind w:left="20"/>
              <w:spacing w:after="0"/>
              <w:rPr>
                <w:sz w:val="20"/>
                <w:szCs w:val="20"/>
                <w:color w:val="auto"/>
              </w:rPr>
            </w:pPr>
            <w:r>
              <w:rPr>
                <w:rFonts w:ascii="Arial" w:cs="Arial" w:eastAsia="Arial" w:hAnsi="Arial"/>
                <w:sz w:val="13"/>
                <w:szCs w:val="13"/>
                <w:color w:val="auto"/>
              </w:rPr>
              <w:t>Proceeds from issuances of common stock under benefit plans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1,360</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2,984</w:t>
            </w:r>
          </w:p>
        </w:tc>
        <w:tc>
          <w:tcPr>
            <w:tcW w:w="0" w:type="dxa"/>
            <w:vAlign w:val="bottom"/>
          </w:tcPr>
          <w:p>
            <w:pPr>
              <w:spacing w:after="0"/>
              <w:rPr>
                <w:sz w:val="1"/>
                <w:szCs w:val="1"/>
                <w:color w:val="auto"/>
              </w:rPr>
            </w:pPr>
          </w:p>
        </w:tc>
      </w:tr>
      <w:tr>
        <w:trPr>
          <w:trHeight w:val="199"/>
        </w:trPr>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of offering costs</w:t>
            </w: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0" w:type="dxa"/>
            <w:vAlign w:val="bottom"/>
          </w:tcPr>
          <w:p>
            <w:pPr>
              <w:spacing w:after="0"/>
              <w:rPr>
                <w:sz w:val="1"/>
                <w:szCs w:val="1"/>
                <w:color w:val="auto"/>
              </w:rPr>
            </w:pPr>
          </w:p>
        </w:tc>
      </w:tr>
      <w:tr>
        <w:trPr>
          <w:trHeight w:val="174"/>
        </w:trPr>
        <w:tc>
          <w:tcPr>
            <w:tcW w:w="798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Net cash provided by financing activities</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226,854</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2,527</w:t>
            </w:r>
          </w:p>
        </w:tc>
        <w:tc>
          <w:tcPr>
            <w:tcW w:w="0" w:type="dxa"/>
            <w:vAlign w:val="bottom"/>
          </w:tcPr>
          <w:p>
            <w:pPr>
              <w:spacing w:after="0"/>
              <w:rPr>
                <w:sz w:val="1"/>
                <w:szCs w:val="1"/>
                <w:color w:val="auto"/>
              </w:rPr>
            </w:pP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(decrease) increase in cash and cash equivalents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(17,981)</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w:t>
            </w:r>
          </w:p>
        </w:tc>
        <w:tc>
          <w:tcPr>
            <w:tcW w:w="0" w:type="dxa"/>
            <w:vAlign w:val="bottom"/>
          </w:tcPr>
          <w:p>
            <w:pPr>
              <w:spacing w:after="0"/>
              <w:rPr>
                <w:sz w:val="1"/>
                <w:szCs w:val="1"/>
                <w:color w:val="auto"/>
              </w:rPr>
            </w:pPr>
          </w:p>
        </w:tc>
      </w:tr>
      <w:tr>
        <w:trPr>
          <w:trHeight w:val="18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51,665</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50,882</w:t>
            </w:r>
          </w:p>
        </w:tc>
        <w:tc>
          <w:tcPr>
            <w:tcW w:w="0" w:type="dxa"/>
            <w:vAlign w:val="bottom"/>
          </w:tcPr>
          <w:p>
            <w:pPr>
              <w:spacing w:after="0"/>
              <w:rPr>
                <w:sz w:val="1"/>
                <w:szCs w:val="1"/>
                <w:color w:val="auto"/>
              </w:rPr>
            </w:pP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end of period</w:t>
            </w: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33,684</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51,665</w:t>
            </w:r>
          </w:p>
        </w:tc>
        <w:tc>
          <w:tcPr>
            <w:tcW w:w="0" w:type="dxa"/>
            <w:vAlign w:val="bottom"/>
          </w:tcPr>
          <w:p>
            <w:pPr>
              <w:spacing w:after="0"/>
              <w:rPr>
                <w:sz w:val="1"/>
                <w:szCs w:val="1"/>
                <w:color w:val="auto"/>
              </w:rPr>
            </w:pPr>
          </w:p>
        </w:tc>
      </w:tr>
      <w:tr>
        <w:trPr>
          <w:trHeight w:val="163"/>
        </w:trPr>
        <w:tc>
          <w:tcPr>
            <w:tcW w:w="798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interest</w:t>
            </w:r>
          </w:p>
        </w:tc>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98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disclosures of noncash investing and financing activities:</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property and equipment in accounts payable and accrued liabilities</w:t>
            </w:r>
          </w:p>
        </w:tc>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Reclassification of restricted stock awards from liabilities to common stock upon vesting</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980" w:type="dxa"/>
            <w:vAlign w:val="bottom"/>
            <w:vMerge w:val="continue"/>
          </w:tcPr>
          <w:p>
            <w:pPr>
              <w:spacing w:after="0"/>
              <w:rPr>
                <w:sz w:val="13"/>
                <w:szCs w:val="13"/>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980" w:type="dxa"/>
            <w:vAlign w:val="bottom"/>
            <w:tcBorders>
              <w:bottom w:val="single" w:sz="8" w:color="CCEEFF"/>
            </w:tcBorders>
            <w:shd w:val="clear" w:color="auto" w:fill="CCEEFF"/>
          </w:tcPr>
          <w:p>
            <w:pPr>
              <w:ind w:left="20"/>
              <w:spacing w:after="0" w:line="145" w:lineRule="exact"/>
              <w:rPr>
                <w:sz w:val="20"/>
                <w:szCs w:val="20"/>
                <w:color w:val="auto"/>
              </w:rPr>
            </w:pPr>
            <w:r>
              <w:rPr>
                <w:rFonts w:ascii="Arial" w:cs="Arial" w:eastAsia="Arial" w:hAnsi="Arial"/>
                <w:sz w:val="13"/>
                <w:szCs w:val="13"/>
                <w:color w:val="auto"/>
              </w:rPr>
              <w:t>Net unrealized loss on short-term investments</w:t>
            </w: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(1,757)</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Right-of-use assets obtained in exchange for new operating lease liabilities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980" w:type="dxa"/>
            <w:vAlign w:val="bottom"/>
            <w:vMerge w:val="continue"/>
          </w:tcPr>
          <w:p>
            <w:pPr>
              <w:spacing w:after="0"/>
              <w:rPr>
                <w:sz w:val="13"/>
                <w:szCs w:val="13"/>
                <w:color w:val="auto"/>
              </w:rPr>
            </w:pPr>
          </w:p>
        </w:tc>
        <w:tc>
          <w:tcPr>
            <w:tcW w:w="880" w:type="dxa"/>
            <w:vAlign w:val="bottom"/>
            <w:tcBorders>
              <w:bottom w:val="single" w:sz="8" w:color="auto"/>
            </w:tcBorders>
          </w:tcPr>
          <w:p>
            <w:pPr>
              <w:ind w:left="20"/>
              <w:spacing w:after="0" w:line="150"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950</w:t>
            </w:r>
          </w:p>
        </w:tc>
        <w:tc>
          <w:tcPr>
            <w:tcW w:w="100" w:type="dxa"/>
            <w:vAlign w:val="bottom"/>
          </w:tcPr>
          <w:p>
            <w:pPr>
              <w:spacing w:after="0"/>
              <w:rPr>
                <w:sz w:val="13"/>
                <w:szCs w:val="13"/>
                <w:color w:val="auto"/>
              </w:rPr>
            </w:pPr>
          </w:p>
        </w:tc>
        <w:tc>
          <w:tcPr>
            <w:tcW w:w="880" w:type="dxa"/>
            <w:vAlign w:val="bottom"/>
            <w:tcBorders>
              <w:bottom w:val="single" w:sz="8" w:color="auto"/>
            </w:tcBorders>
          </w:tcPr>
          <w:p>
            <w:pPr>
              <w:ind w:left="20"/>
              <w:spacing w:after="0" w:line="150"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7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129" w:right="49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Pliant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Financial Statements</w:t>
      </w:r>
    </w:p>
    <w:p>
      <w:pPr>
        <w:spacing w:after="0" w:line="132" w:lineRule="exact"/>
        <w:rPr>
          <w:sz w:val="20"/>
          <w:szCs w:val="20"/>
          <w:color w:val="auto"/>
        </w:rPr>
      </w:pPr>
    </w:p>
    <w:p>
      <w:pPr>
        <w:ind w:left="520" w:hanging="515"/>
        <w:spacing w:after="0"/>
        <w:tabs>
          <w:tab w:leader="none" w:pos="520" w:val="left"/>
        </w:tabs>
        <w:numPr>
          <w:ilvl w:val="0"/>
          <w:numId w:val="55"/>
        </w:numPr>
        <w:rPr>
          <w:rFonts w:ascii="Arial" w:cs="Arial" w:eastAsia="Arial" w:hAnsi="Arial"/>
          <w:sz w:val="14"/>
          <w:szCs w:val="14"/>
          <w:b w:val="1"/>
          <w:bCs w:val="1"/>
          <w:color w:val="auto"/>
        </w:rPr>
      </w:pPr>
      <w:r>
        <w:rPr>
          <w:rFonts w:ascii="Arial" w:cs="Arial" w:eastAsia="Arial" w:hAnsi="Arial"/>
          <w:sz w:val="14"/>
          <w:szCs w:val="14"/>
          <w:b w:val="1"/>
          <w:bCs w:val="1"/>
          <w:color w:val="auto"/>
        </w:rPr>
        <w:t>Organization and Description of Business</w:t>
      </w:r>
    </w:p>
    <w:p>
      <w:pPr>
        <w:spacing w:after="0" w:line="98" w:lineRule="exact"/>
        <w:rPr>
          <w:sz w:val="20"/>
          <w:szCs w:val="20"/>
          <w:color w:val="auto"/>
        </w:rPr>
      </w:pPr>
    </w:p>
    <w:p>
      <w:pPr>
        <w:jc w:val="both"/>
        <w:ind w:right="100" w:firstLine="509"/>
        <w:spacing w:after="0" w:line="288" w:lineRule="auto"/>
        <w:rPr>
          <w:sz w:val="20"/>
          <w:szCs w:val="20"/>
          <w:color w:val="auto"/>
        </w:rPr>
      </w:pPr>
      <w:r>
        <w:rPr>
          <w:rFonts w:ascii="Arial" w:cs="Arial" w:eastAsia="Arial" w:hAnsi="Arial"/>
          <w:sz w:val="13"/>
          <w:szCs w:val="13"/>
          <w:color w:val="auto"/>
        </w:rPr>
        <w:t>Pliant Therapeutics, Inc. (the “Company” or "Pliant" or “we” or “our” or “us”) is a clinical stage biopharmaceutical company focused on discovering and developing novel therapies for the treatment of fibrosis with an initial focus on treating fibrosis by inhibiting integrin-mediated activation of TGF-β. Fibrosis refers to the abnormal thickening and scarring of connective tissue due to the production and deposition of excess collagen in the extra-cellular matrix. Fibrosis can occur in many different tissues including lung, liver, kidney, muscle, skin and the GI tract, and often causes severe and debilitating disease leading to organ failure. The Company is located in South San Francisco, California, and was incorporated in the state of Delaware in June 2015.</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Public Offering</w:t>
      </w:r>
    </w:p>
    <w:p>
      <w:pPr>
        <w:spacing w:after="0" w:line="147" w:lineRule="exact"/>
        <w:rPr>
          <w:sz w:val="20"/>
          <w:szCs w:val="20"/>
          <w:color w:val="auto"/>
        </w:rPr>
      </w:pPr>
    </w:p>
    <w:p>
      <w:pPr>
        <w:jc w:val="both"/>
        <w:ind w:right="300" w:firstLine="509"/>
        <w:spacing w:after="0" w:line="267" w:lineRule="auto"/>
        <w:rPr>
          <w:sz w:val="20"/>
          <w:szCs w:val="20"/>
          <w:color w:val="auto"/>
        </w:rPr>
      </w:pPr>
      <w:r>
        <w:rPr>
          <w:rFonts w:ascii="Arial" w:cs="Arial" w:eastAsia="Arial" w:hAnsi="Arial"/>
          <w:sz w:val="14"/>
          <w:szCs w:val="14"/>
          <w:color w:val="auto"/>
        </w:rPr>
        <w:t>In July 2022, the Company completed a public offering of 12,432,432 shares of common stock, including the exercise in full of the underwriters' option to purchase 1,621,621 additional shares of common stock. The shares were offered at a price of $18.50 per share, resulting in aggregate proceeds of approximately $215.4 million, net of underwriting discounts, commissions and offering expenses.</w:t>
      </w:r>
    </w:p>
    <w:p>
      <w:pPr>
        <w:spacing w:after="0" w:line="106" w:lineRule="exact"/>
        <w:rPr>
          <w:sz w:val="20"/>
          <w:szCs w:val="20"/>
          <w:color w:val="auto"/>
        </w:rPr>
      </w:pPr>
    </w:p>
    <w:p>
      <w:pPr>
        <w:ind w:left="540" w:hanging="535"/>
        <w:spacing w:after="0"/>
        <w:tabs>
          <w:tab w:leader="none" w:pos="540"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47" w:lineRule="exact"/>
        <w:rPr>
          <w:sz w:val="20"/>
          <w:szCs w:val="20"/>
          <w:color w:val="auto"/>
        </w:rPr>
      </w:pPr>
    </w:p>
    <w:p>
      <w:pPr>
        <w:ind w:right="120" w:firstLine="509"/>
        <w:spacing w:after="0" w:line="281" w:lineRule="auto"/>
        <w:rPr>
          <w:sz w:val="20"/>
          <w:szCs w:val="20"/>
          <w:color w:val="auto"/>
        </w:rPr>
      </w:pPr>
      <w:r>
        <w:rPr>
          <w:rFonts w:ascii="Arial" w:cs="Arial" w:eastAsia="Arial" w:hAnsi="Arial"/>
          <w:sz w:val="14"/>
          <w:szCs w:val="14"/>
          <w:color w:val="auto"/>
        </w:rPr>
        <w:t>The accompanying financial statements have been prepared in conformity with accounting principles generally accepted in the United States of America (“U.S. GAAP”). Certain prior year reported amounts have been reclassified to conform with the current period presentation.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57"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liabilities, and expenses as well as the disclosure of contingent assets and liabilities in the financial statements and accompanying notes. On an ongoing basis, management evaluates its estimates, including those related to revenue recognition, accruals for research and development costs, fair value of assets, stock-based compensation, income taxes and uncertain tax positions. Management bases its estimates on historical experience and on various other market-specific and relevant assumptions that management believes to be reasonable under the circumstances, however, actual results may differ from those estimates.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4" w:lineRule="exact"/>
        <w:rPr>
          <w:sz w:val="20"/>
          <w:szCs w:val="20"/>
          <w:color w:val="auto"/>
        </w:rPr>
      </w:pPr>
    </w:p>
    <w:p>
      <w:pPr>
        <w:ind w:firstLine="509"/>
        <w:spacing w:after="0" w:line="319" w:lineRule="auto"/>
        <w:rPr>
          <w:sz w:val="20"/>
          <w:szCs w:val="20"/>
          <w:color w:val="auto"/>
        </w:rPr>
      </w:pPr>
      <w:r>
        <w:rPr>
          <w:rFonts w:ascii="Arial" w:cs="Arial" w:eastAsia="Arial" w:hAnsi="Arial"/>
          <w:sz w:val="12"/>
          <w:szCs w:val="12"/>
          <w:color w:val="auto"/>
        </w:rPr>
        <w:t xml:space="preserve">The Company accounts for revenues in accordance with Accounting Standards Codification Topic 606, </w:t>
      </w:r>
      <w:r>
        <w:rPr>
          <w:rFonts w:ascii="Arial" w:cs="Arial" w:eastAsia="Arial" w:hAnsi="Arial"/>
          <w:sz w:val="12"/>
          <w:szCs w:val="12"/>
          <w:i w:val="1"/>
          <w:iCs w:val="1"/>
          <w:color w:val="auto"/>
        </w:rPr>
        <w:t>Revenue from Contracts with Customers (</w:t>
      </w:r>
      <w:r>
        <w:rPr>
          <w:rFonts w:ascii="Arial" w:cs="Arial" w:eastAsia="Arial" w:hAnsi="Arial"/>
          <w:sz w:val="12"/>
          <w:szCs w:val="12"/>
          <w:color w:val="auto"/>
        </w:rPr>
        <w:t>Topic 606). To determine revenue recognition for arrangements that fall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w:t>
      </w:r>
    </w:p>
    <w:p>
      <w:pPr>
        <w:spacing w:after="0" w:line="30" w:lineRule="exact"/>
        <w:rPr>
          <w:sz w:val="20"/>
          <w:szCs w:val="20"/>
          <w:color w:val="auto"/>
        </w:rPr>
      </w:pPr>
    </w:p>
    <w:p>
      <w:pPr>
        <w:ind w:right="100" w:firstLine="509"/>
        <w:spacing w:after="0" w:line="288" w:lineRule="auto"/>
        <w:rPr>
          <w:sz w:val="20"/>
          <w:szCs w:val="20"/>
          <w:color w:val="auto"/>
        </w:rPr>
      </w:pPr>
      <w:r>
        <w:rPr>
          <w:rFonts w:ascii="Arial" w:cs="Arial" w:eastAsia="Arial" w:hAnsi="Arial"/>
          <w:sz w:val="13"/>
          <w:szCs w:val="13"/>
          <w:color w:val="auto"/>
        </w:rPr>
        <w:t>At contract inception, we assess the goods or services promised within each contract,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 To date, our revenues have been generated solely from the Collaboration and License Agreement with Novartis (the “Novartis Agreement”). The Novartis Agreement includes licenses of intellectual property, cost reimbursements, research and development services, upfront signing fees, milestone payments and royalties on future licensee’s product sales.</w:t>
      </w:r>
    </w:p>
    <w:p>
      <w:pPr>
        <w:spacing w:after="0" w:line="46" w:lineRule="exact"/>
        <w:rPr>
          <w:sz w:val="20"/>
          <w:szCs w:val="20"/>
          <w:color w:val="auto"/>
        </w:rPr>
      </w:pPr>
    </w:p>
    <w:p>
      <w:pPr>
        <w:ind w:right="120" w:firstLine="509"/>
        <w:spacing w:after="0" w:line="267" w:lineRule="auto"/>
        <w:rPr>
          <w:sz w:val="20"/>
          <w:szCs w:val="20"/>
          <w:color w:val="auto"/>
        </w:rPr>
      </w:pPr>
      <w:r>
        <w:rPr>
          <w:rFonts w:ascii="Arial" w:cs="Arial" w:eastAsia="Arial" w:hAnsi="Arial"/>
          <w:sz w:val="14"/>
          <w:szCs w:val="14"/>
          <w:color w:val="auto"/>
        </w:rPr>
        <w:t>As part of accounting for this arrangement, we must apply judgment to determine whether the performance obligations are distinct, and develop assumptions in determining the stand-alone selling price for each distinct performance obligation identified in the contract. To determine the stand-alone selling price, we rely on assumptions which may include forecasted revenues, development timelines, reimbursement rates for personnel costs, discount rates and probabilities of technical and regulatory success.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Licenses of Intellectual Property</w:t>
      </w:r>
    </w:p>
    <w:p>
      <w:pPr>
        <w:spacing w:after="0" w:line="94"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If the license to our intellectual property is determined to be distinct from the other performance obligations identified in the arrangement, we recognize revenues from non-refundable, up-front fees allocated to the license when the license is transferred to the licensee and the licensee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revenues. We evaluate the measure of progress each reporting period and, if necessary, adjust the measure of performance and related revenue recognition.</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Milestone Payments</w:t>
      </w:r>
    </w:p>
    <w:p>
      <w:pPr>
        <w:spacing w:after="0" w:line="94"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At the inception of an arrangement that includes development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The transaction price is then allocated to each performance obligation on a relative stand-alone selling price basis, for which we recognize revenue as or when the performance obligations under the contract are satisfied. At the end of each reporting period, we re-evaluate the probability of achievement of such development milestones and any related constraint and, if necessary, adjust our estimate of the overall transaction price. Any such adjustments are recorded on a cumulative catch-up basis, which would affect collaboration and license revenue in the period of adjustment.</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services</w:t>
      </w:r>
    </w:p>
    <w:p>
      <w:pPr>
        <w:spacing w:after="0" w:line="94"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color w:val="auto"/>
        </w:rPr>
        <w:t>Amounts related to research and development services are recognized as the related services or activities are performed, in accordance with the contract terms. The cost associated with full-time equivalent researchers is estimated each period and billable to Novartis based at specified full-time equivalent rates.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Royalties:</w:t>
      </w:r>
    </w:p>
    <w:p>
      <w:pPr>
        <w:spacing w:after="0" w:line="94" w:lineRule="exact"/>
        <w:rPr>
          <w:sz w:val="20"/>
          <w:szCs w:val="20"/>
          <w:color w:val="auto"/>
        </w:rPr>
      </w:pPr>
    </w:p>
    <w:p>
      <w:pPr>
        <w:ind w:right="460" w:firstLine="509"/>
        <w:spacing w:after="0" w:line="267" w:lineRule="auto"/>
        <w:rPr>
          <w:sz w:val="20"/>
          <w:szCs w:val="20"/>
          <w:color w:val="auto"/>
        </w:rPr>
      </w:pPr>
      <w:r>
        <w:rPr>
          <w:rFonts w:ascii="Arial" w:cs="Arial" w:eastAsia="Arial" w:hAnsi="Arial"/>
          <w:sz w:val="14"/>
          <w:szCs w:val="14"/>
          <w:color w:val="auto"/>
        </w:rPr>
        <w:t>The sales-based royalties, including milestone payments based on the level of sales, are considered to be predominately related to the license included in the arrangement, and we will recognize revenue at the later of (i) when the related sales occur, or (ii) when the performance obligation to which some or all of the royalty has been allocated has been satisfied (or partially satisfied). To date, we have not recognized any royalty revenue from the Novartis Agreement.</w:t>
      </w:r>
    </w:p>
    <w:p>
      <w:pPr>
        <w:spacing w:after="0" w:line="57" w:lineRule="exact"/>
        <w:rPr>
          <w:sz w:val="20"/>
          <w:szCs w:val="20"/>
          <w:color w:val="auto"/>
        </w:rPr>
      </w:pPr>
    </w:p>
    <w:p>
      <w:pPr>
        <w:ind w:right="220" w:firstLine="509"/>
        <w:spacing w:after="0" w:line="260" w:lineRule="auto"/>
        <w:rPr>
          <w:sz w:val="20"/>
          <w:szCs w:val="20"/>
          <w:color w:val="auto"/>
        </w:rPr>
      </w:pPr>
      <w:r>
        <w:rPr>
          <w:rFonts w:ascii="Arial" w:cs="Arial" w:eastAsia="Arial" w:hAnsi="Arial"/>
          <w:sz w:val="14"/>
          <w:szCs w:val="14"/>
          <w:color w:val="auto"/>
        </w:rPr>
        <w:t>We recognize contract assets when we have a right to consideration in exchange for goods or services that the Company has transferred to a customer when that right is conditional on something other than the passage of time. A receivable will be recorded on the balance sheet when the Company has unconditional rights to consideration (i.e., only the passage of time is required before payment becomes due). A contract liability is an obligation to transfer goods or services for which the Company has received consideration, or for which an amount of consideration is due from the customer. Receivables cannot be netted against contract liabilities and would be presented separately from contract assets. Contract assets and contract liabilities are netted at the contract level.</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w:t>
      </w:r>
    </w:p>
    <w:p>
      <w:pPr>
        <w:spacing w:after="0" w:line="157" w:lineRule="exact"/>
        <w:rPr>
          <w:sz w:val="20"/>
          <w:szCs w:val="20"/>
          <w:color w:val="auto"/>
        </w:rPr>
      </w:pPr>
    </w:p>
    <w:p>
      <w:pPr>
        <w:ind w:right="20" w:firstLine="509"/>
        <w:spacing w:after="0" w:line="284" w:lineRule="auto"/>
        <w:rPr>
          <w:sz w:val="20"/>
          <w:szCs w:val="20"/>
          <w:color w:val="auto"/>
        </w:rPr>
      </w:pPr>
      <w:r>
        <w:rPr>
          <w:rFonts w:ascii="Arial" w:cs="Arial" w:eastAsia="Arial" w:hAnsi="Arial"/>
          <w:sz w:val="13"/>
          <w:szCs w:val="13"/>
          <w:color w:val="auto"/>
        </w:rPr>
        <w:t>The Company defines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the Company considers the principal or most advantageous market in which to transact and the market-based risk. Fair value accounting is applied for all financial assets and liabilities and non-financial assets and liabilities that are recognized or disclosed at fair value in the financial statements on a recurring basis. The carrying amount of the Company’s financial instruments, including cash and cash equivalents, tax credit receivable, accounts receivable, prepaid expenses and other current assets, accounts payable and accrued liabilities approximate fair value due to their short-term maturities.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 of Credit Risk and Other Risks and Uncertainties</w:t>
      </w:r>
    </w:p>
    <w:p>
      <w:pPr>
        <w:spacing w:after="0" w:line="147" w:lineRule="exact"/>
        <w:rPr>
          <w:sz w:val="20"/>
          <w:szCs w:val="20"/>
          <w:color w:val="auto"/>
        </w:rPr>
      </w:pPr>
    </w:p>
    <w:p>
      <w:pPr>
        <w:ind w:right="40" w:firstLine="509"/>
        <w:spacing w:after="0" w:line="260" w:lineRule="auto"/>
        <w:rPr>
          <w:sz w:val="20"/>
          <w:szCs w:val="20"/>
          <w:color w:val="auto"/>
        </w:rPr>
      </w:pPr>
      <w:r>
        <w:rPr>
          <w:rFonts w:ascii="Arial" w:cs="Arial" w:eastAsia="Arial" w:hAnsi="Arial"/>
          <w:sz w:val="14"/>
          <w:szCs w:val="14"/>
          <w:color w:val="auto"/>
        </w:rPr>
        <w:t>Financial instruments that potentially subject the Company to a concentration of credit risk consist of cash and cash equivalents, short-term investments and accounts receivable. The Company invests in money market funds, U.S. Treasury securities, government notes and corporate debt securities. The Company limits its credit risk associated with its cash and cash equivalents by placing them with banks and institutions it believes are highly credit worthy and in highly rated investments. However, the Company had deposits in excess of the Federal Deposit Insurance Corporation (“FDIC”) insured limit of $250,000. The Company performs credit evaluations of its customer, and the risk with respect to accounts receivable is further mitigated by the short duration of customer payment terms, generally within 60 days, and the pedigree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of the customer base. During the years ended December 31, 2022 and 2021, Novartis accounted for 100% of the Company’s revenue and accounts receivable.</w:t>
      </w:r>
    </w:p>
    <w:p>
      <w:pPr>
        <w:spacing w:after="0" w:line="157" w:lineRule="exact"/>
        <w:rPr>
          <w:sz w:val="20"/>
          <w:szCs w:val="20"/>
          <w:color w:val="auto"/>
        </w:rPr>
      </w:pPr>
    </w:p>
    <w:p>
      <w:pPr>
        <w:ind w:right="140" w:firstLine="509"/>
        <w:spacing w:after="0" w:line="262" w:lineRule="auto"/>
        <w:rPr>
          <w:sz w:val="20"/>
          <w:szCs w:val="20"/>
          <w:color w:val="auto"/>
        </w:rPr>
      </w:pPr>
      <w:r>
        <w:rPr>
          <w:rFonts w:ascii="Arial" w:cs="Arial" w:eastAsia="Arial" w:hAnsi="Arial"/>
          <w:sz w:val="14"/>
          <w:szCs w:val="14"/>
          <w:color w:val="auto"/>
        </w:rPr>
        <w:t>The Company’s future results of operations involve several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product candidates, uncertainty of market acceptance of the Company’s product candidates, competition from substitute products, including those that may be developed or marketed by larger companies, securing and protecting intellectual property, strategic relationships and dependence on key individuals and sole source suppliers.</w:t>
      </w:r>
    </w:p>
    <w:p>
      <w:pPr>
        <w:spacing w:after="0" w:line="114" w:lineRule="exact"/>
        <w:rPr>
          <w:sz w:val="20"/>
          <w:szCs w:val="20"/>
          <w:color w:val="auto"/>
        </w:rPr>
      </w:pPr>
    </w:p>
    <w:p>
      <w:pPr>
        <w:ind w:right="60" w:firstLine="509"/>
        <w:spacing w:after="0" w:line="267" w:lineRule="auto"/>
        <w:rPr>
          <w:sz w:val="20"/>
          <w:szCs w:val="20"/>
          <w:color w:val="auto"/>
        </w:rPr>
      </w:pPr>
      <w:r>
        <w:rPr>
          <w:rFonts w:ascii="Arial" w:cs="Arial" w:eastAsia="Arial" w:hAnsi="Arial"/>
          <w:sz w:val="14"/>
          <w:szCs w:val="14"/>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Segments</w:t>
      </w:r>
    </w:p>
    <w:p>
      <w:pPr>
        <w:spacing w:after="0" w:line="157" w:lineRule="exact"/>
        <w:rPr>
          <w:sz w:val="20"/>
          <w:szCs w:val="20"/>
          <w:color w:val="auto"/>
        </w:rPr>
      </w:pPr>
    </w:p>
    <w:p>
      <w:pPr>
        <w:jc w:val="both"/>
        <w:ind w:right="20" w:firstLine="509"/>
        <w:spacing w:after="0" w:line="267" w:lineRule="auto"/>
        <w:rPr>
          <w:sz w:val="20"/>
          <w:szCs w:val="20"/>
          <w:color w:val="auto"/>
        </w:rPr>
      </w:pPr>
      <w:r>
        <w:rPr>
          <w:rFonts w:ascii="Arial" w:cs="Arial" w:eastAsia="Arial" w:hAnsi="Arial"/>
          <w:sz w:val="14"/>
          <w:szCs w:val="14"/>
          <w:color w:val="auto"/>
        </w:rPr>
        <w:t>The Company operates and manages its business as one reportable and operating segment, which is the business of developing and commercializing novel therapies for fibrotic diseases. The Company’s chief executive officer, who is the chief operating decision maker, reviews financial information on an aggregate basis for allocating and evaluating financial performance. All long-lived assets are maintained in the United States of America.</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47" w:lineRule="exact"/>
        <w:rPr>
          <w:sz w:val="20"/>
          <w:szCs w:val="20"/>
          <w:color w:val="auto"/>
        </w:rPr>
      </w:pPr>
    </w:p>
    <w:p>
      <w:pPr>
        <w:ind w:right="360" w:firstLine="509"/>
        <w:spacing w:after="0" w:line="368" w:lineRule="auto"/>
        <w:rPr>
          <w:sz w:val="20"/>
          <w:szCs w:val="20"/>
          <w:color w:val="auto"/>
        </w:rPr>
      </w:pPr>
      <w:r>
        <w:rPr>
          <w:rFonts w:ascii="Arial" w:cs="Arial" w:eastAsia="Arial" w:hAnsi="Arial"/>
          <w:sz w:val="12"/>
          <w:szCs w:val="12"/>
          <w:color w:val="auto"/>
        </w:rPr>
        <w:t>The Company considers all highly liquid investments purchased with original maturities of three months or less from the purchase date to be cash equivalents. Cash equivalents consist primarily of amounts invested in Money Market Funds, United States (“U.S.”) treasury securities, U.S. government agency securities and corporate debt securities and are stated at fair value.</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Short-Term Investments</w:t>
      </w:r>
    </w:p>
    <w:p>
      <w:pPr>
        <w:spacing w:after="0" w:line="147" w:lineRule="exact"/>
        <w:rPr>
          <w:sz w:val="20"/>
          <w:szCs w:val="20"/>
          <w:color w:val="auto"/>
        </w:rPr>
      </w:pPr>
    </w:p>
    <w:p>
      <w:pPr>
        <w:ind w:firstLine="509"/>
        <w:spacing w:after="0" w:line="284" w:lineRule="auto"/>
        <w:rPr>
          <w:sz w:val="20"/>
          <w:szCs w:val="20"/>
          <w:color w:val="auto"/>
        </w:rPr>
      </w:pPr>
      <w:r>
        <w:rPr>
          <w:rFonts w:ascii="Arial" w:cs="Arial" w:eastAsia="Arial" w:hAnsi="Arial"/>
          <w:sz w:val="13"/>
          <w:szCs w:val="13"/>
          <w:color w:val="auto"/>
        </w:rPr>
        <w:t>The Company’s short-term investments consist of U.S. Treasury securities, U.S. government agency securities and corporate debt securities with remaining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As of December 31, 2022 and 2021, all of the Company’s short-term investments were classified as available-for-sale and were carried at fair market value with unrealized losses recorded in other comprehensive loss in the statements of operations and comprehensive loss. See Note 3 for further details.</w:t>
      </w:r>
    </w:p>
    <w:p>
      <w:pPr>
        <w:spacing w:after="0" w:line="102" w:lineRule="exact"/>
        <w:rPr>
          <w:sz w:val="20"/>
          <w:szCs w:val="20"/>
          <w:color w:val="auto"/>
        </w:rPr>
      </w:pPr>
    </w:p>
    <w:p>
      <w:pPr>
        <w:ind w:right="60" w:firstLine="509"/>
        <w:spacing w:after="0" w:line="258" w:lineRule="auto"/>
        <w:rPr>
          <w:sz w:val="20"/>
          <w:szCs w:val="20"/>
          <w:color w:val="auto"/>
        </w:rPr>
      </w:pPr>
      <w:r>
        <w:rPr>
          <w:rFonts w:ascii="Arial" w:cs="Arial" w:eastAsia="Arial" w:hAnsi="Arial"/>
          <w:sz w:val="14"/>
          <w:szCs w:val="14"/>
          <w:color w:val="auto"/>
        </w:rPr>
        <w:t>Short-term investments are considered impaired when a decline in fair value is judged to be other-than-temporary. The Company consults with its investment managers and considers available quantitative and qualitative evidence in evaluating potential impairment of its short-term investments on a quarterly basis. If the cost of an individual investment exceeds its fair value, the Company evaluates, among other factors, general market conditions, the duration and extent to which the fair value is less than cost and its intent and ability to hold the investment. Once a decline in fair value is determined to be other-than-temporary, an impairment charge will be recorded to other expense, net, in the statements of operations and comprehensive loss and a new cost basis in the short-term investment will be established. As of December 31, 2022, the Company had not recorded any impairment related to other-than-temporary declines in the fair value of short-term investments and long lived assets.</w:t>
      </w:r>
    </w:p>
    <w:p>
      <w:pPr>
        <w:spacing w:after="0" w:line="129" w:lineRule="exact"/>
        <w:rPr>
          <w:sz w:val="20"/>
          <w:szCs w:val="20"/>
          <w:color w:val="auto"/>
        </w:rPr>
      </w:pPr>
    </w:p>
    <w:p>
      <w:pPr>
        <w:ind w:right="120" w:firstLine="509"/>
        <w:spacing w:after="0" w:line="297" w:lineRule="auto"/>
        <w:rPr>
          <w:sz w:val="20"/>
          <w:szCs w:val="20"/>
          <w:color w:val="auto"/>
        </w:rPr>
      </w:pPr>
      <w:r>
        <w:rPr>
          <w:rFonts w:ascii="Arial" w:cs="Arial" w:eastAsia="Arial" w:hAnsi="Arial"/>
          <w:sz w:val="13"/>
          <w:szCs w:val="13"/>
          <w:color w:val="auto"/>
        </w:rPr>
        <w:t>The Company records an allowance for credit losses using an expected loss model. Credit losses are limited to the amount by which the amortized cost of an investment exceeds its fair value. A previously recognized credit loss may be decreased in subsequent periods if the Company’s estimate of fair value for the investment increases. To determine whether to record a credit loss, the Company considers issuer specific credit ratings and historical losses as well as current economic conditions and its expectations for future economic conditions.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and Equipment, Net</w:t>
      </w:r>
    </w:p>
    <w:p>
      <w:pPr>
        <w:spacing w:after="0" w:line="157" w:lineRule="exact"/>
        <w:rPr>
          <w:sz w:val="20"/>
          <w:szCs w:val="20"/>
          <w:color w:val="auto"/>
        </w:rPr>
      </w:pPr>
    </w:p>
    <w:p>
      <w:pPr>
        <w:ind w:right="300" w:firstLine="509"/>
        <w:spacing w:after="0" w:line="281" w:lineRule="auto"/>
        <w:rPr>
          <w:sz w:val="20"/>
          <w:szCs w:val="20"/>
          <w:color w:val="auto"/>
        </w:rPr>
      </w:pPr>
      <w:r>
        <w:rPr>
          <w:rFonts w:ascii="Arial" w:cs="Arial" w:eastAsia="Arial" w:hAnsi="Arial"/>
          <w:sz w:val="14"/>
          <w:szCs w:val="14"/>
          <w:color w:val="auto"/>
        </w:rPr>
        <w:t>Property and equipment are recorded at cost net of accumulated depreciation and amortization. Property and equipment are depreciated using the straight-line method over the estimated useful lives of the assets. The useful lives of property and equipment are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Laboratory equipment</w:t>
            </w:r>
          </w:p>
        </w:tc>
        <w:tc>
          <w:tcPr>
            <w:tcW w:w="7460" w:type="dxa"/>
            <w:vAlign w:val="bottom"/>
            <w:shd w:val="clear" w:color="auto" w:fill="CFF0FC"/>
          </w:tcPr>
          <w:p>
            <w:pPr>
              <w:ind w:left="1820"/>
              <w:spacing w:after="0"/>
              <w:rPr>
                <w:sz w:val="20"/>
                <w:szCs w:val="20"/>
                <w:color w:val="auto"/>
              </w:rPr>
            </w:pPr>
            <w:r>
              <w:rPr>
                <w:rFonts w:ascii="Arial" w:cs="Arial" w:eastAsia="Arial" w:hAnsi="Arial"/>
                <w:sz w:val="14"/>
                <w:szCs w:val="14"/>
                <w:color w:val="auto"/>
              </w:rPr>
              <w:t>5 years</w:t>
            </w:r>
          </w:p>
        </w:tc>
      </w:tr>
      <w:tr>
        <w:trPr>
          <w:trHeight w:val="191"/>
        </w:trPr>
        <w:tc>
          <w:tcPr>
            <w:tcW w:w="3820" w:type="dxa"/>
            <w:vAlign w:val="bottom"/>
          </w:tcPr>
          <w:p>
            <w:pPr>
              <w:ind w:left="20"/>
              <w:spacing w:after="0"/>
              <w:rPr>
                <w:sz w:val="20"/>
                <w:szCs w:val="20"/>
                <w:color w:val="auto"/>
              </w:rPr>
            </w:pPr>
            <w:r>
              <w:rPr>
                <w:rFonts w:ascii="Arial" w:cs="Arial" w:eastAsia="Arial" w:hAnsi="Arial"/>
                <w:sz w:val="14"/>
                <w:szCs w:val="14"/>
                <w:color w:val="auto"/>
              </w:rPr>
              <w:t>Computer equipment and software</w:t>
            </w:r>
          </w:p>
        </w:tc>
        <w:tc>
          <w:tcPr>
            <w:tcW w:w="7460" w:type="dxa"/>
            <w:vAlign w:val="bottom"/>
          </w:tcPr>
          <w:p>
            <w:pPr>
              <w:ind w:left="1820"/>
              <w:spacing w:after="0"/>
              <w:rPr>
                <w:sz w:val="20"/>
                <w:szCs w:val="20"/>
                <w:color w:val="auto"/>
              </w:rPr>
            </w:pPr>
            <w:r>
              <w:rPr>
                <w:rFonts w:ascii="Arial" w:cs="Arial" w:eastAsia="Arial" w:hAnsi="Arial"/>
                <w:sz w:val="14"/>
                <w:szCs w:val="14"/>
                <w:color w:val="auto"/>
              </w:rPr>
              <w:t>3 years</w:t>
            </w:r>
          </w:p>
        </w:tc>
      </w:tr>
      <w:tr>
        <w:trPr>
          <w:trHeight w:val="22"/>
        </w:trPr>
        <w:tc>
          <w:tcPr>
            <w:tcW w:w="38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191"/>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Leasehold improvements</w:t>
            </w:r>
          </w:p>
        </w:tc>
        <w:tc>
          <w:tcPr>
            <w:tcW w:w="7460" w:type="dxa"/>
            <w:vAlign w:val="bottom"/>
            <w:shd w:val="clear" w:color="auto" w:fill="CFF0FC"/>
          </w:tcPr>
          <w:p>
            <w:pPr>
              <w:ind w:left="1820"/>
              <w:spacing w:after="0"/>
              <w:rPr>
                <w:sz w:val="20"/>
                <w:szCs w:val="20"/>
                <w:color w:val="auto"/>
              </w:rPr>
            </w:pPr>
            <w:r>
              <w:rPr>
                <w:rFonts w:ascii="Arial" w:cs="Arial" w:eastAsia="Arial" w:hAnsi="Arial"/>
                <w:sz w:val="14"/>
                <w:szCs w:val="14"/>
                <w:color w:val="auto"/>
              </w:rPr>
              <w:t>Shorter of remaining lease term or estimated useful life</w:t>
            </w:r>
          </w:p>
        </w:tc>
      </w:tr>
      <w:tr>
        <w:trPr>
          <w:trHeight w:val="22"/>
        </w:trPr>
        <w:tc>
          <w:tcPr>
            <w:tcW w:w="3820" w:type="dxa"/>
            <w:vAlign w:val="bottom"/>
            <w:shd w:val="clear" w:color="auto" w:fill="CFF0FC"/>
          </w:tcPr>
          <w:p>
            <w:pPr>
              <w:spacing w:after="0" w:line="20" w:lineRule="exact"/>
              <w:rPr>
                <w:sz w:val="1"/>
                <w:szCs w:val="1"/>
                <w:color w:val="auto"/>
              </w:rPr>
            </w:pPr>
          </w:p>
        </w:tc>
        <w:tc>
          <w:tcPr>
            <w:tcW w:w="7460" w:type="dxa"/>
            <w:vAlign w:val="bottom"/>
            <w:shd w:val="clear" w:color="auto" w:fill="CFF0FC"/>
          </w:tcPr>
          <w:p>
            <w:pPr>
              <w:spacing w:after="0" w:line="20" w:lineRule="exact"/>
              <w:rPr>
                <w:sz w:val="1"/>
                <w:szCs w:val="1"/>
                <w:color w:val="auto"/>
              </w:rPr>
            </w:pPr>
          </w:p>
        </w:tc>
      </w:tr>
    </w:tbl>
    <w:p>
      <w:pPr>
        <w:spacing w:after="0" w:line="148" w:lineRule="exact"/>
        <w:rPr>
          <w:sz w:val="20"/>
          <w:szCs w:val="20"/>
          <w:color w:val="auto"/>
        </w:rPr>
      </w:pPr>
    </w:p>
    <w:p>
      <w:pPr>
        <w:ind w:right="280" w:firstLine="509"/>
        <w:spacing w:after="0" w:line="281" w:lineRule="auto"/>
        <w:rPr>
          <w:sz w:val="20"/>
          <w:szCs w:val="20"/>
          <w:color w:val="auto"/>
        </w:rPr>
      </w:pPr>
      <w:r>
        <w:rPr>
          <w:rFonts w:ascii="Arial" w:cs="Arial" w:eastAsia="Arial" w:hAnsi="Arial"/>
          <w:sz w:val="14"/>
          <w:szCs w:val="14"/>
          <w:color w:val="auto"/>
        </w:rPr>
        <w:t>Upon retirement or sale of the assets, the cost and related accumulated depreciation and amortization are removed from the balance sheets and the resulting gain or loss is recorded to the statements of operations and comprehensive loss. Repairs and maintenance are expensed as incurred.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94" w:lineRule="exact"/>
        <w:rPr>
          <w:sz w:val="20"/>
          <w:szCs w:val="20"/>
          <w:color w:val="auto"/>
        </w:rPr>
      </w:pPr>
    </w:p>
    <w:p>
      <w:pPr>
        <w:ind w:right="240" w:firstLine="509"/>
        <w:spacing w:after="0" w:line="368" w:lineRule="auto"/>
        <w:rPr>
          <w:sz w:val="20"/>
          <w:szCs w:val="20"/>
          <w:color w:val="auto"/>
        </w:rPr>
      </w:pPr>
      <w:r>
        <w:rPr>
          <w:rFonts w:ascii="Arial" w:cs="Arial" w:eastAsia="Arial" w:hAnsi="Arial"/>
          <w:sz w:val="12"/>
          <w:szCs w:val="12"/>
          <w:color w:val="auto"/>
        </w:rPr>
        <w:t>The Company determines if an arrangement contains a lease at the inception of the contract and a records right-of-use (“ROU”) asset and lease liability on the balance sheet at lease commencement based on the present value of remaining lease payments over the lease term. The Company only considers payments that are fixed and determinable at the time of commencement.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 leases with an initial term greater than 12 months, lease liabilities are recognized based on the present value of the future minimum lease payments discounted by the Company’s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estimated incremental borrowing rate. The Company measures ROU assets based on the corresponding lease liability adjusted for (i) payments made to the lessor at or before the commencement date,</w:t>
      </w:r>
    </w:p>
    <w:p>
      <w:pPr>
        <w:spacing w:after="0" w:line="32" w:lineRule="exact"/>
        <w:rPr>
          <w:sz w:val="20"/>
          <w:szCs w:val="20"/>
          <w:color w:val="auto"/>
        </w:rPr>
      </w:pPr>
    </w:p>
    <w:p>
      <w:pPr>
        <w:ind w:right="300" w:firstLine="5"/>
        <w:spacing w:after="0" w:line="266" w:lineRule="auto"/>
        <w:tabs>
          <w:tab w:leader="none" w:pos="208"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initial direct costs incurred and (iii) tenant incentives under the lease. The Company’s lease terms may include options to extend or terminate the lease when it is reasonably certain that it will exercise that option. Lease expense for minimum lease payments is recognized on a straight-line basis over the lease term.</w:t>
      </w:r>
    </w:p>
    <w:p>
      <w:pPr>
        <w:spacing w:after="0" w:line="57"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The Company calculates the present value of future minimum lease payments using its estimated incremental borrowing rate when the discount rate implicit in the lease is not known. The incremental borrowing rate is the rate of interest that a lessee would have to pay to borrow on a collateralized basis over a similar term at an amount equal to the lease payments in a similar economic environment. In determining its incremental borrowing rate, the Company gives consideration to its credit risk, term of the lease, total lease payments and an analysis of peer companies with profiles similar to its own.</w:t>
      </w:r>
    </w:p>
    <w:p>
      <w:pPr>
        <w:spacing w:after="0" w:line="61" w:lineRule="exact"/>
        <w:rPr>
          <w:sz w:val="20"/>
          <w:szCs w:val="20"/>
          <w:color w:val="auto"/>
        </w:rPr>
      </w:pPr>
    </w:p>
    <w:p>
      <w:pPr>
        <w:ind w:right="80" w:firstLine="509"/>
        <w:spacing w:after="0" w:line="267" w:lineRule="auto"/>
        <w:rPr>
          <w:sz w:val="20"/>
          <w:szCs w:val="20"/>
          <w:color w:val="auto"/>
        </w:rPr>
      </w:pPr>
      <w:r>
        <w:rPr>
          <w:rFonts w:ascii="Arial" w:cs="Arial" w:eastAsia="Arial" w:hAnsi="Arial"/>
          <w:sz w:val="14"/>
          <w:szCs w:val="14"/>
          <w:color w:val="auto"/>
        </w:rPr>
        <w:t>The Company has elected the short-term lease practical expedient to exclude leases with a term less than 12 months from its ROU assets and lease liabilities. The Company records rent expense for short-term leases in its statements of operations on a straight-line basis over the lease term and records variable lease payments as incurred. The Company has also elected to not separate lease and non-lease components and, as a result, accounts for any lease and non-lease components as a single lease component.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of Long-Lived Assets</w:t>
      </w:r>
    </w:p>
    <w:p>
      <w:pPr>
        <w:spacing w:after="0" w:line="94"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the carrying amount of an asset exceeds its estimated future cash flows, an impairment charge is recognized by the amount by which the carrying amount of the asset exceeds the fair value of the asset. There was no impairment of long-lived assets during the years ended December 31, 2022 and 2021.</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94" w:lineRule="exact"/>
        <w:rPr>
          <w:sz w:val="20"/>
          <w:szCs w:val="20"/>
          <w:color w:val="auto"/>
        </w:rPr>
      </w:pPr>
    </w:p>
    <w:p>
      <w:pPr>
        <w:ind w:right="40" w:firstLine="509"/>
        <w:spacing w:after="0" w:line="257" w:lineRule="auto"/>
        <w:rPr>
          <w:sz w:val="20"/>
          <w:szCs w:val="20"/>
          <w:color w:val="auto"/>
        </w:rPr>
      </w:pPr>
      <w:r>
        <w:rPr>
          <w:rFonts w:ascii="Arial" w:cs="Arial" w:eastAsia="Arial" w:hAnsi="Arial"/>
          <w:sz w:val="14"/>
          <w:szCs w:val="14"/>
          <w:color w:val="auto"/>
        </w:rPr>
        <w:t>Research and development costs are expensed as incurred. Research and development expenses consist primarily of personnel costs for the Company’s research and development employees. Also included are non-personnel costs such as fees paid to consultants and third parties for preclinical and clinical studies, research and development services, laboratory supplies and equipment maintenance costs, license costs, contract manufacturing costs and allocations of facility related costs. The Company estimates preclinical and clinical studies and research expenses based on the services performed, pursuant to contracts with research institutions that conduct and manage preclinical and clinical studies and research services on its behalf. We estimate the amount of work completed through review of detailed budgets and timelines included in our contracts and agreements, and update these estimates with information obtained from third-party service providers and internal personnel on a quarterly basis. If the actual timing of the performance of services or the level of effort varies from the original estimates, the Company will adjust the accrual accordingly. Payments made to third parties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under these arrangements in advance of the performance of the related services are recorded as prepaid expenses and are expensed as services are rendered.</w:t>
      </w:r>
    </w:p>
    <w:p>
      <w:pPr>
        <w:spacing w:after="0" w:line="147"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color w:val="auto"/>
        </w:rPr>
        <w:t>Payments associated with licensing agreements to acquire exclusive licenses to develop, use, manufacture and commercialize products that have not reached technological feasibility and do not have alternate commercial use are expensed as incurred.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94" w:lineRule="exact"/>
        <w:rPr>
          <w:sz w:val="20"/>
          <w:szCs w:val="20"/>
          <w:color w:val="auto"/>
        </w:rPr>
      </w:pPr>
    </w:p>
    <w:p>
      <w:pPr>
        <w:ind w:right="80" w:firstLine="509"/>
        <w:spacing w:after="0" w:line="260" w:lineRule="auto"/>
        <w:rPr>
          <w:sz w:val="20"/>
          <w:szCs w:val="20"/>
          <w:color w:val="auto"/>
        </w:rPr>
      </w:pPr>
      <w:r>
        <w:rPr>
          <w:rFonts w:ascii="Arial" w:cs="Arial" w:eastAsia="Arial" w:hAnsi="Arial"/>
          <w:sz w:val="14"/>
          <w:szCs w:val="14"/>
          <w:color w:val="auto"/>
        </w:rPr>
        <w:t>The Company’s stock-based equity awards include restricted stock awards, stock options, restricted stock units ("RSUs"), performance-based restricted stock units ("PSUs"), and shares that will be issued under the Company’s 2020 Employee Stock Purchase Plan (“ESPP”). Stock-based compensation for awards that are granted to employees is accounted at fair value on the award grant date and the expense is recognized over the period the employee is required to provide service in exchange for the award, which is generally on a straight-line basis over the vesting period of the award. The expense is recorded in either research and development or general and administrative expenses in the statements of operations and comprehensive loss based on the function to which the related services are provided. Forfeitures are accounted for as they occur.</w:t>
      </w:r>
    </w:p>
    <w:p>
      <w:pPr>
        <w:spacing w:after="0" w:line="62" w:lineRule="exact"/>
        <w:rPr>
          <w:sz w:val="20"/>
          <w:szCs w:val="20"/>
          <w:color w:val="auto"/>
        </w:rPr>
      </w:pPr>
    </w:p>
    <w:p>
      <w:pPr>
        <w:ind w:right="260" w:firstLine="509"/>
        <w:spacing w:after="0" w:line="321" w:lineRule="auto"/>
        <w:rPr>
          <w:sz w:val="20"/>
          <w:szCs w:val="20"/>
          <w:color w:val="auto"/>
        </w:rPr>
      </w:pPr>
      <w:r>
        <w:rPr>
          <w:rFonts w:ascii="Arial" w:cs="Arial" w:eastAsia="Arial" w:hAnsi="Arial"/>
          <w:sz w:val="13"/>
          <w:szCs w:val="13"/>
          <w:color w:val="auto"/>
        </w:rPr>
        <w:t>The Company utilizes the Monte Carlo simulation model with significant inputs including volatility and closing price of stock on grant for estimating the fair value of equity awards with market-based vesting conditions and uses the closing price of common stock on the date of grant for PSUs and RSUs with a performance or service-based vesting condition.</w:t>
      </w:r>
    </w:p>
    <w:p>
      <w:pPr>
        <w:spacing w:after="0" w:line="2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Black-Scholes option-pricing model, used to estimate fair value of stock options with service-based vesting conditions, requires the use of the following assumptions:</w:t>
      </w:r>
    </w:p>
    <w:p>
      <w:pPr>
        <w:spacing w:after="0" w:line="94" w:lineRule="exact"/>
        <w:rPr>
          <w:sz w:val="20"/>
          <w:szCs w:val="20"/>
          <w:color w:val="auto"/>
        </w:rPr>
      </w:pPr>
    </w:p>
    <w:p>
      <w:pPr>
        <w:ind w:left="1020" w:right="40" w:hanging="506"/>
        <w:spacing w:after="0" w:line="267" w:lineRule="auto"/>
        <w:tabs>
          <w:tab w:leader="none" w:pos="1016" w:val="left"/>
        </w:tabs>
        <w:numPr>
          <w:ilvl w:val="0"/>
          <w:numId w:val="58"/>
        </w:numPr>
        <w:rPr>
          <w:rFonts w:ascii="Arial" w:cs="Arial" w:eastAsia="Arial" w:hAnsi="Arial"/>
          <w:sz w:val="14"/>
          <w:szCs w:val="14"/>
          <w:color w:val="auto"/>
        </w:rPr>
      </w:pPr>
      <w:r>
        <w:rPr>
          <w:rFonts w:ascii="Arial" w:cs="Arial" w:eastAsia="Arial" w:hAnsi="Arial"/>
          <w:sz w:val="14"/>
          <w:szCs w:val="14"/>
          <w:i w:val="1"/>
          <w:iCs w:val="1"/>
          <w:color w:val="auto"/>
        </w:rPr>
        <w:t>Expected term</w:t>
      </w:r>
      <w:r>
        <w:rPr>
          <w:rFonts w:ascii="Arial" w:cs="Arial" w:eastAsia="Arial" w:hAnsi="Arial"/>
          <w:sz w:val="14"/>
          <w:szCs w:val="14"/>
          <w:color w:val="auto"/>
        </w:rPr>
        <w:t>—The expected term represents the period that the stock-based awards are expected to be outstanding. The expected term for the Company’s stock options was</w:t>
      </w:r>
      <w:r>
        <w:rPr>
          <w:rFonts w:ascii="Arial" w:cs="Arial" w:eastAsia="Arial" w:hAnsi="Arial"/>
          <w:sz w:val="14"/>
          <w:szCs w:val="14"/>
          <w:i w:val="1"/>
          <w:iCs w:val="1"/>
          <w:color w:val="auto"/>
        </w:rPr>
        <w:t xml:space="preserve"> </w:t>
      </w:r>
      <w:r>
        <w:rPr>
          <w:rFonts w:ascii="Arial" w:cs="Arial" w:eastAsia="Arial" w:hAnsi="Arial"/>
          <w:sz w:val="14"/>
          <w:szCs w:val="14"/>
          <w:color w:val="auto"/>
        </w:rPr>
        <w:t>calculated utilizing the simplified method, which represents the average of the weighted-average vesting term and the contract period of the awards. The expected term for the ESPP is the offering period.</w:t>
      </w:r>
    </w:p>
    <w:p>
      <w:pPr>
        <w:spacing w:after="0" w:line="56" w:lineRule="exact"/>
        <w:rPr>
          <w:rFonts w:ascii="Arial" w:cs="Arial" w:eastAsia="Arial" w:hAnsi="Arial"/>
          <w:sz w:val="14"/>
          <w:szCs w:val="14"/>
          <w:color w:val="auto"/>
        </w:rPr>
      </w:pPr>
    </w:p>
    <w:p>
      <w:pPr>
        <w:ind w:left="1020" w:right="20" w:hanging="506"/>
        <w:spacing w:after="0" w:line="262" w:lineRule="auto"/>
        <w:tabs>
          <w:tab w:leader="none" w:pos="1016" w:val="left"/>
        </w:tabs>
        <w:numPr>
          <w:ilvl w:val="0"/>
          <w:numId w:val="58"/>
        </w:numPr>
        <w:rPr>
          <w:rFonts w:ascii="Arial" w:cs="Arial" w:eastAsia="Arial" w:hAnsi="Arial"/>
          <w:sz w:val="14"/>
          <w:szCs w:val="14"/>
          <w:color w:val="auto"/>
        </w:rPr>
      </w:pPr>
      <w:r>
        <w:rPr>
          <w:rFonts w:ascii="Arial" w:cs="Arial" w:eastAsia="Arial" w:hAnsi="Arial"/>
          <w:sz w:val="14"/>
          <w:szCs w:val="14"/>
          <w:i w:val="1"/>
          <w:iCs w:val="1"/>
          <w:color w:val="auto"/>
        </w:rPr>
        <w:t>Expected volatility</w:t>
      </w:r>
      <w:r>
        <w:rPr>
          <w:rFonts w:ascii="Arial" w:cs="Arial" w:eastAsia="Arial" w:hAnsi="Arial"/>
          <w:sz w:val="14"/>
          <w:szCs w:val="14"/>
          <w:color w:val="auto"/>
        </w:rPr>
        <w:t>—Prior to the Company being public, the Company did not have any trading history for its common stock, the expected volatility was estimated based on the</w:t>
      </w:r>
      <w:r>
        <w:rPr>
          <w:rFonts w:ascii="Arial" w:cs="Arial" w:eastAsia="Arial" w:hAnsi="Arial"/>
          <w:sz w:val="14"/>
          <w:szCs w:val="14"/>
          <w:i w:val="1"/>
          <w:iCs w:val="1"/>
          <w:color w:val="auto"/>
        </w:rPr>
        <w:t xml:space="preserve"> </w:t>
      </w:r>
      <w:r>
        <w:rPr>
          <w:rFonts w:ascii="Arial" w:cs="Arial" w:eastAsia="Arial" w:hAnsi="Arial"/>
          <w:sz w:val="14"/>
          <w:szCs w:val="14"/>
          <w:color w:val="auto"/>
        </w:rPr>
        <w:t>average historical volatilities of common stock of comparable publicly traded entities over a period equal to the expected term of the stock option grants. The comparable companies were chosen based on their size, stage in the life cycle or area of specialty. As the Company went public in June 2020, the Company will continue to apply this process for stock options and ESPP awards until enough historical information regarding the volatility of its stock price becomes available.</w:t>
      </w:r>
    </w:p>
    <w:p>
      <w:pPr>
        <w:spacing w:after="0" w:line="60" w:lineRule="exact"/>
        <w:rPr>
          <w:rFonts w:ascii="Arial" w:cs="Arial" w:eastAsia="Arial" w:hAnsi="Arial"/>
          <w:sz w:val="14"/>
          <w:szCs w:val="14"/>
          <w:color w:val="auto"/>
        </w:rPr>
      </w:pPr>
    </w:p>
    <w:p>
      <w:pPr>
        <w:ind w:left="1020" w:hanging="506"/>
        <w:spacing w:after="0" w:line="281" w:lineRule="auto"/>
        <w:tabs>
          <w:tab w:leader="none" w:pos="1016" w:val="left"/>
        </w:tabs>
        <w:numPr>
          <w:ilvl w:val="0"/>
          <w:numId w:val="58"/>
        </w:numPr>
        <w:rPr>
          <w:rFonts w:ascii="Arial" w:cs="Arial" w:eastAsia="Arial" w:hAnsi="Arial"/>
          <w:sz w:val="14"/>
          <w:szCs w:val="14"/>
          <w:color w:val="auto"/>
        </w:rPr>
      </w:pPr>
      <w:r>
        <w:rPr>
          <w:rFonts w:ascii="Arial" w:cs="Arial" w:eastAsia="Arial" w:hAnsi="Arial"/>
          <w:sz w:val="14"/>
          <w:szCs w:val="14"/>
          <w:i w:val="1"/>
          <w:iCs w:val="1"/>
          <w:color w:val="auto"/>
        </w:rPr>
        <w:t>Risk-free interest rate</w:t>
      </w:r>
      <w:r>
        <w:rPr>
          <w:rFonts w:ascii="Arial" w:cs="Arial" w:eastAsia="Arial" w:hAnsi="Arial"/>
          <w:sz w:val="14"/>
          <w:szCs w:val="14"/>
          <w:color w:val="auto"/>
        </w:rPr>
        <w:t>—The risk-free interest rate is based on the U.S. Treasury yield in effect at the time of grant for zero-coupon U.S. Treasury notes with maturities approximately</w:t>
      </w:r>
      <w:r>
        <w:rPr>
          <w:rFonts w:ascii="Arial" w:cs="Arial" w:eastAsia="Arial" w:hAnsi="Arial"/>
          <w:sz w:val="14"/>
          <w:szCs w:val="14"/>
          <w:i w:val="1"/>
          <w:iCs w:val="1"/>
          <w:color w:val="auto"/>
        </w:rPr>
        <w:t xml:space="preserve"> </w:t>
      </w:r>
      <w:r>
        <w:rPr>
          <w:rFonts w:ascii="Arial" w:cs="Arial" w:eastAsia="Arial" w:hAnsi="Arial"/>
          <w:sz w:val="14"/>
          <w:szCs w:val="14"/>
          <w:color w:val="auto"/>
        </w:rPr>
        <w:t>equal to the expected term of the awards.</w:t>
      </w:r>
    </w:p>
    <w:p>
      <w:pPr>
        <w:spacing w:after="0" w:line="47" w:lineRule="exact"/>
        <w:rPr>
          <w:rFonts w:ascii="Arial" w:cs="Arial" w:eastAsia="Arial" w:hAnsi="Arial"/>
          <w:sz w:val="14"/>
          <w:szCs w:val="14"/>
          <w:color w:val="auto"/>
        </w:rPr>
      </w:pPr>
    </w:p>
    <w:p>
      <w:pPr>
        <w:ind w:left="1020" w:right="480" w:hanging="506"/>
        <w:spacing w:after="0" w:line="281" w:lineRule="auto"/>
        <w:tabs>
          <w:tab w:leader="none" w:pos="1016" w:val="left"/>
        </w:tabs>
        <w:numPr>
          <w:ilvl w:val="0"/>
          <w:numId w:val="58"/>
        </w:numPr>
        <w:rPr>
          <w:rFonts w:ascii="Arial" w:cs="Arial" w:eastAsia="Arial" w:hAnsi="Arial"/>
          <w:sz w:val="14"/>
          <w:szCs w:val="14"/>
          <w:color w:val="auto"/>
        </w:rPr>
      </w:pPr>
      <w:r>
        <w:rPr>
          <w:rFonts w:ascii="Arial" w:cs="Arial" w:eastAsia="Arial" w:hAnsi="Arial"/>
          <w:sz w:val="14"/>
          <w:szCs w:val="14"/>
          <w:i w:val="1"/>
          <w:iCs w:val="1"/>
          <w:color w:val="auto"/>
        </w:rPr>
        <w:t>Expected dividend</w:t>
      </w:r>
      <w:r>
        <w:rPr>
          <w:rFonts w:ascii="Arial" w:cs="Arial" w:eastAsia="Arial" w:hAnsi="Arial"/>
          <w:sz w:val="14"/>
          <w:szCs w:val="14"/>
          <w:color w:val="auto"/>
        </w:rPr>
        <w:t>—The Company has never paid dividends on the common stock and has no plans to pay dividends on the common stock. Therefore, the Company used an</w:t>
      </w:r>
      <w:r>
        <w:rPr>
          <w:rFonts w:ascii="Arial" w:cs="Arial" w:eastAsia="Arial" w:hAnsi="Arial"/>
          <w:sz w:val="14"/>
          <w:szCs w:val="14"/>
          <w:i w:val="1"/>
          <w:iCs w:val="1"/>
          <w:color w:val="auto"/>
        </w:rPr>
        <w:t xml:space="preserve"> </w:t>
      </w:r>
      <w:r>
        <w:rPr>
          <w:rFonts w:ascii="Arial" w:cs="Arial" w:eastAsia="Arial" w:hAnsi="Arial"/>
          <w:sz w:val="14"/>
          <w:szCs w:val="14"/>
          <w:color w:val="auto"/>
        </w:rPr>
        <w:t>expected dividend yield of zero.</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94" w:lineRule="exact"/>
        <w:rPr>
          <w:sz w:val="20"/>
          <w:szCs w:val="20"/>
          <w:color w:val="auto"/>
        </w:rPr>
      </w:pPr>
    </w:p>
    <w:p>
      <w:pPr>
        <w:ind w:right="20" w:firstLine="509"/>
        <w:spacing w:after="0" w:line="288" w:lineRule="auto"/>
        <w:rPr>
          <w:sz w:val="20"/>
          <w:szCs w:val="20"/>
          <w:color w:val="auto"/>
        </w:rPr>
      </w:pPr>
      <w:r>
        <w:rPr>
          <w:rFonts w:ascii="Arial" w:cs="Arial" w:eastAsia="Arial" w:hAnsi="Arial"/>
          <w:sz w:val="13"/>
          <w:szCs w:val="13"/>
          <w:color w:val="auto"/>
        </w:rPr>
        <w:t>The Company provides for income taxes under the asset and liability method. Current income tax expense or benefit represents the amount of income taxes expected to be payable or refundable for the current year. Deferred income tax assets and liabilities are determined based on differences between the financial statement reporting and tax basis of assets and liabilities and net operating loss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the tax benefits will not be realized.</w:t>
      </w:r>
    </w:p>
    <w:p>
      <w:pPr>
        <w:spacing w:after="0" w:line="46"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The Company accounts for uncertain tax positions in accordance with ASC No. 740</w:t>
      </w:r>
      <w:r>
        <w:rPr>
          <w:rFonts w:ascii="Arial" w:cs="Arial" w:eastAsia="Arial" w:hAnsi="Arial"/>
          <w:sz w:val="14"/>
          <w:szCs w:val="14"/>
          <w:i w:val="1"/>
          <w:iCs w:val="1"/>
          <w:color w:val="auto"/>
        </w:rPr>
        <w:t>, Income Taxes</w:t>
      </w:r>
      <w:r>
        <w:rPr>
          <w:rFonts w:ascii="Arial" w:cs="Arial" w:eastAsia="Arial" w:hAnsi="Arial"/>
          <w:sz w:val="14"/>
          <w:szCs w:val="14"/>
          <w:color w:val="auto"/>
        </w:rPr>
        <w:t>. 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auto"/>
        </w:rPr>
        <w:t>measurement of tax benefits requires significant judgment. Judgments concerning the recognition and measurement of a tax benefit might change as new information becomes available.</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includes any penalties and interest expense related to income taxes as a component of income tax expense, as necessary.</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Comprehensive Loss</w:t>
      </w:r>
    </w:p>
    <w:p>
      <w:pPr>
        <w:spacing w:after="0" w:line="147" w:lineRule="exact"/>
        <w:rPr>
          <w:sz w:val="20"/>
          <w:szCs w:val="20"/>
          <w:color w:val="auto"/>
        </w:rPr>
      </w:pPr>
    </w:p>
    <w:p>
      <w:pPr>
        <w:ind w:right="180" w:firstLine="509"/>
        <w:spacing w:after="0" w:line="281" w:lineRule="auto"/>
        <w:rPr>
          <w:sz w:val="20"/>
          <w:szCs w:val="20"/>
          <w:color w:val="auto"/>
        </w:rPr>
      </w:pPr>
      <w:r>
        <w:rPr>
          <w:rFonts w:ascii="Arial" w:cs="Arial" w:eastAsia="Arial" w:hAnsi="Arial"/>
          <w:sz w:val="14"/>
          <w:szCs w:val="14"/>
          <w:color w:val="auto"/>
        </w:rPr>
        <w:t>Comprehensive loss includes net loss as well as other changes in stockholders' equity that result from transactions and economic events other than those with stockholders. The Company's comprehensive loss represents unrealized losses on short-term investments.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and other income</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Interest and other income includes interest income from our short-term investment portfolio.</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Loss Per Share</w:t>
      </w:r>
    </w:p>
    <w:p>
      <w:pPr>
        <w:spacing w:after="0" w:line="94" w:lineRule="exact"/>
        <w:rPr>
          <w:sz w:val="20"/>
          <w:szCs w:val="20"/>
          <w:color w:val="auto"/>
        </w:rPr>
      </w:pPr>
    </w:p>
    <w:p>
      <w:pPr>
        <w:ind w:right="100" w:firstLine="509"/>
        <w:spacing w:after="0" w:line="267" w:lineRule="auto"/>
        <w:rPr>
          <w:sz w:val="20"/>
          <w:szCs w:val="20"/>
          <w:color w:val="auto"/>
        </w:rPr>
      </w:pPr>
      <w:r>
        <w:rPr>
          <w:rFonts w:ascii="Arial" w:cs="Arial" w:eastAsia="Arial" w:hAnsi="Arial"/>
          <w:sz w:val="14"/>
          <w:szCs w:val="14"/>
          <w:color w:val="auto"/>
        </w:rPr>
        <w:t>Basic net loss per share is computed by dividing net loss attributed to common stockholders by the weighted-average number of shares of common stock outstanding during the period. Diluted net loss per share is computed using the weighted-average number of shares of common stock outstanding during the period and, if dilutive, the weighted-average number of potential shares of common stock.</w:t>
      </w:r>
    </w:p>
    <w:p>
      <w:pPr>
        <w:spacing w:after="0" w:line="57"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Common stock equivalent shares are excluded from the computation of diluted net loss or income per share if their effect is antidilutive. In periods in which the Company reports a net loss attributable to common stockholders, diluted net loss per share attributable to common stockholders is generally the same as basic net loss per share attributable to common stockholders since dilutive common shares are not assumed to have been issued if their effect is antidilutive. The Company reported a net loss attributable to common stockholders during the years ended December 31, 2022 and 2021.</w:t>
      </w:r>
    </w:p>
    <w:p>
      <w:pPr>
        <w:spacing w:after="0" w:line="110"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2"/>
          <w:szCs w:val="12"/>
          <w:b w:val="1"/>
          <w:bCs w:val="1"/>
          <w:color w:val="auto"/>
        </w:rPr>
        <w:t>Financial Instruments</w:t>
      </w:r>
    </w:p>
    <w:p>
      <w:pPr>
        <w:spacing w:after="0" w:line="161" w:lineRule="exact"/>
        <w:rPr>
          <w:sz w:val="20"/>
          <w:szCs w:val="20"/>
          <w:color w:val="auto"/>
        </w:rPr>
      </w:pPr>
    </w:p>
    <w:p>
      <w:pPr>
        <w:ind w:right="220" w:firstLine="509"/>
        <w:spacing w:after="0" w:line="260" w:lineRule="auto"/>
        <w:rPr>
          <w:sz w:val="20"/>
          <w:szCs w:val="20"/>
          <w:color w:val="auto"/>
        </w:rPr>
      </w:pPr>
      <w:r>
        <w:rPr>
          <w:rFonts w:ascii="Arial" w:cs="Arial" w:eastAsia="Arial" w:hAnsi="Arial"/>
          <w:sz w:val="14"/>
          <w:szCs w:val="14"/>
          <w:color w:val="auto"/>
        </w:rPr>
        <w:t>The Company’s short-term investments consist of U.S. Treasury securities, U.S. Government agency securities and highly rated, investment-grade corporate debt securities with original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The Company’s short-term investments classified as available-for-sale are carried at fair market value with unrealized losses or income recognized in other comprehensive loss.</w:t>
      </w:r>
    </w:p>
    <w:p>
      <w:pPr>
        <w:spacing w:after="0" w:line="115" w:lineRule="exact"/>
        <w:rPr>
          <w:sz w:val="20"/>
          <w:szCs w:val="20"/>
          <w:color w:val="auto"/>
        </w:rPr>
      </w:pPr>
    </w:p>
    <w:p>
      <w:pPr>
        <w:ind w:right="120" w:firstLine="509"/>
        <w:spacing w:after="0" w:line="282" w:lineRule="auto"/>
        <w:rPr>
          <w:sz w:val="20"/>
          <w:szCs w:val="20"/>
          <w:color w:val="auto"/>
        </w:rPr>
      </w:pPr>
      <w:r>
        <w:rPr>
          <w:rFonts w:ascii="Arial" w:cs="Arial" w:eastAsia="Arial" w:hAnsi="Arial"/>
          <w:sz w:val="13"/>
          <w:szCs w:val="13"/>
          <w:color w:val="auto"/>
        </w:rPr>
        <w:t>Assets and liabilities recorded at fair value on a recurring basis in the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103" w:lineRule="exact"/>
        <w:rPr>
          <w:sz w:val="20"/>
          <w:szCs w:val="20"/>
          <w:color w:val="auto"/>
        </w:rPr>
      </w:pPr>
    </w:p>
    <w:p>
      <w:pPr>
        <w:ind w:left="1020" w:hanging="506"/>
        <w:spacing w:after="0"/>
        <w:tabs>
          <w:tab w:leader="none" w:pos="1020" w:val="left"/>
        </w:tabs>
        <w:numPr>
          <w:ilvl w:val="0"/>
          <w:numId w:val="59"/>
        </w:numPr>
        <w:rPr>
          <w:rFonts w:ascii="Arial" w:cs="Arial" w:eastAsia="Arial" w:hAnsi="Arial"/>
          <w:sz w:val="14"/>
          <w:szCs w:val="14"/>
          <w:color w:val="auto"/>
        </w:rPr>
      </w:pPr>
      <w:r>
        <w:rPr>
          <w:rFonts w:ascii="Arial" w:cs="Arial" w:eastAsia="Arial" w:hAnsi="Arial"/>
          <w:sz w:val="14"/>
          <w:szCs w:val="14"/>
          <w:i w:val="1"/>
          <w:iCs w:val="1"/>
          <w:color w:val="auto"/>
        </w:rPr>
        <w:t>Level 1</w:t>
      </w:r>
      <w:r>
        <w:rPr>
          <w:rFonts w:ascii="Arial" w:cs="Arial" w:eastAsia="Arial" w:hAnsi="Arial"/>
          <w:sz w:val="14"/>
          <w:szCs w:val="14"/>
          <w:color w:val="auto"/>
        </w:rPr>
        <w:t>—Inputs are unadjusted, quoted prices in active markets for identical assets or liabilities at the measurement date;</w:t>
      </w:r>
    </w:p>
    <w:p>
      <w:pPr>
        <w:spacing w:after="0" w:line="157" w:lineRule="exact"/>
        <w:rPr>
          <w:rFonts w:ascii="Arial" w:cs="Arial" w:eastAsia="Arial" w:hAnsi="Arial"/>
          <w:sz w:val="14"/>
          <w:szCs w:val="14"/>
          <w:color w:val="auto"/>
        </w:rPr>
      </w:pPr>
    </w:p>
    <w:p>
      <w:pPr>
        <w:ind w:left="1020" w:right="100" w:hanging="506"/>
        <w:spacing w:after="0" w:line="368" w:lineRule="auto"/>
        <w:tabs>
          <w:tab w:leader="none" w:pos="1016" w:val="left"/>
        </w:tabs>
        <w:numPr>
          <w:ilvl w:val="0"/>
          <w:numId w:val="59"/>
        </w:numPr>
        <w:rPr>
          <w:rFonts w:ascii="Arial" w:cs="Arial" w:eastAsia="Arial" w:hAnsi="Arial"/>
          <w:sz w:val="12"/>
          <w:szCs w:val="12"/>
          <w:color w:val="auto"/>
        </w:rPr>
      </w:pPr>
      <w:r>
        <w:rPr>
          <w:rFonts w:ascii="Arial" w:cs="Arial" w:eastAsia="Arial" w:hAnsi="Arial"/>
          <w:sz w:val="12"/>
          <w:szCs w:val="12"/>
          <w:i w:val="1"/>
          <w:iCs w:val="1"/>
          <w:color w:val="auto"/>
        </w:rPr>
        <w:t>Level 2</w:t>
      </w:r>
      <w:r>
        <w:rPr>
          <w:rFonts w:ascii="Arial" w:cs="Arial" w:eastAsia="Arial" w:hAnsi="Arial"/>
          <w:sz w:val="12"/>
          <w:szCs w:val="12"/>
          <w:color w:val="auto"/>
        </w:rPr>
        <w:t>—Inputs are observable, unadjusted quoted prices in active markets for similar assets or liabilities, unadjusted quoted prices for identical or similar assets or liabilities in</w:t>
      </w:r>
      <w:r>
        <w:rPr>
          <w:rFonts w:ascii="Arial" w:cs="Arial" w:eastAsia="Arial" w:hAnsi="Arial"/>
          <w:sz w:val="12"/>
          <w:szCs w:val="12"/>
          <w:i w:val="1"/>
          <w:iCs w:val="1"/>
          <w:color w:val="auto"/>
        </w:rPr>
        <w:t xml:space="preserve"> </w:t>
      </w:r>
      <w:r>
        <w:rPr>
          <w:rFonts w:ascii="Arial" w:cs="Arial" w:eastAsia="Arial" w:hAnsi="Arial"/>
          <w:sz w:val="12"/>
          <w:szCs w:val="12"/>
          <w:color w:val="auto"/>
        </w:rPr>
        <w:t>markets that are not active, or other inputs that are observable or can be corroborated by observable market data for substantially the full term of the related assets or liabilities; and</w:t>
      </w:r>
    </w:p>
    <w:p>
      <w:pPr>
        <w:spacing w:after="0" w:line="54" w:lineRule="exact"/>
        <w:rPr>
          <w:rFonts w:ascii="Arial" w:cs="Arial" w:eastAsia="Arial" w:hAnsi="Arial"/>
          <w:sz w:val="12"/>
          <w:szCs w:val="12"/>
          <w:color w:val="auto"/>
        </w:rPr>
      </w:pPr>
    </w:p>
    <w:p>
      <w:pPr>
        <w:ind w:left="1020" w:hanging="506"/>
        <w:spacing w:after="0"/>
        <w:tabs>
          <w:tab w:leader="none" w:pos="1020" w:val="left"/>
        </w:tabs>
        <w:numPr>
          <w:ilvl w:val="0"/>
          <w:numId w:val="59"/>
        </w:numPr>
        <w:rPr>
          <w:rFonts w:ascii="Arial" w:cs="Arial" w:eastAsia="Arial" w:hAnsi="Arial"/>
          <w:sz w:val="14"/>
          <w:szCs w:val="14"/>
          <w:color w:val="auto"/>
        </w:rPr>
      </w:pPr>
      <w:r>
        <w:rPr>
          <w:rFonts w:ascii="Arial" w:cs="Arial" w:eastAsia="Arial" w:hAnsi="Arial"/>
          <w:sz w:val="14"/>
          <w:szCs w:val="14"/>
          <w:i w:val="1"/>
          <w:iCs w:val="1"/>
          <w:color w:val="auto"/>
        </w:rPr>
        <w:t>Level 3</w:t>
      </w:r>
      <w:r>
        <w:rPr>
          <w:rFonts w:ascii="Arial" w:cs="Arial" w:eastAsia="Arial" w:hAnsi="Arial"/>
          <w:sz w:val="14"/>
          <w:szCs w:val="14"/>
          <w:color w:val="auto"/>
        </w:rPr>
        <w:t>—Unobservable inputs that are significant to the measurement of the fair value of the assets or liabilities that are supported by little or no market data.</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The Company’s cash equivalent Money Market Funds are classified as Level 1 because they are valued using quoted market prices. The fair value of the Company’s U.S. Treasury securities, U.S. government agency securities and corporate debt securities are classified as Level 2 because they are valued using observable inputs to quoted market prices, benchmark yields, reported trades, broker/dealer quotes or alternative pricing sources with reasonable levels of price transparency and include U.S. government agency securities, U.S. Treasury securities and corporate debt securities. These Level 2 instruments require more management judgment and subjectivity compared to Level 1 instruments which include determining which instruments are most similar to the instrument being priced, determining whether the market is active and determining which model-derived valuations are to be used when calculating fair value. The Company performs its analysis with the assistance of investment advisors.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There were no assets or liabilities recorded at fair value using Level 3 inputs as of December 31, 2022 and 2021.</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tables show the Company’s cash and cash equivalents and short-term investments by significant investment category as of December 31, 2022 and 2021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4"/>
          </w:tcPr>
          <w:p>
            <w:pPr>
              <w:jc w:val="right"/>
              <w:ind w:right="416"/>
              <w:spacing w:after="0"/>
              <w:rPr>
                <w:sz w:val="20"/>
                <w:szCs w:val="20"/>
                <w:color w:val="auto"/>
              </w:rPr>
            </w:pPr>
            <w:r>
              <w:rPr>
                <w:rFonts w:ascii="Arial" w:cs="Arial" w:eastAsia="Arial" w:hAnsi="Arial"/>
                <w:sz w:val="11"/>
                <w:szCs w:val="11"/>
                <w:b w:val="1"/>
                <w:bCs w:val="1"/>
                <w:color w:val="auto"/>
              </w:rPr>
              <w:t>As of December 31, 2022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30"/>
        </w:trPr>
        <w:tc>
          <w:tcPr>
            <w:tcW w:w="5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22"/>
        </w:trPr>
        <w:tc>
          <w:tcPr>
            <w:tcW w:w="5060" w:type="dxa"/>
            <w:vAlign w:val="bottom"/>
          </w:tcPr>
          <w:p>
            <w:pPr>
              <w:spacing w:after="0"/>
              <w:rPr>
                <w:sz w:val="10"/>
                <w:szCs w:val="10"/>
                <w:color w:val="auto"/>
              </w:rPr>
            </w:pPr>
          </w:p>
        </w:tc>
        <w:tc>
          <w:tcPr>
            <w:tcW w:w="960" w:type="dxa"/>
            <w:vAlign w:val="bottom"/>
          </w:tcPr>
          <w:p>
            <w:pPr>
              <w:jc w:val="center"/>
              <w:ind w:left="456"/>
              <w:spacing w:after="0" w:line="122" w:lineRule="exact"/>
              <w:rPr>
                <w:sz w:val="20"/>
                <w:szCs w:val="20"/>
                <w:color w:val="auto"/>
              </w:rPr>
            </w:pPr>
            <w:r>
              <w:rPr>
                <w:rFonts w:ascii="Arial" w:cs="Arial" w:eastAsia="Arial" w:hAnsi="Arial"/>
                <w:sz w:val="11"/>
                <w:szCs w:val="11"/>
                <w:b w:val="1"/>
                <w:bCs w:val="1"/>
                <w:color w:val="auto"/>
                <w:w w:val="93"/>
              </w:rPr>
              <w:t>Adjusted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ind w:left="278"/>
              <w:spacing w:after="0" w:line="122" w:lineRule="exact"/>
              <w:rPr>
                <w:sz w:val="20"/>
                <w:szCs w:val="20"/>
                <w:color w:val="auto"/>
              </w:rPr>
            </w:pPr>
            <w:r>
              <w:rPr>
                <w:rFonts w:ascii="Arial" w:cs="Arial" w:eastAsia="Arial" w:hAnsi="Arial"/>
                <w:sz w:val="11"/>
                <w:szCs w:val="11"/>
                <w:b w:val="1"/>
                <w:bCs w:val="1"/>
                <w:color w:val="auto"/>
                <w:w w:val="93"/>
              </w:rPr>
              <w:t>Unrealized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left="396"/>
              <w:spacing w:after="0" w:line="122" w:lineRule="exact"/>
              <w:rPr>
                <w:sz w:val="20"/>
                <w:szCs w:val="20"/>
                <w:color w:val="auto"/>
              </w:rPr>
            </w:pPr>
            <w:r>
              <w:rPr>
                <w:rFonts w:ascii="Arial" w:cs="Arial" w:eastAsia="Arial" w:hAnsi="Arial"/>
                <w:sz w:val="11"/>
                <w:szCs w:val="11"/>
                <w:b w:val="1"/>
                <w:bCs w:val="1"/>
                <w:color w:val="auto"/>
                <w:w w:val="93"/>
              </w:rPr>
              <w:t>Unrealized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jc w:val="center"/>
              <w:ind w:right="254"/>
              <w:spacing w:after="0" w:line="122" w:lineRule="exact"/>
              <w:rPr>
                <w:sz w:val="20"/>
                <w:szCs w:val="20"/>
                <w:color w:val="auto"/>
              </w:rPr>
            </w:pPr>
            <w:r>
              <w:rPr>
                <w:rFonts w:ascii="Arial" w:cs="Arial" w:eastAsia="Arial" w:hAnsi="Arial"/>
                <w:sz w:val="11"/>
                <w:szCs w:val="11"/>
                <w:b w:val="1"/>
                <w:bCs w:val="1"/>
                <w:color w:val="auto"/>
              </w:rPr>
              <w:t>Market</w:t>
            </w:r>
          </w:p>
        </w:tc>
      </w:tr>
      <w:tr>
        <w:trPr>
          <w:trHeight w:val="147"/>
        </w:trPr>
        <w:tc>
          <w:tcPr>
            <w:tcW w:w="5060" w:type="dxa"/>
            <w:vAlign w:val="bottom"/>
          </w:tcPr>
          <w:p>
            <w:pPr>
              <w:spacing w:after="0"/>
              <w:rPr>
                <w:sz w:val="12"/>
                <w:szCs w:val="12"/>
                <w:color w:val="auto"/>
              </w:rPr>
            </w:pPr>
          </w:p>
        </w:tc>
        <w:tc>
          <w:tcPr>
            <w:tcW w:w="960" w:type="dxa"/>
            <w:vAlign w:val="bottom"/>
          </w:tcPr>
          <w:p>
            <w:pPr>
              <w:jc w:val="center"/>
              <w:ind w:left="436"/>
              <w:spacing w:after="0"/>
              <w:rPr>
                <w:sz w:val="20"/>
                <w:szCs w:val="20"/>
                <w:color w:val="auto"/>
              </w:rPr>
            </w:pPr>
            <w:r>
              <w:rPr>
                <w:rFonts w:ascii="Arial" w:cs="Arial" w:eastAsia="Arial" w:hAnsi="Arial"/>
                <w:sz w:val="11"/>
                <w:szCs w:val="11"/>
                <w:b w:val="1"/>
                <w:bCs w:val="1"/>
                <w:color w:val="auto"/>
                <w:w w:val="89"/>
              </w:rPr>
              <w:t>Cost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278"/>
              <w:spacing w:after="0"/>
              <w:rPr>
                <w:sz w:val="20"/>
                <w:szCs w:val="20"/>
                <w:color w:val="auto"/>
              </w:rPr>
            </w:pPr>
            <w:r>
              <w:rPr>
                <w:rFonts w:ascii="Arial" w:cs="Arial" w:eastAsia="Arial" w:hAnsi="Arial"/>
                <w:sz w:val="11"/>
                <w:szCs w:val="11"/>
                <w:b w:val="1"/>
                <w:bCs w:val="1"/>
                <w:color w:val="auto"/>
                <w:w w:val="91"/>
              </w:rPr>
              <w:t>Gains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left="396"/>
              <w:spacing w:after="0"/>
              <w:rPr>
                <w:sz w:val="20"/>
                <w:szCs w:val="20"/>
                <w:color w:val="auto"/>
              </w:rPr>
            </w:pPr>
            <w:r>
              <w:rPr>
                <w:rFonts w:ascii="Arial" w:cs="Arial" w:eastAsia="Arial" w:hAnsi="Arial"/>
                <w:sz w:val="11"/>
                <w:szCs w:val="11"/>
                <w:b w:val="1"/>
                <w:bCs w:val="1"/>
                <w:color w:val="auto"/>
                <w:w w:val="84"/>
              </w:rPr>
              <w:t>Losses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center"/>
              <w:ind w:right="254"/>
              <w:spacing w:after="0"/>
              <w:rPr>
                <w:sz w:val="20"/>
                <w:szCs w:val="20"/>
                <w:color w:val="auto"/>
              </w:rPr>
            </w:pPr>
            <w:r>
              <w:rPr>
                <w:rFonts w:ascii="Arial" w:cs="Arial" w:eastAsia="Arial" w:hAnsi="Arial"/>
                <w:sz w:val="11"/>
                <w:szCs w:val="11"/>
                <w:b w:val="1"/>
                <w:bCs w:val="1"/>
                <w:color w:val="auto"/>
                <w:w w:val="95"/>
              </w:rPr>
              <w:t>Value</w:t>
            </w:r>
          </w:p>
        </w:tc>
      </w:tr>
      <w:tr>
        <w:trPr>
          <w:trHeight w:val="40"/>
        </w:trPr>
        <w:tc>
          <w:tcPr>
            <w:tcW w:w="50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7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Level 1:</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r>
      <w:tr>
        <w:trPr>
          <w:trHeight w:val="191"/>
        </w:trPr>
        <w:tc>
          <w:tcPr>
            <w:tcW w:w="5060" w:type="dxa"/>
            <w:vAlign w:val="bottom"/>
          </w:tcPr>
          <w:p>
            <w:pPr>
              <w:ind w:left="180"/>
              <w:spacing w:after="0"/>
              <w:rPr>
                <w:sz w:val="20"/>
                <w:szCs w:val="20"/>
                <w:color w:val="auto"/>
              </w:rPr>
            </w:pPr>
            <w:r>
              <w:rPr>
                <w:rFonts w:ascii="Arial" w:cs="Arial" w:eastAsia="Arial" w:hAnsi="Arial"/>
                <w:sz w:val="14"/>
                <w:szCs w:val="14"/>
                <w:color w:val="auto"/>
              </w:rPr>
              <w:t>Money Market Funds</w:t>
            </w:r>
          </w:p>
        </w:tc>
        <w:tc>
          <w:tcPr>
            <w:tcW w:w="960" w:type="dxa"/>
            <w:vAlign w:val="bottom"/>
          </w:tcPr>
          <w:p>
            <w:pPr>
              <w:jc w:val="right"/>
              <w:ind w:right="816"/>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28,312</w:t>
            </w:r>
          </w:p>
        </w:tc>
        <w:tc>
          <w:tcPr>
            <w:tcW w:w="100" w:type="dxa"/>
            <w:vAlign w:val="bottom"/>
          </w:tcPr>
          <w:p>
            <w:pPr>
              <w:spacing w:after="0"/>
              <w:rPr>
                <w:sz w:val="16"/>
                <w:szCs w:val="16"/>
                <w:color w:val="auto"/>
              </w:rPr>
            </w:pPr>
          </w:p>
        </w:tc>
        <w:tc>
          <w:tcPr>
            <w:tcW w:w="1140" w:type="dxa"/>
            <w:vAlign w:val="bottom"/>
          </w:tcPr>
          <w:p>
            <w:pPr>
              <w:jc w:val="right"/>
              <w:ind w:right="998"/>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76"/>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28,312</w:t>
            </w:r>
          </w:p>
        </w:tc>
      </w:tr>
      <w:tr>
        <w:trPr>
          <w:trHeight w:val="22"/>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Level 2:</w:t>
            </w:r>
          </w:p>
        </w:tc>
        <w:tc>
          <w:tcPr>
            <w:tcW w:w="9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180"/>
        </w:trPr>
        <w:tc>
          <w:tcPr>
            <w:tcW w:w="5060" w:type="dxa"/>
            <w:vAlign w:val="bottom"/>
          </w:tcPr>
          <w:p>
            <w:pPr>
              <w:ind w:left="180"/>
              <w:spacing w:after="0"/>
              <w:rPr>
                <w:sz w:val="20"/>
                <w:szCs w:val="20"/>
                <w:color w:val="auto"/>
              </w:rPr>
            </w:pPr>
            <w:r>
              <w:rPr>
                <w:rFonts w:ascii="Arial" w:cs="Arial" w:eastAsia="Arial" w:hAnsi="Arial"/>
                <w:sz w:val="14"/>
                <w:szCs w:val="14"/>
                <w:color w:val="auto"/>
              </w:rPr>
              <w:t>U.S. Treasury securities included in cash and cash equivalents and short-term</w:t>
            </w: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1"/>
        </w:trPr>
        <w:tc>
          <w:tcPr>
            <w:tcW w:w="5060" w:type="dxa"/>
            <w:vAlign w:val="bottom"/>
          </w:tcPr>
          <w:p>
            <w:pPr>
              <w:ind w:left="300"/>
              <w:spacing w:after="0"/>
              <w:rPr>
                <w:sz w:val="20"/>
                <w:szCs w:val="20"/>
                <w:color w:val="auto"/>
              </w:rPr>
            </w:pPr>
            <w:r>
              <w:rPr>
                <w:rFonts w:ascii="Arial" w:cs="Arial" w:eastAsia="Arial" w:hAnsi="Arial"/>
                <w:sz w:val="14"/>
                <w:szCs w:val="14"/>
                <w:color w:val="auto"/>
              </w:rPr>
              <w:t>investments</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4,446</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4,441</w:t>
            </w:r>
          </w:p>
        </w:tc>
      </w:tr>
      <w:tr>
        <w:trPr>
          <w:trHeight w:val="192"/>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U.S. government agency securities included in short-term investments</w:t>
            </w:r>
          </w:p>
        </w:tc>
        <w:tc>
          <w:tcPr>
            <w:tcW w:w="9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28,746</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28,635</w:t>
            </w:r>
          </w:p>
        </w:tc>
      </w:tr>
      <w:tr>
        <w:trPr>
          <w:trHeight w:val="180"/>
        </w:trPr>
        <w:tc>
          <w:tcPr>
            <w:tcW w:w="5060" w:type="dxa"/>
            <w:vAlign w:val="bottom"/>
          </w:tcPr>
          <w:p>
            <w:pPr>
              <w:ind w:left="180"/>
              <w:spacing w:after="0"/>
              <w:rPr>
                <w:sz w:val="20"/>
                <w:szCs w:val="20"/>
                <w:color w:val="auto"/>
              </w:rPr>
            </w:pPr>
            <w:r>
              <w:rPr>
                <w:rFonts w:ascii="Arial" w:cs="Arial" w:eastAsia="Arial" w:hAnsi="Arial"/>
                <w:sz w:val="14"/>
                <w:szCs w:val="14"/>
                <w:color w:val="auto"/>
                <w:w w:val="98"/>
              </w:rPr>
              <w:t>Corporate debt securities included in cash and cash equivalents and short-term</w:t>
            </w: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5060" w:type="dxa"/>
            <w:vAlign w:val="bottom"/>
          </w:tcPr>
          <w:p>
            <w:pPr>
              <w:ind w:left="300"/>
              <w:spacing w:after="0"/>
              <w:rPr>
                <w:sz w:val="20"/>
                <w:szCs w:val="20"/>
                <w:color w:val="auto"/>
              </w:rPr>
            </w:pPr>
            <w:r>
              <w:rPr>
                <w:rFonts w:ascii="Arial" w:cs="Arial" w:eastAsia="Arial" w:hAnsi="Arial"/>
                <w:sz w:val="14"/>
                <w:szCs w:val="14"/>
                <w:color w:val="auto"/>
              </w:rPr>
              <w:t>investments</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266,267</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(1,887)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264,425</w:t>
            </w:r>
          </w:p>
        </w:tc>
      </w:tr>
      <w:tr>
        <w:trPr>
          <w:trHeight w:val="22"/>
        </w:trPr>
        <w:tc>
          <w:tcPr>
            <w:tcW w:w="5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assets</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327,771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9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(2,003)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325,813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463"/>
        </w:trPr>
        <w:tc>
          <w:tcPr>
            <w:tcW w:w="5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4"/>
          </w:tcPr>
          <w:p>
            <w:pPr>
              <w:jc w:val="right"/>
              <w:ind w:right="416"/>
              <w:spacing w:after="0"/>
              <w:rPr>
                <w:sz w:val="20"/>
                <w:szCs w:val="20"/>
                <w:color w:val="auto"/>
              </w:rPr>
            </w:pPr>
            <w:r>
              <w:rPr>
                <w:rFonts w:ascii="Arial" w:cs="Arial" w:eastAsia="Arial" w:hAnsi="Arial"/>
                <w:sz w:val="11"/>
                <w:szCs w:val="11"/>
                <w:b w:val="1"/>
                <w:bCs w:val="1"/>
                <w:color w:val="auto"/>
              </w:rPr>
              <w:t>As of December 31, 2021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
        </w:trPr>
        <w:tc>
          <w:tcPr>
            <w:tcW w:w="5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2"/>
        </w:trPr>
        <w:tc>
          <w:tcPr>
            <w:tcW w:w="5060" w:type="dxa"/>
            <w:vAlign w:val="bottom"/>
          </w:tcPr>
          <w:p>
            <w:pPr>
              <w:spacing w:after="0"/>
              <w:rPr>
                <w:sz w:val="11"/>
                <w:szCs w:val="11"/>
                <w:color w:val="auto"/>
              </w:rPr>
            </w:pPr>
          </w:p>
        </w:tc>
        <w:tc>
          <w:tcPr>
            <w:tcW w:w="960" w:type="dxa"/>
            <w:vAlign w:val="bottom"/>
          </w:tcPr>
          <w:p>
            <w:pPr>
              <w:jc w:val="center"/>
              <w:ind w:left="456"/>
              <w:spacing w:after="0"/>
              <w:rPr>
                <w:sz w:val="20"/>
                <w:szCs w:val="20"/>
                <w:color w:val="auto"/>
              </w:rPr>
            </w:pPr>
            <w:r>
              <w:rPr>
                <w:rFonts w:ascii="Arial" w:cs="Arial" w:eastAsia="Arial" w:hAnsi="Arial"/>
                <w:sz w:val="11"/>
                <w:szCs w:val="11"/>
                <w:b w:val="1"/>
                <w:bCs w:val="1"/>
                <w:color w:val="auto"/>
                <w:w w:val="93"/>
              </w:rPr>
              <w:t>Adjusted</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278"/>
              <w:spacing w:after="0"/>
              <w:rPr>
                <w:sz w:val="20"/>
                <w:szCs w:val="20"/>
                <w:color w:val="auto"/>
              </w:rPr>
            </w:pPr>
            <w:r>
              <w:rPr>
                <w:rFonts w:ascii="Arial" w:cs="Arial" w:eastAsia="Arial" w:hAnsi="Arial"/>
                <w:sz w:val="11"/>
                <w:szCs w:val="11"/>
                <w:b w:val="1"/>
                <w:bCs w:val="1"/>
                <w:color w:val="auto"/>
                <w:w w:val="93"/>
              </w:rPr>
              <w:t>Unrealized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left="396"/>
              <w:spacing w:after="0"/>
              <w:rPr>
                <w:sz w:val="20"/>
                <w:szCs w:val="20"/>
                <w:color w:val="auto"/>
              </w:rPr>
            </w:pPr>
            <w:r>
              <w:rPr>
                <w:rFonts w:ascii="Arial" w:cs="Arial" w:eastAsia="Arial" w:hAnsi="Arial"/>
                <w:sz w:val="11"/>
                <w:szCs w:val="11"/>
                <w:b w:val="1"/>
                <w:bCs w:val="1"/>
                <w:color w:val="auto"/>
                <w:w w:val="93"/>
              </w:rPr>
              <w:t>Unrealized</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center"/>
              <w:ind w:right="254"/>
              <w:spacing w:after="0"/>
              <w:rPr>
                <w:sz w:val="20"/>
                <w:szCs w:val="20"/>
                <w:color w:val="auto"/>
              </w:rPr>
            </w:pPr>
            <w:r>
              <w:rPr>
                <w:rFonts w:ascii="Arial" w:cs="Arial" w:eastAsia="Arial" w:hAnsi="Arial"/>
                <w:sz w:val="11"/>
                <w:szCs w:val="11"/>
                <w:b w:val="1"/>
                <w:bCs w:val="1"/>
                <w:color w:val="auto"/>
              </w:rPr>
              <w:t>Market</w:t>
            </w:r>
          </w:p>
        </w:tc>
      </w:tr>
      <w:tr>
        <w:trPr>
          <w:trHeight w:val="147"/>
        </w:trPr>
        <w:tc>
          <w:tcPr>
            <w:tcW w:w="5060" w:type="dxa"/>
            <w:vAlign w:val="bottom"/>
          </w:tcPr>
          <w:p>
            <w:pPr>
              <w:spacing w:after="0"/>
              <w:rPr>
                <w:sz w:val="12"/>
                <w:szCs w:val="12"/>
                <w:color w:val="auto"/>
              </w:rPr>
            </w:pPr>
          </w:p>
        </w:tc>
        <w:tc>
          <w:tcPr>
            <w:tcW w:w="960" w:type="dxa"/>
            <w:vAlign w:val="bottom"/>
          </w:tcPr>
          <w:p>
            <w:pPr>
              <w:jc w:val="center"/>
              <w:ind w:left="436"/>
              <w:spacing w:after="0"/>
              <w:rPr>
                <w:sz w:val="20"/>
                <w:szCs w:val="20"/>
                <w:color w:val="auto"/>
              </w:rPr>
            </w:pPr>
            <w:r>
              <w:rPr>
                <w:rFonts w:ascii="Arial" w:cs="Arial" w:eastAsia="Arial" w:hAnsi="Arial"/>
                <w:sz w:val="11"/>
                <w:szCs w:val="11"/>
                <w:b w:val="1"/>
                <w:bCs w:val="1"/>
                <w:color w:val="auto"/>
                <w:w w:val="89"/>
              </w:rPr>
              <w:t>Cost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278"/>
              <w:spacing w:after="0"/>
              <w:rPr>
                <w:sz w:val="20"/>
                <w:szCs w:val="20"/>
                <w:color w:val="auto"/>
              </w:rPr>
            </w:pPr>
            <w:r>
              <w:rPr>
                <w:rFonts w:ascii="Arial" w:cs="Arial" w:eastAsia="Arial" w:hAnsi="Arial"/>
                <w:sz w:val="11"/>
                <w:szCs w:val="11"/>
                <w:b w:val="1"/>
                <w:bCs w:val="1"/>
                <w:color w:val="auto"/>
                <w:w w:val="91"/>
              </w:rPr>
              <w:t>Gains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left="396"/>
              <w:spacing w:after="0"/>
              <w:rPr>
                <w:sz w:val="20"/>
                <w:szCs w:val="20"/>
                <w:color w:val="auto"/>
              </w:rPr>
            </w:pPr>
            <w:r>
              <w:rPr>
                <w:rFonts w:ascii="Arial" w:cs="Arial" w:eastAsia="Arial" w:hAnsi="Arial"/>
                <w:sz w:val="11"/>
                <w:szCs w:val="11"/>
                <w:b w:val="1"/>
                <w:bCs w:val="1"/>
                <w:color w:val="auto"/>
                <w:w w:val="84"/>
              </w:rPr>
              <w:t>Losses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center"/>
              <w:ind w:right="254"/>
              <w:spacing w:after="0"/>
              <w:rPr>
                <w:sz w:val="20"/>
                <w:szCs w:val="20"/>
                <w:color w:val="auto"/>
              </w:rPr>
            </w:pPr>
            <w:r>
              <w:rPr>
                <w:rFonts w:ascii="Arial" w:cs="Arial" w:eastAsia="Arial" w:hAnsi="Arial"/>
                <w:sz w:val="11"/>
                <w:szCs w:val="11"/>
                <w:b w:val="1"/>
                <w:bCs w:val="1"/>
                <w:color w:val="auto"/>
                <w:w w:val="95"/>
              </w:rPr>
              <w:t>Value</w:t>
            </w:r>
          </w:p>
        </w:tc>
      </w:tr>
      <w:tr>
        <w:trPr>
          <w:trHeight w:val="30"/>
        </w:trPr>
        <w:tc>
          <w:tcPr>
            <w:tcW w:w="50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Level 1:</w:t>
            </w: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r>
      <w:tr>
        <w:trPr>
          <w:trHeight w:val="191"/>
        </w:trPr>
        <w:tc>
          <w:tcPr>
            <w:tcW w:w="5060" w:type="dxa"/>
            <w:vAlign w:val="bottom"/>
          </w:tcPr>
          <w:p>
            <w:pPr>
              <w:ind w:left="180"/>
              <w:spacing w:after="0"/>
              <w:rPr>
                <w:sz w:val="20"/>
                <w:szCs w:val="20"/>
                <w:color w:val="auto"/>
              </w:rPr>
            </w:pPr>
            <w:r>
              <w:rPr>
                <w:rFonts w:ascii="Arial" w:cs="Arial" w:eastAsia="Arial" w:hAnsi="Arial"/>
                <w:sz w:val="14"/>
                <w:szCs w:val="14"/>
                <w:color w:val="auto"/>
              </w:rPr>
              <w:t>Money Market Funds</w:t>
            </w:r>
          </w:p>
        </w:tc>
        <w:tc>
          <w:tcPr>
            <w:tcW w:w="960" w:type="dxa"/>
            <w:vAlign w:val="bottom"/>
          </w:tcPr>
          <w:p>
            <w:pPr>
              <w:jc w:val="right"/>
              <w:ind w:right="816"/>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15,329</w:t>
            </w:r>
          </w:p>
        </w:tc>
        <w:tc>
          <w:tcPr>
            <w:tcW w:w="100" w:type="dxa"/>
            <w:vAlign w:val="bottom"/>
          </w:tcPr>
          <w:p>
            <w:pPr>
              <w:spacing w:after="0"/>
              <w:rPr>
                <w:sz w:val="16"/>
                <w:szCs w:val="16"/>
                <w:color w:val="auto"/>
              </w:rPr>
            </w:pPr>
          </w:p>
        </w:tc>
        <w:tc>
          <w:tcPr>
            <w:tcW w:w="1140" w:type="dxa"/>
            <w:vAlign w:val="bottom"/>
          </w:tcPr>
          <w:p>
            <w:pPr>
              <w:jc w:val="right"/>
              <w:ind w:right="998"/>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76"/>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15,329</w:t>
            </w:r>
          </w:p>
        </w:tc>
      </w:tr>
      <w:tr>
        <w:trPr>
          <w:trHeight w:val="22"/>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Level 2:</w:t>
            </w:r>
          </w:p>
        </w:tc>
        <w:tc>
          <w:tcPr>
            <w:tcW w:w="9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191"/>
        </w:trPr>
        <w:tc>
          <w:tcPr>
            <w:tcW w:w="5060" w:type="dxa"/>
            <w:vAlign w:val="bottom"/>
          </w:tcPr>
          <w:p>
            <w:pPr>
              <w:ind w:left="180"/>
              <w:spacing w:after="0"/>
              <w:rPr>
                <w:sz w:val="20"/>
                <w:szCs w:val="20"/>
                <w:color w:val="auto"/>
              </w:rPr>
            </w:pPr>
            <w:r>
              <w:rPr>
                <w:rFonts w:ascii="Arial" w:cs="Arial" w:eastAsia="Arial" w:hAnsi="Arial"/>
                <w:sz w:val="14"/>
                <w:szCs w:val="14"/>
                <w:color w:val="auto"/>
              </w:rPr>
              <w:t>U.S. government agency securities included in short-term investments</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5,003</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5,003</w:t>
            </w:r>
          </w:p>
        </w:tc>
      </w:tr>
      <w:tr>
        <w:trPr>
          <w:trHeight w:val="22"/>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0"/>
        </w:trPr>
        <w:tc>
          <w:tcPr>
            <w:tcW w:w="5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debt securities included in cash and cash</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1"/>
        </w:trPr>
        <w:tc>
          <w:tcPr>
            <w:tcW w:w="50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equivalents and short-term investments</w:t>
            </w: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163,626</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163,425</w:t>
            </w:r>
          </w:p>
        </w:tc>
      </w:tr>
      <w:tr>
        <w:trPr>
          <w:trHeight w:val="203"/>
        </w:trPr>
        <w:tc>
          <w:tcPr>
            <w:tcW w:w="5060" w:type="dxa"/>
            <w:vAlign w:val="bottom"/>
          </w:tcPr>
          <w:p>
            <w:pPr>
              <w:ind w:left="20"/>
              <w:spacing w:after="0"/>
              <w:rPr>
                <w:sz w:val="20"/>
                <w:szCs w:val="20"/>
                <w:color w:val="auto"/>
              </w:rPr>
            </w:pPr>
            <w:r>
              <w:rPr>
                <w:rFonts w:ascii="Arial" w:cs="Arial" w:eastAsia="Arial" w:hAnsi="Arial"/>
                <w:sz w:val="14"/>
                <w:szCs w:val="14"/>
                <w:color w:val="auto"/>
              </w:rPr>
              <w:t>Total financial assets</w:t>
            </w:r>
          </w:p>
        </w:tc>
        <w:tc>
          <w:tcPr>
            <w:tcW w:w="96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183,958</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99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76"/>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183,757</w:t>
            </w:r>
          </w:p>
        </w:tc>
      </w:tr>
      <w:tr>
        <w:trPr>
          <w:trHeight w:val="20"/>
        </w:trPr>
        <w:tc>
          <w:tcPr>
            <w:tcW w:w="5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 Company may sell certain of its short-term securities prior to their stated maturities for reasons including, but not limited to, managing liquidity, credit risk, duration and asset allocation.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summarizes the remaining contractual maturities of the Company’s short-term investments as of December 31,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2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Adjusted</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right"/>
              <w:ind w:right="495"/>
              <w:spacing w:after="0"/>
              <w:rPr>
                <w:sz w:val="20"/>
                <w:szCs w:val="20"/>
                <w:color w:val="auto"/>
              </w:rPr>
            </w:pPr>
            <w:r>
              <w:rPr>
                <w:rFonts w:ascii="Arial" w:cs="Arial" w:eastAsia="Arial" w:hAnsi="Arial"/>
                <w:sz w:val="11"/>
                <w:szCs w:val="11"/>
                <w:b w:val="1"/>
                <w:bCs w:val="1"/>
                <w:color w:val="auto"/>
              </w:rPr>
              <w:t>Market</w:t>
            </w:r>
          </w:p>
        </w:tc>
      </w:tr>
      <w:tr>
        <w:trPr>
          <w:trHeight w:val="147"/>
        </w:trPr>
        <w:tc>
          <w:tcPr>
            <w:tcW w:w="8220" w:type="dxa"/>
            <w:vAlign w:val="bottom"/>
          </w:tcPr>
          <w:p>
            <w:pPr>
              <w:spacing w:after="0"/>
              <w:rPr>
                <w:sz w:val="12"/>
                <w:szCs w:val="12"/>
                <w:color w:val="auto"/>
              </w:rPr>
            </w:pPr>
          </w:p>
        </w:tc>
        <w:tc>
          <w:tcPr>
            <w:tcW w:w="960" w:type="dxa"/>
            <w:vAlign w:val="bottom"/>
          </w:tcPr>
          <w:p>
            <w:pPr>
              <w:jc w:val="right"/>
              <w:ind w:right="56"/>
              <w:spacing w:after="0"/>
              <w:rPr>
                <w:sz w:val="20"/>
                <w:szCs w:val="20"/>
                <w:color w:val="auto"/>
              </w:rPr>
            </w:pPr>
            <w:r>
              <w:rPr>
                <w:rFonts w:ascii="Arial" w:cs="Arial" w:eastAsia="Arial" w:hAnsi="Arial"/>
                <w:sz w:val="11"/>
                <w:szCs w:val="11"/>
                <w:b w:val="1"/>
                <w:bCs w:val="1"/>
                <w:color w:val="auto"/>
              </w:rPr>
              <w:t>Cost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ind w:right="535"/>
              <w:spacing w:after="0"/>
              <w:rPr>
                <w:sz w:val="20"/>
                <w:szCs w:val="20"/>
                <w:color w:val="auto"/>
              </w:rPr>
            </w:pPr>
            <w:r>
              <w:rPr>
                <w:rFonts w:ascii="Arial" w:cs="Arial" w:eastAsia="Arial" w:hAnsi="Arial"/>
                <w:sz w:val="11"/>
                <w:szCs w:val="11"/>
                <w:b w:val="1"/>
                <w:bCs w:val="1"/>
                <w:color w:val="auto"/>
              </w:rPr>
              <w:t>Value</w:t>
            </w:r>
          </w:p>
        </w:tc>
      </w:tr>
      <w:tr>
        <w:trPr>
          <w:trHeight w:val="30"/>
        </w:trPr>
        <w:tc>
          <w:tcPr>
            <w:tcW w:w="8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Mature in 1 year or less</w:t>
            </w:r>
          </w:p>
        </w:tc>
        <w:tc>
          <w:tcPr>
            <w:tcW w:w="96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252,238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250,682</w:t>
            </w: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Mature in 1 to 2 years</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47,222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46,820</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8"/>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299,460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297,502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509"/>
        <w:spacing w:after="0" w:line="281" w:lineRule="auto"/>
        <w:rPr>
          <w:sz w:val="20"/>
          <w:szCs w:val="20"/>
          <w:color w:val="auto"/>
        </w:rPr>
      </w:pPr>
      <w:r>
        <w:rPr>
          <w:rFonts w:ascii="Arial" w:cs="Arial" w:eastAsia="Arial" w:hAnsi="Arial"/>
          <w:sz w:val="14"/>
          <w:szCs w:val="14"/>
          <w:color w:val="auto"/>
        </w:rPr>
        <w:t>There were no liabilities measured at fair value on a recurring basis as of December 31, 2022 and 2021. There have been no transfers between fair value measurement levels during the years ended December 31, 2022 and 2021. In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addition, there were no assets or liabilities measured at fair value on a non-recurring basis as of December 31, 2022 and 2021.</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2022, the Company had not recorded any impairment related to other-than-temporary declines in the fair value of short-term investments.</w:t>
      </w:r>
    </w:p>
    <w:p>
      <w:pPr>
        <w:spacing w:after="0" w:line="147" w:lineRule="exact"/>
        <w:rPr>
          <w:sz w:val="20"/>
          <w:szCs w:val="20"/>
          <w:color w:val="auto"/>
        </w:rPr>
      </w:pPr>
    </w:p>
    <w:p>
      <w:pPr>
        <w:ind w:right="180" w:firstLine="509"/>
        <w:spacing w:after="0" w:line="281" w:lineRule="auto"/>
        <w:rPr>
          <w:sz w:val="20"/>
          <w:szCs w:val="20"/>
          <w:color w:val="auto"/>
        </w:rPr>
      </w:pPr>
      <w:r>
        <w:rPr>
          <w:rFonts w:ascii="Arial" w:cs="Arial" w:eastAsia="Arial" w:hAnsi="Arial"/>
          <w:sz w:val="14"/>
          <w:szCs w:val="14"/>
          <w:color w:val="auto"/>
        </w:rPr>
        <w:t>The Company records interest income and accretion income earned on Money Market Funds and U.S. Treasury, U.S. government agency and corporate debt securities to interest and other income in its statement of operations and comprehensive loss.</w:t>
      </w:r>
    </w:p>
    <w:p>
      <w:pPr>
        <w:spacing w:after="0" w:line="96"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4.</w:t>
      </w:r>
      <w:r>
        <w:rPr>
          <w:sz w:val="20"/>
          <w:szCs w:val="20"/>
          <w:color w:val="auto"/>
        </w:rPr>
        <w:tab/>
      </w:r>
      <w:r>
        <w:rPr>
          <w:rFonts w:ascii="Arial" w:cs="Arial" w:eastAsia="Arial" w:hAnsi="Arial"/>
          <w:sz w:val="12"/>
          <w:szCs w:val="12"/>
          <w:b w:val="1"/>
          <w:bCs w:val="1"/>
          <w:color w:val="auto"/>
        </w:rPr>
        <w:t>Property and Equipment, net</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Property and equipment, net consisted of the following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gridSpan w:val="3"/>
          </w:tcPr>
          <w:p>
            <w:pPr>
              <w:jc w:val="right"/>
              <w:ind w:right="109"/>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220" w:type="dxa"/>
            <w:vAlign w:val="bottom"/>
          </w:tcPr>
          <w:p>
            <w:pPr>
              <w:spacing w:after="0"/>
              <w:rPr>
                <w:sz w:val="12"/>
                <w:szCs w:val="12"/>
                <w:color w:val="auto"/>
              </w:rPr>
            </w:pPr>
          </w:p>
        </w:tc>
        <w:tc>
          <w:tcPr>
            <w:tcW w:w="940" w:type="dxa"/>
            <w:vAlign w:val="bottom"/>
          </w:tcPr>
          <w:p>
            <w:pPr>
              <w:jc w:val="right"/>
              <w:ind w:right="15"/>
              <w:spacing w:after="0"/>
              <w:rPr>
                <w:sz w:val="20"/>
                <w:szCs w:val="20"/>
                <w:color w:val="auto"/>
              </w:rPr>
            </w:pPr>
            <w:r>
              <w:rPr>
                <w:rFonts w:ascii="Arial" w:cs="Arial" w:eastAsia="Arial" w:hAnsi="Arial"/>
                <w:sz w:val="11"/>
                <w:szCs w:val="11"/>
                <w:b w:val="1"/>
                <w:bCs w:val="1"/>
                <w:color w:val="auto"/>
              </w:rPr>
              <w:t>2022</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552"/>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30"/>
        </w:trPr>
        <w:tc>
          <w:tcPr>
            <w:tcW w:w="8220" w:type="dxa"/>
            <w:vAlign w:val="bottom"/>
            <w:tcBorders>
              <w:bottom w:val="single" w:sz="8" w:color="CFF0F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Laboratory equipment</w:t>
            </w:r>
          </w:p>
        </w:tc>
        <w:tc>
          <w:tcPr>
            <w:tcW w:w="940" w:type="dxa"/>
            <w:vAlign w:val="bottom"/>
            <w:tcBorders>
              <w:bottom w:val="single" w:sz="8" w:color="CFF0FC"/>
            </w:tcBorders>
            <w:shd w:val="clear" w:color="auto" w:fill="CFF0FC"/>
          </w:tcPr>
          <w:p>
            <w:pPr>
              <w:jc w:val="right"/>
              <w:ind w:right="795"/>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9,581</w:t>
            </w:r>
          </w:p>
        </w:tc>
        <w:tc>
          <w:tcPr>
            <w:tcW w:w="10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7,947</w:t>
            </w:r>
          </w:p>
        </w:tc>
        <w:tc>
          <w:tcPr>
            <w:tcW w:w="0" w:type="dxa"/>
            <w:vAlign w:val="bottom"/>
          </w:tcPr>
          <w:p>
            <w:pPr>
              <w:spacing w:after="0"/>
              <w:rPr>
                <w:sz w:val="1"/>
                <w:szCs w:val="1"/>
                <w:color w:val="auto"/>
              </w:rPr>
            </w:pP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1,650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1,618</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Construction-in-progress</w:t>
            </w:r>
          </w:p>
        </w:tc>
        <w:tc>
          <w:tcPr>
            <w:tcW w:w="94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Computer equipment and software</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Total property and equipment</w:t>
            </w:r>
          </w:p>
        </w:tc>
        <w:tc>
          <w:tcPr>
            <w:tcW w:w="94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11,327</w:t>
            </w:r>
          </w:p>
        </w:tc>
        <w:tc>
          <w:tcPr>
            <w:tcW w:w="10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9,625</w:t>
            </w:r>
          </w:p>
        </w:tc>
        <w:tc>
          <w:tcPr>
            <w:tcW w:w="0" w:type="dxa"/>
            <w:vAlign w:val="bottom"/>
          </w:tcPr>
          <w:p>
            <w:pPr>
              <w:spacing w:after="0"/>
              <w:rPr>
                <w:sz w:val="1"/>
                <w:szCs w:val="1"/>
                <w:color w:val="auto"/>
              </w:rPr>
            </w:pP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Less: Accumulated depreciation</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(6,841)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(5,019)</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Total property and equipment, net</w:t>
            </w:r>
          </w:p>
        </w:tc>
        <w:tc>
          <w:tcPr>
            <w:tcW w:w="940" w:type="dxa"/>
            <w:vAlign w:val="bottom"/>
            <w:tcBorders>
              <w:bottom w:val="single" w:sz="8" w:color="CFF0FC"/>
            </w:tcBorders>
            <w:shd w:val="clear" w:color="auto" w:fill="CFF0FC"/>
          </w:tcPr>
          <w:p>
            <w:pPr>
              <w:jc w:val="right"/>
              <w:ind w:right="795"/>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4,486</w:t>
            </w: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4,606</w:t>
            </w:r>
          </w:p>
        </w:tc>
        <w:tc>
          <w:tcPr>
            <w:tcW w:w="0" w:type="dxa"/>
            <w:vAlign w:val="bottom"/>
          </w:tcPr>
          <w:p>
            <w:pPr>
              <w:spacing w:after="0"/>
              <w:rPr>
                <w:sz w:val="1"/>
                <w:szCs w:val="1"/>
                <w:color w:val="auto"/>
              </w:rPr>
            </w:pPr>
          </w:p>
        </w:tc>
      </w:tr>
      <w:tr>
        <w:trPr>
          <w:trHeight w:val="20"/>
        </w:trPr>
        <w:tc>
          <w:tcPr>
            <w:tcW w:w="8220" w:type="dxa"/>
            <w:vAlign w:val="bottom"/>
            <w:tcBorders>
              <w:top w:val="single" w:sz="8" w:color="CFF0FC"/>
              <w:bottom w:val="single" w:sz="8" w:color="CFF0FC"/>
            </w:tcBorders>
            <w:vMerge w:val="restart"/>
          </w:tcPr>
          <w:p>
            <w:pPr>
              <w:ind w:left="520"/>
              <w:spacing w:after="0"/>
              <w:rPr>
                <w:sz w:val="20"/>
                <w:szCs w:val="20"/>
                <w:color w:val="auto"/>
              </w:rPr>
            </w:pPr>
            <w:r>
              <w:rPr>
                <w:rFonts w:ascii="Arial" w:cs="Arial" w:eastAsia="Arial" w:hAnsi="Arial"/>
                <w:sz w:val="14"/>
                <w:szCs w:val="14"/>
                <w:color w:val="auto"/>
              </w:rPr>
              <w:t>Depreciation expense during the years ended December 31, 2022, and 2021 was $1.8 million and $1.5 million, respectively.</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2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220" w:type="dxa"/>
            <w:vAlign w:val="bottom"/>
          </w:tcPr>
          <w:p>
            <w:pPr>
              <w:spacing w:after="0"/>
              <w:rPr>
                <w:sz w:val="20"/>
                <w:szCs w:val="20"/>
                <w:color w:val="auto"/>
              </w:rPr>
            </w:pPr>
            <w:r>
              <w:rPr>
                <w:rFonts w:ascii="Arial" w:cs="Arial" w:eastAsia="Arial" w:hAnsi="Arial"/>
                <w:sz w:val="14"/>
                <w:szCs w:val="14"/>
                <w:b w:val="1"/>
                <w:bCs w:val="1"/>
                <w:color w:val="auto"/>
              </w:rPr>
              <w:t>5.  Prepaid expenses and other current assets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8220" w:type="dxa"/>
            <w:vAlign w:val="bottom"/>
          </w:tcPr>
          <w:p>
            <w:pPr>
              <w:ind w:left="520"/>
              <w:spacing w:after="0"/>
              <w:rPr>
                <w:sz w:val="20"/>
                <w:szCs w:val="20"/>
                <w:color w:val="auto"/>
              </w:rPr>
            </w:pPr>
            <w:r>
              <w:rPr>
                <w:rFonts w:ascii="Arial" w:cs="Arial" w:eastAsia="Arial" w:hAnsi="Arial"/>
                <w:sz w:val="14"/>
                <w:szCs w:val="14"/>
                <w:color w:val="auto"/>
              </w:rPr>
              <w:t>Prepaid expenses and other current assets consisted of the following (in thousands):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8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00" w:type="dxa"/>
            <w:vAlign w:val="bottom"/>
            <w:gridSpan w:val="3"/>
          </w:tcPr>
          <w:p>
            <w:pPr>
              <w:jc w:val="right"/>
              <w:ind w:right="109"/>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8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220" w:type="dxa"/>
            <w:vAlign w:val="bottom"/>
          </w:tcPr>
          <w:p>
            <w:pPr>
              <w:spacing w:after="0"/>
              <w:rPr>
                <w:sz w:val="12"/>
                <w:szCs w:val="12"/>
                <w:color w:val="auto"/>
              </w:rPr>
            </w:pPr>
          </w:p>
        </w:tc>
        <w:tc>
          <w:tcPr>
            <w:tcW w:w="940" w:type="dxa"/>
            <w:vAlign w:val="bottom"/>
          </w:tcPr>
          <w:p>
            <w:pPr>
              <w:jc w:val="right"/>
              <w:ind w:right="15"/>
              <w:spacing w:after="0"/>
              <w:rPr>
                <w:sz w:val="20"/>
                <w:szCs w:val="20"/>
                <w:color w:val="auto"/>
              </w:rPr>
            </w:pPr>
            <w:r>
              <w:rPr>
                <w:rFonts w:ascii="Arial" w:cs="Arial" w:eastAsia="Arial" w:hAnsi="Arial"/>
                <w:sz w:val="11"/>
                <w:szCs w:val="11"/>
                <w:b w:val="1"/>
                <w:bCs w:val="1"/>
                <w:color w:val="auto"/>
              </w:rPr>
              <w:t>2022</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552"/>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30"/>
        </w:trPr>
        <w:tc>
          <w:tcPr>
            <w:tcW w:w="8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research and development</w:t>
            </w:r>
          </w:p>
        </w:tc>
        <w:tc>
          <w:tcPr>
            <w:tcW w:w="940" w:type="dxa"/>
            <w:vAlign w:val="bottom"/>
            <w:tcBorders>
              <w:bottom w:val="single" w:sz="8" w:color="CCEEFF"/>
            </w:tcBorders>
            <w:shd w:val="clear" w:color="auto" w:fill="CCEEFF"/>
          </w:tcPr>
          <w:p>
            <w:pPr>
              <w:jc w:val="right"/>
              <w:ind w:right="795"/>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3,421</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2,819</w:t>
            </w:r>
          </w:p>
        </w:tc>
        <w:tc>
          <w:tcPr>
            <w:tcW w:w="0" w:type="dxa"/>
            <w:vAlign w:val="bottom"/>
          </w:tcPr>
          <w:p>
            <w:pPr>
              <w:spacing w:after="0"/>
              <w:rPr>
                <w:sz w:val="1"/>
                <w:szCs w:val="1"/>
                <w:color w:val="auto"/>
              </w:rPr>
            </w:pP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Prepaid insurance</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1,427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2,585</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licenses</w:t>
            </w:r>
          </w:p>
        </w:tc>
        <w:tc>
          <w:tcPr>
            <w:tcW w:w="9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Interest receivable</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1,078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9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81"/>
        </w:trPr>
        <w:tc>
          <w:tcPr>
            <w:tcW w:w="8220" w:type="dxa"/>
            <w:vAlign w:val="bottom"/>
          </w:tcPr>
          <w:p>
            <w:pPr>
              <w:ind w:left="180"/>
              <w:spacing w:after="0"/>
              <w:rPr>
                <w:sz w:val="20"/>
                <w:szCs w:val="20"/>
                <w:color w:val="auto"/>
              </w:rPr>
            </w:pPr>
            <w:r>
              <w:rPr>
                <w:rFonts w:ascii="Arial" w:cs="Arial" w:eastAsia="Arial" w:hAnsi="Arial"/>
                <w:sz w:val="14"/>
                <w:szCs w:val="14"/>
                <w:color w:val="auto"/>
              </w:rPr>
              <w:t>Total prepaid expenses and other current assets</w:t>
            </w:r>
          </w:p>
        </w:tc>
        <w:tc>
          <w:tcPr>
            <w:tcW w:w="940" w:type="dxa"/>
            <w:vAlign w:val="bottom"/>
            <w:tcBorders>
              <w:top w:val="single" w:sz="8" w:color="auto"/>
            </w:tcBorders>
          </w:tcPr>
          <w:p>
            <w:pPr>
              <w:jc w:val="right"/>
              <w:ind w:right="795"/>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7,058</w:t>
            </w:r>
          </w:p>
        </w:tc>
        <w:tc>
          <w:tcPr>
            <w:tcW w:w="100" w:type="dxa"/>
            <w:vAlign w:val="bottom"/>
          </w:tcPr>
          <w:p>
            <w:pPr>
              <w:spacing w:after="0"/>
              <w:rPr>
                <w:sz w:val="15"/>
                <w:szCs w:val="15"/>
                <w:color w:val="auto"/>
              </w:rPr>
            </w:pPr>
          </w:p>
        </w:tc>
        <w:tc>
          <w:tcPr>
            <w:tcW w:w="460" w:type="dxa"/>
            <w:vAlign w:val="bottom"/>
            <w:tcBorders>
              <w:top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6,764</w:t>
            </w:r>
          </w:p>
        </w:tc>
        <w:tc>
          <w:tcPr>
            <w:tcW w:w="0" w:type="dxa"/>
            <w:vAlign w:val="bottom"/>
          </w:tcPr>
          <w:p>
            <w:pPr>
              <w:spacing w:after="0"/>
              <w:rPr>
                <w:sz w:val="1"/>
                <w:szCs w:val="1"/>
                <w:color w:val="auto"/>
              </w:rPr>
            </w:pPr>
          </w:p>
        </w:tc>
      </w:tr>
      <w:tr>
        <w:trPr>
          <w:trHeight w:val="22"/>
        </w:trPr>
        <w:tc>
          <w:tcPr>
            <w:tcW w:w="8220" w:type="dxa"/>
            <w:vAlign w:val="bottom"/>
            <w:vMerge w:val="restart"/>
          </w:tcPr>
          <w:p>
            <w:pPr>
              <w:spacing w:after="0"/>
              <w:rPr>
                <w:sz w:val="20"/>
                <w:szCs w:val="20"/>
                <w:color w:val="auto"/>
              </w:rPr>
            </w:pPr>
            <w:r>
              <w:rPr>
                <w:rFonts w:ascii="Arial" w:cs="Arial" w:eastAsia="Arial" w:hAnsi="Arial"/>
                <w:sz w:val="14"/>
                <w:szCs w:val="14"/>
                <w:b w:val="1"/>
                <w:bCs w:val="1"/>
                <w:color w:val="auto"/>
              </w:rPr>
              <w:t>6.  Accrued and Other Liabilities</w:t>
            </w: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220" w:type="dxa"/>
            <w:vAlign w:val="bottom"/>
            <w:vMerge w:val="continue"/>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82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8220" w:type="dxa"/>
            <w:vAlign w:val="bottom"/>
          </w:tcPr>
          <w:p>
            <w:pPr>
              <w:ind w:left="520"/>
              <w:spacing w:after="0"/>
              <w:rPr>
                <w:sz w:val="20"/>
                <w:szCs w:val="20"/>
                <w:color w:val="auto"/>
              </w:rPr>
            </w:pPr>
            <w:r>
              <w:rPr>
                <w:rFonts w:ascii="Arial" w:cs="Arial" w:eastAsia="Arial" w:hAnsi="Arial"/>
                <w:sz w:val="14"/>
                <w:szCs w:val="14"/>
                <w:color w:val="auto"/>
              </w:rPr>
              <w:t>Accrued liabilities consisted of the following (in thousands):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8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00" w:type="dxa"/>
            <w:vAlign w:val="bottom"/>
            <w:gridSpan w:val="3"/>
          </w:tcPr>
          <w:p>
            <w:pPr>
              <w:jc w:val="right"/>
              <w:ind w:right="109"/>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8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220" w:type="dxa"/>
            <w:vAlign w:val="bottom"/>
          </w:tcPr>
          <w:p>
            <w:pPr>
              <w:spacing w:after="0"/>
              <w:rPr>
                <w:sz w:val="12"/>
                <w:szCs w:val="12"/>
                <w:color w:val="auto"/>
              </w:rPr>
            </w:pPr>
          </w:p>
        </w:tc>
        <w:tc>
          <w:tcPr>
            <w:tcW w:w="940" w:type="dxa"/>
            <w:vAlign w:val="bottom"/>
          </w:tcPr>
          <w:p>
            <w:pPr>
              <w:jc w:val="right"/>
              <w:ind w:right="15"/>
              <w:spacing w:after="0"/>
              <w:rPr>
                <w:sz w:val="20"/>
                <w:szCs w:val="20"/>
                <w:color w:val="auto"/>
              </w:rPr>
            </w:pPr>
            <w:r>
              <w:rPr>
                <w:rFonts w:ascii="Arial" w:cs="Arial" w:eastAsia="Arial" w:hAnsi="Arial"/>
                <w:sz w:val="11"/>
                <w:szCs w:val="11"/>
                <w:b w:val="1"/>
                <w:bCs w:val="1"/>
                <w:color w:val="auto"/>
              </w:rPr>
              <w:t>2022</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552"/>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30"/>
        </w:trPr>
        <w:tc>
          <w:tcPr>
            <w:tcW w:w="8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compensation and benefits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7,200</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5,216</w:t>
            </w:r>
          </w:p>
        </w:tc>
        <w:tc>
          <w:tcPr>
            <w:tcW w:w="0" w:type="dxa"/>
            <w:vAlign w:val="bottom"/>
          </w:tcPr>
          <w:p>
            <w:pPr>
              <w:spacing w:after="0"/>
              <w:rPr>
                <w:sz w:val="1"/>
                <w:szCs w:val="1"/>
                <w:color w:val="auto"/>
              </w:rPr>
            </w:pP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Other accrued liabilities</w:t>
            </w:r>
          </w:p>
        </w:tc>
        <w:tc>
          <w:tcPr>
            <w:tcW w:w="9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907</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accrued and other liabilities</w:t>
            </w:r>
          </w:p>
        </w:tc>
        <w:tc>
          <w:tcPr>
            <w:tcW w:w="940" w:type="dxa"/>
            <w:vAlign w:val="bottom"/>
            <w:tcBorders>
              <w:bottom w:val="single" w:sz="8" w:color="CCEEFF"/>
            </w:tcBorders>
            <w:shd w:val="clear" w:color="auto" w:fill="CCEEFF"/>
          </w:tcPr>
          <w:p>
            <w:pPr>
              <w:jc w:val="right"/>
              <w:ind w:right="795"/>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8,658</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6,123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Accrued compensation and benefits consist primarily of accrued bonuses and accrued vacation.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7.</w:t>
      </w:r>
      <w:r>
        <w:rPr>
          <w:sz w:val="20"/>
          <w:szCs w:val="20"/>
          <w:color w:val="auto"/>
        </w:rPr>
        <w:tab/>
      </w:r>
      <w:r>
        <w:rPr>
          <w:rFonts w:ascii="Arial" w:cs="Arial" w:eastAsia="Arial" w:hAnsi="Arial"/>
          <w:sz w:val="12"/>
          <w:szCs w:val="12"/>
          <w:b w:val="1"/>
          <w:bCs w:val="1"/>
          <w:color w:val="auto"/>
        </w:rPr>
        <w:t>Debt</w:t>
      </w:r>
    </w:p>
    <w:p>
      <w:pPr>
        <w:spacing w:after="0" w:line="151" w:lineRule="exact"/>
        <w:rPr>
          <w:sz w:val="20"/>
          <w:szCs w:val="20"/>
          <w:color w:val="auto"/>
        </w:rPr>
      </w:pPr>
    </w:p>
    <w:p>
      <w:pPr>
        <w:ind w:firstLine="891"/>
        <w:spacing w:after="0"/>
        <w:rPr>
          <w:sz w:val="20"/>
          <w:szCs w:val="20"/>
          <w:color w:val="auto"/>
        </w:rPr>
      </w:pPr>
      <w:r>
        <w:rPr>
          <w:rFonts w:ascii="Arial" w:cs="Arial" w:eastAsia="Arial" w:hAnsi="Arial"/>
          <w:sz w:val="14"/>
          <w:szCs w:val="14"/>
          <w:color w:val="auto"/>
        </w:rPr>
        <w:t>In May 2022, as amended in October 2022, we entered into a term loan facility (the “Oxford Loan Agreement”) with Oxford Finance LLC (the "Lender") for up to $100.0 million. At closing, we entered into a term loan for $10.0 million of an initial $25.0 million tranche, with the remaining $15.0 million available through mid-February 2023. The Oxford Loan Agreement provides for an additional $75.0 million over three tranches, $50.0 million of which is at our option upon the satisfaction of certain conditions related to the development of bexotegrast and one of our preclinical product candidates, and $25.0 million at the Lender's discretion. In connection with the Oxford Loan Agreement, we granted a security interest in substantially all of our current and future assets. There are no warrants or financial covenants associated with the Oxford Loan Agreement.</w:t>
      </w:r>
    </w:p>
    <w:p>
      <w:pPr>
        <w:spacing w:after="0" w:line="76" w:lineRule="exact"/>
        <w:rPr>
          <w:sz w:val="20"/>
          <w:szCs w:val="20"/>
          <w:color w:val="auto"/>
        </w:rPr>
      </w:pPr>
    </w:p>
    <w:p>
      <w:pPr>
        <w:ind w:right="200" w:firstLine="891"/>
        <w:spacing w:after="0" w:line="267" w:lineRule="auto"/>
        <w:rPr>
          <w:sz w:val="20"/>
          <w:szCs w:val="20"/>
          <w:color w:val="auto"/>
        </w:rPr>
      </w:pPr>
      <w:r>
        <w:rPr>
          <w:rFonts w:ascii="Arial" w:cs="Arial" w:eastAsia="Arial" w:hAnsi="Arial"/>
          <w:sz w:val="14"/>
          <w:szCs w:val="14"/>
          <w:color w:val="auto"/>
        </w:rPr>
        <w:t>Borrowings under the Oxford Loan Agreement bear interest at a rate per annum equal to 1-month term Secured Overnight Financing Rate (SOFR) plus 8.5%, subject to an agreed upon floor and cap. The Oxford Loan Agreement requires the Company to make monthly interest-only payments until July 1, 2026 (extendable to July 1, 2027) with monthly interest and principal payments thereafter until the maturity date of May 1, 2027 (extendable to May 1, 2028).</w:t>
      </w:r>
    </w:p>
    <w:p>
      <w:pPr>
        <w:spacing w:after="0" w:line="57" w:lineRule="exact"/>
        <w:rPr>
          <w:sz w:val="20"/>
          <w:szCs w:val="20"/>
          <w:color w:val="auto"/>
        </w:rPr>
      </w:pPr>
    </w:p>
    <w:p>
      <w:pPr>
        <w:ind w:firstLine="891"/>
        <w:spacing w:after="0" w:line="368" w:lineRule="auto"/>
        <w:rPr>
          <w:sz w:val="20"/>
          <w:szCs w:val="20"/>
          <w:color w:val="auto"/>
        </w:rPr>
      </w:pPr>
      <w:r>
        <w:rPr>
          <w:rFonts w:ascii="Arial" w:cs="Arial" w:eastAsia="Arial" w:hAnsi="Arial"/>
          <w:sz w:val="12"/>
          <w:szCs w:val="12"/>
          <w:color w:val="auto"/>
        </w:rPr>
        <w:t>The estimated fair value of the term loan as of December 31, 2022 was measured using Level 3 inputs and approximates the carrying value recorded to the balance sheet. The effective interest rate for the term loan is 12.69% and interest expense during the year ended December 31, 2022 was $0.8 million. We had no outstanding debt and did not incur interest expense in 2021.</w:t>
      </w:r>
    </w:p>
    <w:p>
      <w:pPr>
        <w:spacing w:after="0" w:line="97" w:lineRule="exact"/>
        <w:rPr>
          <w:sz w:val="20"/>
          <w:szCs w:val="20"/>
          <w:color w:val="auto"/>
        </w:rPr>
      </w:pPr>
    </w:p>
    <w:p>
      <w:pPr>
        <w:ind w:left="900"/>
        <w:spacing w:after="0"/>
        <w:rPr>
          <w:sz w:val="20"/>
          <w:szCs w:val="20"/>
          <w:color w:val="auto"/>
        </w:rPr>
      </w:pPr>
      <w:r>
        <w:rPr>
          <w:rFonts w:ascii="Arial" w:cs="Arial" w:eastAsia="Arial" w:hAnsi="Arial"/>
          <w:sz w:val="14"/>
          <w:szCs w:val="14"/>
          <w:color w:val="auto"/>
        </w:rPr>
        <w:t>Future maturities of debt as of December 31, 2022 are as follows (in thousands):</w:t>
      </w:r>
    </w:p>
    <w:p>
      <w:pPr>
        <w:spacing w:after="0" w:line="225" w:lineRule="exact"/>
        <w:rPr>
          <w:sz w:val="20"/>
          <w:szCs w:val="20"/>
          <w:color w:val="auto"/>
        </w:rPr>
      </w:pPr>
    </w:p>
    <w:tbl>
      <w:tblPr>
        <w:tblLayout w:type="fixed"/>
        <w:tblInd w:w="3360" w:type="dxa"/>
        <w:tblCellMar>
          <w:top w:w="0" w:type="dxa"/>
          <w:left w:w="0" w:type="dxa"/>
          <w:bottom w:w="0" w:type="dxa"/>
          <w:right w:w="0" w:type="dxa"/>
        </w:tblCellMar>
      </w:tblPr>
      <w:tr>
        <w:trPr>
          <w:trHeight w:val="156"/>
        </w:trPr>
        <w:tc>
          <w:tcPr>
            <w:tcW w:w="37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211"/>
              <w:spacing w:after="0"/>
              <w:rPr>
                <w:sz w:val="20"/>
                <w:szCs w:val="20"/>
                <w:color w:val="auto"/>
              </w:rPr>
            </w:pPr>
            <w:r>
              <w:rPr>
                <w:rFonts w:ascii="Arial" w:cs="Arial" w:eastAsia="Arial" w:hAnsi="Arial"/>
                <w:sz w:val="11"/>
                <w:szCs w:val="11"/>
                <w:b w:val="1"/>
                <w:bCs w:val="1"/>
                <w:color w:val="auto"/>
                <w:w w:val="97"/>
              </w:rPr>
              <w:t>As of December 31, 2022</w:t>
            </w:r>
          </w:p>
        </w:tc>
      </w:tr>
      <w:tr>
        <w:trPr>
          <w:trHeight w:val="180"/>
        </w:trPr>
        <w:tc>
          <w:tcPr>
            <w:tcW w:w="3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720" w:type="dxa"/>
            <w:vAlign w:val="bottom"/>
          </w:tcPr>
          <w:p>
            <w:pPr>
              <w:jc w:val="right"/>
              <w:spacing w:after="0"/>
              <w:rPr>
                <w:sz w:val="20"/>
                <w:szCs w:val="20"/>
                <w:color w:val="auto"/>
              </w:rPr>
            </w:pPr>
            <w:r>
              <w:rPr>
                <w:rFonts w:ascii="Arial" w:cs="Arial" w:eastAsia="Arial" w:hAnsi="Arial"/>
                <w:sz w:val="14"/>
                <w:szCs w:val="14"/>
                <w:color w:val="auto"/>
              </w:rPr>
              <w:t>2024</w:t>
            </w: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720" w:type="dxa"/>
            <w:vAlign w:val="bottom"/>
          </w:tcPr>
          <w:p>
            <w:pPr>
              <w:jc w:val="right"/>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5,455</w:t>
            </w:r>
          </w:p>
        </w:tc>
      </w:tr>
      <w:tr>
        <w:trPr>
          <w:trHeight w:val="181"/>
        </w:trPr>
        <w:tc>
          <w:tcPr>
            <w:tcW w:w="3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4,545</w:t>
            </w:r>
          </w:p>
        </w:tc>
      </w:tr>
      <w:tr>
        <w:trPr>
          <w:trHeight w:val="180"/>
        </w:trPr>
        <w:tc>
          <w:tcPr>
            <w:tcW w:w="3900" w:type="dxa"/>
            <w:vAlign w:val="bottom"/>
            <w:gridSpan w:val="2"/>
          </w:tcPr>
          <w:p>
            <w:pPr>
              <w:jc w:val="right"/>
              <w:ind w:right="29"/>
              <w:spacing w:after="0"/>
              <w:rPr>
                <w:sz w:val="20"/>
                <w:szCs w:val="20"/>
                <w:color w:val="auto"/>
              </w:rPr>
            </w:pPr>
            <w:r>
              <w:rPr>
                <w:rFonts w:ascii="Arial" w:cs="Arial" w:eastAsia="Arial" w:hAnsi="Arial"/>
                <w:sz w:val="14"/>
                <w:szCs w:val="14"/>
                <w:color w:val="auto"/>
              </w:rPr>
              <w:t>Thereafter $</w:t>
            </w: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37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r>
      <w:tr>
        <w:trPr>
          <w:trHeight w:val="180"/>
        </w:trPr>
        <w:tc>
          <w:tcPr>
            <w:tcW w:w="3720" w:type="dxa"/>
            <w:vAlign w:val="bottom"/>
          </w:tcPr>
          <w:p>
            <w:pPr>
              <w:jc w:val="right"/>
              <w:spacing w:after="0"/>
              <w:rPr>
                <w:sz w:val="20"/>
                <w:szCs w:val="20"/>
                <w:color w:val="auto"/>
              </w:rPr>
            </w:pPr>
            <w:r>
              <w:rPr>
                <w:rFonts w:ascii="Arial" w:cs="Arial" w:eastAsia="Arial" w:hAnsi="Arial"/>
                <w:sz w:val="14"/>
                <w:szCs w:val="14"/>
                <w:color w:val="auto"/>
              </w:rPr>
              <w:t>Less: unamortized debt issuance costs</w:t>
            </w: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(133)</w:t>
            </w:r>
          </w:p>
        </w:tc>
      </w:tr>
      <w:tr>
        <w:trPr>
          <w:trHeight w:val="181"/>
        </w:trPr>
        <w:tc>
          <w:tcPr>
            <w:tcW w:w="3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Accretion of final payment</w:t>
            </w:r>
          </w:p>
        </w:tc>
        <w:tc>
          <w:tcPr>
            <w:tcW w:w="18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71"/>
        </w:trPr>
        <w:tc>
          <w:tcPr>
            <w:tcW w:w="3720" w:type="dxa"/>
            <w:vAlign w:val="bottom"/>
          </w:tcPr>
          <w:p>
            <w:pPr>
              <w:jc w:val="right"/>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9,929</w:t>
            </w:r>
          </w:p>
        </w:tc>
      </w:tr>
      <w:tr>
        <w:trPr>
          <w:trHeight w:val="20"/>
        </w:trPr>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8.</w:t>
      </w:r>
      <w:r>
        <w:rPr>
          <w:sz w:val="20"/>
          <w:szCs w:val="20"/>
          <w:color w:val="auto"/>
        </w:rPr>
        <w:tab/>
      </w:r>
      <w:r>
        <w:rPr>
          <w:rFonts w:ascii="Arial" w:cs="Arial" w:eastAsia="Arial" w:hAnsi="Arial"/>
          <w:sz w:val="12"/>
          <w:szCs w:val="12"/>
          <w:b w:val="1"/>
          <w:bCs w:val="1"/>
          <w:color w:val="auto"/>
        </w:rPr>
        <w:t>Novartis Collaboration and License Agreement (the "Novartis Agreement")</w:t>
      </w:r>
    </w:p>
    <w:p>
      <w:pPr>
        <w:spacing w:after="0" w:line="98" w:lineRule="exact"/>
        <w:rPr>
          <w:sz w:val="20"/>
          <w:szCs w:val="20"/>
          <w:color w:val="auto"/>
        </w:rPr>
      </w:pPr>
    </w:p>
    <w:p>
      <w:pPr>
        <w:ind w:right="260" w:firstLine="509"/>
        <w:spacing w:after="0" w:line="284" w:lineRule="auto"/>
        <w:rPr>
          <w:sz w:val="20"/>
          <w:szCs w:val="20"/>
          <w:color w:val="auto"/>
        </w:rPr>
      </w:pPr>
      <w:r>
        <w:rPr>
          <w:rFonts w:ascii="Arial" w:cs="Arial" w:eastAsia="Arial" w:hAnsi="Arial"/>
          <w:sz w:val="13"/>
          <w:szCs w:val="13"/>
          <w:color w:val="auto"/>
        </w:rPr>
        <w:t>In 2019, we entered into the Novartis Agreement, for the development and commercialization of our preclinical product candidate, PLN-1474 and up to three additional integrin research targets. PLN-1474 is an internally discovered oral, small molecule selective inhibitor of integrin αvβ1, currently being developed for the treatment of liver fibrosis associated with nonalcoholic steatohepatitis (“NASH”). Pursuant to the agreement, we received an upfront, non-refundable license fee of $50.0 million and were eligible to receive additional payments of $416.0 million contingent upon achievement of specified research, development, regulatory and commercial events and royalties on world-wide net sales thereafter. Additionally, Novartis is funding up to $20.0 million associated with research and development services for PLN-1474 and up to $18.4 million for research and development services on the integrin research targets.</w:t>
      </w:r>
    </w:p>
    <w:p>
      <w:pPr>
        <w:spacing w:after="0" w:line="49" w:lineRule="exact"/>
        <w:rPr>
          <w:sz w:val="20"/>
          <w:szCs w:val="20"/>
          <w:color w:val="auto"/>
        </w:rPr>
      </w:pPr>
    </w:p>
    <w:p>
      <w:pPr>
        <w:ind w:right="20" w:firstLine="509"/>
        <w:spacing w:after="0" w:line="267" w:lineRule="auto"/>
        <w:rPr>
          <w:sz w:val="20"/>
          <w:szCs w:val="20"/>
          <w:color w:val="auto"/>
        </w:rPr>
      </w:pPr>
      <w:r>
        <w:rPr>
          <w:rFonts w:ascii="Arial" w:cs="Arial" w:eastAsia="Arial" w:hAnsi="Arial"/>
          <w:sz w:val="14"/>
          <w:szCs w:val="14"/>
          <w:color w:val="auto"/>
        </w:rPr>
        <w:t>We assessed the Novartis Agreement in accordance with ASC 606 and determined that Novartis is a customer and identified the following performance obligations: (1) to provide worldwide license rights to PLN-1474, (2) to provide research and development services for PLN-1474, (3) to provide non-exclusive license rights to integrin research targets, and (4) to provide research and development services on integrin research targets.</w:t>
      </w:r>
    </w:p>
    <w:p>
      <w:pPr>
        <w:spacing w:after="0" w:line="57" w:lineRule="exact"/>
        <w:rPr>
          <w:sz w:val="20"/>
          <w:szCs w:val="20"/>
          <w:color w:val="auto"/>
        </w:rPr>
      </w:pPr>
    </w:p>
    <w:p>
      <w:pPr>
        <w:ind w:firstLine="509"/>
        <w:spacing w:after="0" w:line="262" w:lineRule="auto"/>
        <w:rPr>
          <w:sz w:val="20"/>
          <w:szCs w:val="20"/>
          <w:color w:val="auto"/>
        </w:rPr>
      </w:pPr>
      <w:r>
        <w:rPr>
          <w:rFonts w:ascii="Arial" w:cs="Arial" w:eastAsia="Arial" w:hAnsi="Arial"/>
          <w:sz w:val="14"/>
          <w:szCs w:val="14"/>
          <w:color w:val="auto"/>
        </w:rPr>
        <w:t>We determined that the license to PLN-1474 was functional intellectual property and distinct as Novartis is capable to benefit from the license on its own or together with other resources that are readily available, and the research and development services we promise to deliver are not transformative in nature. Additionally, we concluded that the non-exclusive license rights to integrin research targets were not distinct in the context of the arrangement as the promised research and development services on integrin research targets were expected to significantly modify the license and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Novartis could not benefit from the non-exclusive license without such services. Therefore, the non-exclusive license rights and research and development services on integrin research targets were considered a single performance obligation.</w:t>
      </w:r>
    </w:p>
    <w:p>
      <w:pPr>
        <w:spacing w:after="0" w:line="47" w:lineRule="exact"/>
        <w:rPr>
          <w:sz w:val="20"/>
          <w:szCs w:val="20"/>
          <w:color w:val="auto"/>
        </w:rPr>
      </w:pPr>
    </w:p>
    <w:p>
      <w:pPr>
        <w:ind w:right="140" w:firstLine="509"/>
        <w:spacing w:after="0" w:line="260" w:lineRule="auto"/>
        <w:rPr>
          <w:sz w:val="20"/>
          <w:szCs w:val="20"/>
          <w:color w:val="auto"/>
        </w:rPr>
      </w:pPr>
      <w:r>
        <w:rPr>
          <w:rFonts w:ascii="Arial" w:cs="Arial" w:eastAsia="Arial" w:hAnsi="Arial"/>
          <w:sz w:val="14"/>
          <w:szCs w:val="14"/>
          <w:color w:val="auto"/>
        </w:rPr>
        <w:t>We determined the transaction price of the PLN-1474 research and development services and integrin target research and development services was $20.0 million and $18.4 million, respectively, as of December 31, 2022, and the performance obligations associated with the aggregate unrecognized transaction price of $1.4 million would be satisfied in 2023. As of December 31, 2022, variable consideration associated with specified research and development milestones totaling $387.0 million have been constrained from the transaction prices. In February 2023, Novartis issued a termination notice for the collaboration and license agreement, and is returning global rights for PLN-1474 as well as the early research targets and associated compounds. P</w:t>
      </w:r>
      <w:r>
        <w:rPr>
          <w:rFonts w:ascii="Arial" w:cs="Arial" w:eastAsia="Arial" w:hAnsi="Arial"/>
          <w:sz w:val="14"/>
          <w:szCs w:val="14"/>
          <w:color w:val="231F20"/>
        </w:rPr>
        <w:t>lease refer to</w:t>
      </w:r>
      <w:r>
        <w:rPr>
          <w:rFonts w:ascii="Arial" w:cs="Arial" w:eastAsia="Arial" w:hAnsi="Arial"/>
          <w:sz w:val="14"/>
          <w:szCs w:val="14"/>
          <w:color w:val="auto"/>
        </w:rPr>
        <w:t xml:space="preserve"> </w:t>
      </w:r>
      <w:r>
        <w:rPr>
          <w:rFonts w:ascii="Arial" w:cs="Arial" w:eastAsia="Arial" w:hAnsi="Arial"/>
          <w:sz w:val="14"/>
          <w:szCs w:val="14"/>
          <w:color w:val="231F20"/>
        </w:rPr>
        <w:t>Note 19 to our financial statements for additional information.</w:t>
      </w:r>
    </w:p>
    <w:p>
      <w:pPr>
        <w:spacing w:after="0" w:line="62" w:lineRule="exact"/>
        <w:rPr>
          <w:sz w:val="20"/>
          <w:szCs w:val="20"/>
          <w:color w:val="auto"/>
        </w:rPr>
      </w:pPr>
    </w:p>
    <w:p>
      <w:pPr>
        <w:ind w:right="140" w:firstLine="509"/>
        <w:spacing w:after="0" w:line="258" w:lineRule="auto"/>
        <w:rPr>
          <w:sz w:val="20"/>
          <w:szCs w:val="20"/>
          <w:color w:val="auto"/>
        </w:rPr>
      </w:pPr>
      <w:r>
        <w:rPr>
          <w:rFonts w:ascii="Arial" w:cs="Arial" w:eastAsia="Arial" w:hAnsi="Arial"/>
          <w:sz w:val="14"/>
          <w:szCs w:val="14"/>
          <w:color w:val="auto"/>
        </w:rPr>
        <w:t>We are utilizing a cost-based input method to measure proportional performance and to calculate the corresponding amount of revenue to recognize. We believe this is the best measure of progress because other measures do not reflect how we transfer the performance obligation to our counterparty. In applying the cost-based input method of revenue recognition, we use actual costs incurred relative to budgeted costs to fulfill the performance obligation. These costs consist primarily of third-party contract costs and internal full-time equivalent effort. A cost-based input method of revenue recognition requires management to make estimates of costs to complete the performance obligations. The cumulative effect of revisions to estimated costs to complete the performance obligations will be recorded in the period in which changes are identified and amounts can be reasonably estimated. A significant change in these assumptions and estimates could have a material impact on the timing and amount of revenue recognized in future periods.</w:t>
      </w:r>
    </w:p>
    <w:p>
      <w:pPr>
        <w:spacing w:after="0" w:line="65" w:lineRule="exact"/>
        <w:rPr>
          <w:sz w:val="20"/>
          <w:szCs w:val="20"/>
          <w:color w:val="auto"/>
        </w:rPr>
      </w:pPr>
    </w:p>
    <w:p>
      <w:pPr>
        <w:jc w:val="both"/>
        <w:ind w:right="40" w:firstLine="509"/>
        <w:spacing w:after="0" w:line="267" w:lineRule="auto"/>
        <w:rPr>
          <w:sz w:val="20"/>
          <w:szCs w:val="20"/>
          <w:color w:val="auto"/>
        </w:rPr>
      </w:pPr>
      <w:r>
        <w:rPr>
          <w:rFonts w:ascii="Arial" w:cs="Arial" w:eastAsia="Arial" w:hAnsi="Arial"/>
          <w:sz w:val="14"/>
          <w:szCs w:val="14"/>
          <w:color w:val="auto"/>
        </w:rPr>
        <w:t>In the second quarter of 2022, Novartis exercised their right to opt-in to a research program and secured an exclusive license to compounds associated with an integrin research target, which entitled us to a $4.0 million payment, which was recognized in revenue and collected during 2022. To date, we have received $29.0 million in contingent payments and $387.0 million remain eligible for achievement.</w:t>
      </w:r>
    </w:p>
    <w:p>
      <w:pPr>
        <w:spacing w:after="0" w:line="57"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During the year ended December 31, 2022, we recognized revenue of $9.7 million which consisted of revenue generated from research and development services and recognition of one contingent payment of $4.0 million associated with the integrin research target program. During the year ended December 31, 2021, we recognized revenue of $7.6 million which consisted of revenue generated from research and development services.</w:t>
      </w:r>
    </w:p>
    <w:p>
      <w:pPr>
        <w:spacing w:after="0" w:line="57" w:lineRule="exact"/>
        <w:rPr>
          <w:sz w:val="20"/>
          <w:szCs w:val="20"/>
          <w:color w:val="auto"/>
        </w:rPr>
      </w:pPr>
    </w:p>
    <w:p>
      <w:pPr>
        <w:ind w:right="460" w:firstLine="509"/>
        <w:spacing w:after="0" w:line="281" w:lineRule="auto"/>
        <w:rPr>
          <w:sz w:val="20"/>
          <w:szCs w:val="20"/>
          <w:color w:val="auto"/>
        </w:rPr>
      </w:pPr>
      <w:r>
        <w:rPr>
          <w:rFonts w:ascii="Arial" w:cs="Arial" w:eastAsia="Arial" w:hAnsi="Arial"/>
          <w:sz w:val="14"/>
          <w:szCs w:val="14"/>
          <w:color w:val="auto"/>
        </w:rPr>
        <w:t>As of December 31, 2022 and 2021, there was a receivable of $2.0 million and $2.0 million, respectively, related to the Novartis Agreement. There were no contract assets or contract liabilities as of December 31, 2022 and 2021.</w:t>
      </w:r>
    </w:p>
    <w:p>
      <w:pPr>
        <w:spacing w:after="0" w:line="200" w:lineRule="exact"/>
        <w:rPr>
          <w:sz w:val="20"/>
          <w:szCs w:val="20"/>
          <w:color w:val="auto"/>
        </w:rPr>
      </w:pPr>
    </w:p>
    <w:p>
      <w:pPr>
        <w:spacing w:after="0" w:line="236"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9.</w:t>
      </w:r>
      <w:r>
        <w:rPr>
          <w:sz w:val="20"/>
          <w:szCs w:val="20"/>
          <w:color w:val="auto"/>
        </w:rPr>
        <w:tab/>
      </w:r>
      <w:r>
        <w:rPr>
          <w:rFonts w:ascii="Arial" w:cs="Arial" w:eastAsia="Arial" w:hAnsi="Arial"/>
          <w:sz w:val="12"/>
          <w:szCs w:val="12"/>
          <w:b w:val="1"/>
          <w:bCs w:val="1"/>
          <w:color w:val="auto"/>
        </w:rPr>
        <w:t>Common Stock</w:t>
      </w:r>
    </w:p>
    <w:p>
      <w:pPr>
        <w:spacing w:after="0" w:line="98" w:lineRule="exact"/>
        <w:rPr>
          <w:sz w:val="20"/>
          <w:szCs w:val="20"/>
          <w:color w:val="auto"/>
        </w:rPr>
      </w:pPr>
    </w:p>
    <w:p>
      <w:pPr>
        <w:ind w:right="100" w:firstLine="509"/>
        <w:spacing w:after="0" w:line="281" w:lineRule="auto"/>
        <w:rPr>
          <w:sz w:val="20"/>
          <w:szCs w:val="20"/>
          <w:color w:val="auto"/>
        </w:rPr>
      </w:pPr>
      <w:r>
        <w:rPr>
          <w:rFonts w:ascii="Arial" w:cs="Arial" w:eastAsia="Arial" w:hAnsi="Arial"/>
          <w:sz w:val="14"/>
          <w:szCs w:val="14"/>
          <w:color w:val="auto"/>
        </w:rPr>
        <w:t>As of December 31, 2022 and 2021, the Company had 300,000,000 authorized shares of common stock, at a par value of $0.0001 per share. The common stock has the following rights and privileges: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Voting</w:t>
      </w:r>
    </w:p>
    <w:p>
      <w:pPr>
        <w:spacing w:after="0" w:line="94" w:lineRule="exact"/>
        <w:rPr>
          <w:sz w:val="20"/>
          <w:szCs w:val="20"/>
          <w:color w:val="auto"/>
        </w:rPr>
      </w:pPr>
    </w:p>
    <w:p>
      <w:pPr>
        <w:ind w:right="60" w:firstLine="509"/>
        <w:spacing w:after="0" w:line="379" w:lineRule="auto"/>
        <w:rPr>
          <w:sz w:val="20"/>
          <w:szCs w:val="20"/>
          <w:color w:val="auto"/>
        </w:rPr>
      </w:pPr>
      <w:r>
        <w:rPr>
          <w:rFonts w:ascii="Arial" w:cs="Arial" w:eastAsia="Arial" w:hAnsi="Arial"/>
          <w:sz w:val="14"/>
          <w:szCs w:val="14"/>
          <w:color w:val="auto"/>
        </w:rPr>
        <w:t xml:space="preserve">The holders of shares of common stock are entitled to one vote for each share of common stock held at any meeting of stockholders and at the time of any written action in lieu of a meeting. </w:t>
      </w:r>
      <w:r>
        <w:rPr>
          <w:rFonts w:ascii="Arial" w:cs="Arial" w:eastAsia="Arial" w:hAnsi="Arial"/>
          <w:sz w:val="14"/>
          <w:szCs w:val="14"/>
          <w:b w:val="1"/>
          <w:bCs w:val="1"/>
          <w:i w:val="1"/>
          <w:iCs w:val="1"/>
          <w:color w:val="auto"/>
        </w:rPr>
        <w:t>Dividends</w:t>
      </w:r>
    </w:p>
    <w:p>
      <w:pPr>
        <w:spacing w:after="0" w:line="1" w:lineRule="exact"/>
        <w:rPr>
          <w:sz w:val="20"/>
          <w:szCs w:val="20"/>
          <w:color w:val="auto"/>
        </w:rPr>
      </w:pPr>
    </w:p>
    <w:p>
      <w:pPr>
        <w:ind w:right="60" w:firstLine="509"/>
        <w:spacing w:after="0" w:line="368" w:lineRule="auto"/>
        <w:rPr>
          <w:sz w:val="20"/>
          <w:szCs w:val="20"/>
          <w:color w:val="auto"/>
        </w:rPr>
      </w:pPr>
      <w:r>
        <w:rPr>
          <w:rFonts w:ascii="Arial" w:cs="Arial" w:eastAsia="Arial" w:hAnsi="Arial"/>
          <w:sz w:val="12"/>
          <w:szCs w:val="12"/>
          <w:color w:val="auto"/>
        </w:rPr>
        <w:t>The holders of shares of common stock are entitled to receive dividends, when declared by the Company’s Board of Directors. Cash dividends may not be declared or paid to holders of shares of common stock until all unpaid dividends on the Preferred Stock have been paid in accordance with their terms. No dividends have been declared or paid by the Company since its inception.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Liquidation</w:t>
      </w:r>
    </w:p>
    <w:p>
      <w:pPr>
        <w:spacing w:after="0" w:line="94" w:lineRule="exact"/>
        <w:rPr>
          <w:sz w:val="20"/>
          <w:szCs w:val="20"/>
          <w:color w:val="auto"/>
        </w:rPr>
      </w:pPr>
    </w:p>
    <w:p>
      <w:pPr>
        <w:ind w:right="640" w:firstLine="509"/>
        <w:spacing w:after="0" w:line="281" w:lineRule="auto"/>
        <w:rPr>
          <w:sz w:val="20"/>
          <w:szCs w:val="20"/>
          <w:color w:val="auto"/>
        </w:rPr>
      </w:pPr>
      <w:r>
        <w:rPr>
          <w:rFonts w:ascii="Arial" w:cs="Arial" w:eastAsia="Arial" w:hAnsi="Arial"/>
          <w:sz w:val="14"/>
          <w:szCs w:val="14"/>
          <w:color w:val="auto"/>
        </w:rPr>
        <w:t>The holders of shares of common stock are entitled to share ratably in the Company’s remaining assets available for distribution to its stockholders in the event of any voluntary or involuntary liquidation, dissolution or winding up of the Company or upon occurrence of a deemed liquidation event.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Shares reserved for future issuance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220" w:type="dxa"/>
            <w:vAlign w:val="bottom"/>
          </w:tcPr>
          <w:p>
            <w:pPr>
              <w:spacing w:after="0"/>
              <w:rPr>
                <w:sz w:val="12"/>
                <w:szCs w:val="12"/>
                <w:color w:val="auto"/>
              </w:rPr>
            </w:pPr>
          </w:p>
        </w:tc>
        <w:tc>
          <w:tcPr>
            <w:tcW w:w="2040" w:type="dxa"/>
            <w:vAlign w:val="bottom"/>
            <w:gridSpan w:val="3"/>
          </w:tcPr>
          <w:p>
            <w:pPr>
              <w:ind w:left="1200"/>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Pr>
          <w:p>
            <w:pPr>
              <w:spacing w:after="0"/>
              <w:rPr>
                <w:sz w:val="12"/>
                <w:szCs w:val="12"/>
                <w:color w:val="auto"/>
              </w:rPr>
            </w:pPr>
          </w:p>
        </w:tc>
      </w:tr>
      <w:tr>
        <w:trPr>
          <w:trHeight w:val="30"/>
        </w:trPr>
        <w:tc>
          <w:tcPr>
            <w:tcW w:w="82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41"/>
        </w:trPr>
        <w:tc>
          <w:tcPr>
            <w:tcW w:w="8220" w:type="dxa"/>
            <w:vAlign w:val="bottom"/>
          </w:tcPr>
          <w:p>
            <w:pPr>
              <w:spacing w:after="0"/>
              <w:rPr>
                <w:sz w:val="12"/>
                <w:szCs w:val="12"/>
                <w:color w:val="auto"/>
              </w:rPr>
            </w:pPr>
          </w:p>
        </w:tc>
        <w:tc>
          <w:tcPr>
            <w:tcW w:w="1480" w:type="dxa"/>
            <w:vAlign w:val="bottom"/>
          </w:tcPr>
          <w:p>
            <w:pPr>
              <w:jc w:val="right"/>
              <w:ind w:right="552"/>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551"/>
              <w:spacing w:after="0"/>
              <w:rPr>
                <w:sz w:val="20"/>
                <w:szCs w:val="20"/>
                <w:color w:val="auto"/>
              </w:rPr>
            </w:pPr>
            <w:r>
              <w:rPr>
                <w:rFonts w:ascii="Arial" w:cs="Arial" w:eastAsia="Arial" w:hAnsi="Arial"/>
                <w:sz w:val="11"/>
                <w:szCs w:val="11"/>
                <w:b w:val="1"/>
                <w:bCs w:val="1"/>
                <w:color w:val="auto"/>
              </w:rPr>
              <w:t>2021</w:t>
            </w:r>
          </w:p>
        </w:tc>
      </w:tr>
      <w:tr>
        <w:trPr>
          <w:trHeight w:val="30"/>
        </w:trPr>
        <w:tc>
          <w:tcPr>
            <w:tcW w:w="8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3"/>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stock option awards</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5,569,567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3,620,180</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Vesting of RSUs</w:t>
            </w:r>
          </w:p>
        </w:tc>
        <w:tc>
          <w:tcPr>
            <w:tcW w:w="1480" w:type="dxa"/>
            <w:vAlign w:val="bottom"/>
          </w:tcPr>
          <w:p>
            <w:pPr>
              <w:jc w:val="right"/>
              <w:spacing w:after="0"/>
              <w:rPr>
                <w:sz w:val="20"/>
                <w:szCs w:val="20"/>
                <w:color w:val="auto"/>
              </w:rPr>
            </w:pPr>
            <w:r>
              <w:rPr>
                <w:rFonts w:ascii="Arial" w:cs="Arial" w:eastAsia="Arial" w:hAnsi="Arial"/>
                <w:sz w:val="14"/>
                <w:szCs w:val="14"/>
                <w:color w:val="auto"/>
              </w:rPr>
              <w:t>507,925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PSUs*</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531,796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8220" w:type="dxa"/>
            <w:vAlign w:val="bottom"/>
          </w:tcPr>
          <w:p>
            <w:pPr>
              <w:ind w:left="20"/>
              <w:spacing w:after="0"/>
              <w:rPr>
                <w:sz w:val="20"/>
                <w:szCs w:val="20"/>
                <w:color w:val="auto"/>
              </w:rPr>
            </w:pPr>
            <w:r>
              <w:rPr>
                <w:rFonts w:ascii="Arial" w:cs="Arial" w:eastAsia="Arial" w:hAnsi="Arial"/>
                <w:sz w:val="14"/>
                <w:szCs w:val="14"/>
                <w:color w:val="auto"/>
              </w:rPr>
              <w:t>Shares of common stock available for future grants under the 2020 Stock Option and Incentive Plan</w:t>
            </w:r>
          </w:p>
        </w:tc>
        <w:tc>
          <w:tcPr>
            <w:tcW w:w="1480" w:type="dxa"/>
            <w:vAlign w:val="bottom"/>
          </w:tcPr>
          <w:p>
            <w:pPr>
              <w:jc w:val="right"/>
              <w:spacing w:after="0"/>
              <w:rPr>
                <w:sz w:val="20"/>
                <w:szCs w:val="20"/>
                <w:color w:val="auto"/>
              </w:rPr>
            </w:pPr>
            <w:r>
              <w:rPr>
                <w:rFonts w:ascii="Arial" w:cs="Arial" w:eastAsia="Arial" w:hAnsi="Arial"/>
                <w:sz w:val="14"/>
                <w:szCs w:val="14"/>
                <w:color w:val="auto"/>
              </w:rPr>
              <w:t>2,937,769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4,234,213</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of common stock available for future issuance under the 2020 Employee Stock Purchase Plan</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888,184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613,098</w:t>
            </w:r>
          </w:p>
        </w:tc>
      </w:tr>
      <w:tr>
        <w:trPr>
          <w:trHeight w:val="212"/>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Shares of common stock available for future issuance under the 2022 Inducement Plan</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8"/>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shares reserved for future issuance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11,435,241</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8,467,491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20"/>
        <w:spacing w:after="0"/>
        <w:rPr>
          <w:sz w:val="20"/>
          <w:szCs w:val="20"/>
          <w:color w:val="auto"/>
        </w:rPr>
      </w:pPr>
      <w:r>
        <w:rPr>
          <w:rFonts w:ascii="Arial" w:cs="Arial" w:eastAsia="Arial" w:hAnsi="Arial"/>
          <w:sz w:val="11"/>
          <w:szCs w:val="11"/>
          <w:color w:val="auto"/>
        </w:rPr>
        <w:t>*PSUs granted and outstanding based on target level of achievement of 100%.</w:t>
      </w:r>
    </w:p>
    <w:p>
      <w:pPr>
        <w:spacing w:after="0" w:line="24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10.</w:t>
      </w:r>
      <w:r>
        <w:rPr>
          <w:sz w:val="20"/>
          <w:szCs w:val="20"/>
          <w:color w:val="auto"/>
        </w:rPr>
        <w:tab/>
      </w:r>
      <w:r>
        <w:rPr>
          <w:rFonts w:ascii="Arial" w:cs="Arial" w:eastAsia="Arial" w:hAnsi="Arial"/>
          <w:sz w:val="12"/>
          <w:szCs w:val="12"/>
          <w:b w:val="1"/>
          <w:bCs w:val="1"/>
          <w:color w:val="auto"/>
        </w:rPr>
        <w:t>Stock-Based Compensation</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Equity Incentive Plans</w:t>
      </w:r>
    </w:p>
    <w:p>
      <w:pPr>
        <w:spacing w:after="0" w:line="94" w:lineRule="exact"/>
        <w:rPr>
          <w:sz w:val="20"/>
          <w:szCs w:val="20"/>
          <w:color w:val="auto"/>
        </w:rPr>
      </w:pPr>
    </w:p>
    <w:p>
      <w:pPr>
        <w:ind w:right="100" w:firstLine="509"/>
        <w:spacing w:after="0" w:line="282" w:lineRule="auto"/>
        <w:rPr>
          <w:sz w:val="20"/>
          <w:szCs w:val="20"/>
          <w:color w:val="auto"/>
        </w:rPr>
      </w:pPr>
      <w:r>
        <w:rPr>
          <w:rFonts w:ascii="Arial" w:cs="Arial" w:eastAsia="Arial" w:hAnsi="Arial"/>
          <w:sz w:val="13"/>
          <w:szCs w:val="13"/>
          <w:color w:val="auto"/>
        </w:rPr>
        <w:t>In 2015, the Company's Board of Directors adopted the 2015 Equity Incentive Plan, as amended in 2018, 2019 and 2020 (the “2015 Plan”), which provided for the grant of incentive stock options, nonqualified stock options or other awards including stock appreciation rights and restricted stock awards to the Company’s employees, officers, directors, advisors, and consultants. In May 2020, the Board of Directors adopted the 2020 Stock Option and Incentive Plan (the “2020 Plan”) and suspended the 2015 Plan. Awards outstanding under either the 2015 Plan or 2020 Plan that are cancelled, expire or otherwise terminated subsequent to May 2020 will become available for issuance as common stock under the 2020 Plan. Additionally, the 2020 Plan is subject to automatic increases on January 1 of each year beginning January 1, 2021. The number of shares added each January 1 will be equal to the lesser of: (i) 5% of the outstanding shares on the immediately preceding December 31 or (ii) such amount as determined by the administrator of the 2020 Plan, which is the compensation committee of the Board of Directors of the Company.</w:t>
      </w:r>
    </w:p>
    <w:p>
      <w:pPr>
        <w:spacing w:after="0" w:line="49" w:lineRule="exact"/>
        <w:rPr>
          <w:sz w:val="20"/>
          <w:szCs w:val="20"/>
          <w:color w:val="auto"/>
        </w:rPr>
      </w:pPr>
    </w:p>
    <w:p>
      <w:pPr>
        <w:ind w:right="200" w:firstLine="509"/>
        <w:spacing w:after="0" w:line="368" w:lineRule="auto"/>
        <w:rPr>
          <w:sz w:val="20"/>
          <w:szCs w:val="20"/>
          <w:color w:val="auto"/>
        </w:rPr>
      </w:pPr>
      <w:r>
        <w:rPr>
          <w:rFonts w:ascii="Arial" w:cs="Arial" w:eastAsia="Arial" w:hAnsi="Arial"/>
          <w:sz w:val="12"/>
          <w:szCs w:val="12"/>
          <w:color w:val="auto"/>
        </w:rPr>
        <w:t>The 2020 Plan provides for the grant of incentive stock options, nonqualified stock options or other awards including stock appreciation rights, restricted stock awards and restricted stock units to the Company’s employees, officers, directors, advisors, and consultants. As of December 31, 2022, the 2020 Plan had 2,937,769 shares of common stock available for future issuance.</w:t>
      </w:r>
    </w:p>
    <w:p>
      <w:pPr>
        <w:spacing w:after="0" w:line="1" w:lineRule="exact"/>
        <w:rPr>
          <w:sz w:val="20"/>
          <w:szCs w:val="20"/>
          <w:color w:val="auto"/>
        </w:rPr>
      </w:pPr>
    </w:p>
    <w:p>
      <w:pPr>
        <w:ind w:right="100" w:firstLine="509"/>
        <w:spacing w:after="0" w:line="281" w:lineRule="auto"/>
        <w:rPr>
          <w:sz w:val="20"/>
          <w:szCs w:val="20"/>
          <w:color w:val="auto"/>
        </w:rPr>
      </w:pPr>
      <w:r>
        <w:rPr>
          <w:rFonts w:ascii="Arial" w:cs="Arial" w:eastAsia="Arial" w:hAnsi="Arial"/>
          <w:sz w:val="14"/>
          <w:szCs w:val="14"/>
          <w:color w:val="auto"/>
        </w:rPr>
        <w:t>In 2022, the Board of Directors adopted the 2022 Inducement Plan ("Inducement Plan"), under which the Company may grant restricted stock units, stock options, stock appreciation rights, and restricted stock awards. As of December 31, 2022, 1,000,000 shares of common stock were available for issuance.</w:t>
      </w:r>
    </w:p>
    <w:p>
      <w:pPr>
        <w:spacing w:after="0" w:line="37" w:lineRule="exact"/>
        <w:rPr>
          <w:sz w:val="20"/>
          <w:szCs w:val="20"/>
          <w:color w:val="auto"/>
        </w:rPr>
      </w:pPr>
    </w:p>
    <w:p>
      <w:pPr>
        <w:ind w:right="20" w:firstLine="509"/>
        <w:spacing w:after="0" w:line="251" w:lineRule="auto"/>
        <w:rPr>
          <w:sz w:val="20"/>
          <w:szCs w:val="20"/>
          <w:color w:val="auto"/>
        </w:rPr>
      </w:pPr>
      <w:r>
        <w:rPr>
          <w:rFonts w:ascii="Arial" w:cs="Arial" w:eastAsia="Arial" w:hAnsi="Arial"/>
          <w:sz w:val="14"/>
          <w:szCs w:val="14"/>
          <w:color w:val="auto"/>
        </w:rPr>
        <w:t>Options under the 2020 Plan may be granted for periods of up to 10 years and at prices no less than the market price of the Company’s common stock on the date of grant, provided, however, that the exercise price of an incentive stock option granted to a 10% shareholder shall not be less than 110% of the estimated fair value of the shares on the date of grant and the option is not exercisable after the expiration of five years from the date of grant.</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Restricted Common Stock Awards</w:t>
      </w:r>
    </w:p>
    <w:p>
      <w:pPr>
        <w:spacing w:after="0" w:line="94"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The Company granted restricted stock awards under the 2015 Plan. The purchase price of the restricted common stock awards was the estimated fair value as determined by the Company's Board of Directors at the issuance date. The shares vest from one to four years and vesting could be accelerated upon a change in control. A holder of an award may pay a total purchase price or a part of the purchase price for granted shares at any time during the vesting periods. Upon termination of employment, the Company has the right to repurchase any unvested restricted shares. The repurchase price for unvested shares of common stock will be the lower of (i) the fair market value on the date of repurchase or (ii) their original purchase price. During the vesting term, holders of restricted stock awards are deemed to be common stock shareholders and have dividends and voting rights.</w:t>
      </w:r>
    </w:p>
    <w:p>
      <w:pPr>
        <w:spacing w:after="0" w:line="62" w:lineRule="exact"/>
        <w:rPr>
          <w:sz w:val="20"/>
          <w:szCs w:val="20"/>
          <w:color w:val="auto"/>
        </w:rPr>
      </w:pPr>
    </w:p>
    <w:p>
      <w:pPr>
        <w:ind w:right="20" w:firstLine="509"/>
        <w:spacing w:after="0" w:line="267" w:lineRule="auto"/>
        <w:rPr>
          <w:sz w:val="20"/>
          <w:szCs w:val="20"/>
          <w:color w:val="auto"/>
        </w:rPr>
      </w:pPr>
      <w:r>
        <w:rPr>
          <w:rFonts w:ascii="Arial" w:cs="Arial" w:eastAsia="Arial" w:hAnsi="Arial"/>
          <w:sz w:val="14"/>
          <w:szCs w:val="14"/>
          <w:color w:val="auto"/>
        </w:rPr>
        <w:t>The Company accounted for restricted stock awards as early exercised options and recognized a liability in other liabilities when cash was received for the purchase of shares of restricted stock. As shares of restricted stock vested, the Company reclassified the liability to common stock and additional paid in capital. As of December 31, 2022 and 2021, the Company recorded a liability included in accrued expenses and other liabilities of nil and $2,000, respectively.</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There were no grants of restricted stock awards during the years ended December 31, 2022 and 2021.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restricted stock activity during the year ended December 31,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7"/>
              <w:spacing w:after="0"/>
              <w:rPr>
                <w:sz w:val="20"/>
                <w:szCs w:val="20"/>
                <w:color w:val="auto"/>
              </w:rPr>
            </w:pPr>
            <w:r>
              <w:rPr>
                <w:rFonts w:ascii="Arial" w:cs="Arial" w:eastAsia="Arial" w:hAnsi="Arial"/>
                <w:sz w:val="11"/>
                <w:szCs w:val="11"/>
                <w:b w:val="1"/>
                <w:bCs w:val="1"/>
                <w:color w:val="auto"/>
                <w:w w:val="90"/>
              </w:rPr>
              <w:t>Weighted-</w:t>
            </w:r>
          </w:p>
        </w:tc>
      </w:tr>
      <w:tr>
        <w:trPr>
          <w:trHeight w:val="138"/>
        </w:trPr>
        <w:tc>
          <w:tcPr>
            <w:tcW w:w="8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7"/>
              <w:spacing w:after="0"/>
              <w:rPr>
                <w:sz w:val="20"/>
                <w:szCs w:val="20"/>
                <w:color w:val="auto"/>
              </w:rPr>
            </w:pPr>
            <w:r>
              <w:rPr>
                <w:rFonts w:ascii="Arial" w:cs="Arial" w:eastAsia="Arial" w:hAnsi="Arial"/>
                <w:sz w:val="11"/>
                <w:szCs w:val="11"/>
                <w:b w:val="1"/>
                <w:bCs w:val="1"/>
                <w:color w:val="auto"/>
                <w:w w:val="92"/>
              </w:rPr>
              <w:t>Average</w:t>
            </w:r>
          </w:p>
        </w:tc>
      </w:tr>
      <w:tr>
        <w:trPr>
          <w:trHeight w:val="127"/>
        </w:trPr>
        <w:tc>
          <w:tcPr>
            <w:tcW w:w="8220" w:type="dxa"/>
            <w:vAlign w:val="bottom"/>
          </w:tcPr>
          <w:p>
            <w:pPr>
              <w:spacing w:after="0"/>
              <w:rPr>
                <w:sz w:val="11"/>
                <w:szCs w:val="11"/>
                <w:color w:val="auto"/>
              </w:rPr>
            </w:pPr>
          </w:p>
        </w:tc>
        <w:tc>
          <w:tcPr>
            <w:tcW w:w="980" w:type="dxa"/>
            <w:vAlign w:val="bottom"/>
          </w:tcPr>
          <w:p>
            <w:pPr>
              <w:jc w:val="center"/>
              <w:ind w:left="443"/>
              <w:spacing w:after="0"/>
              <w:rPr>
                <w:sz w:val="20"/>
                <w:szCs w:val="20"/>
                <w:color w:val="auto"/>
              </w:rPr>
            </w:pPr>
            <w:r>
              <w:rPr>
                <w:rFonts w:ascii="Arial" w:cs="Arial" w:eastAsia="Arial" w:hAnsi="Arial"/>
                <w:sz w:val="11"/>
                <w:szCs w:val="11"/>
                <w:b w:val="1"/>
                <w:bCs w:val="1"/>
                <w:color w:val="auto"/>
                <w:w w:val="96"/>
              </w:rPr>
              <w:t>Number</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7"/>
              <w:spacing w:after="0"/>
              <w:rPr>
                <w:sz w:val="20"/>
                <w:szCs w:val="20"/>
                <w:color w:val="auto"/>
              </w:rPr>
            </w:pPr>
            <w:r>
              <w:rPr>
                <w:rFonts w:ascii="Arial" w:cs="Arial" w:eastAsia="Arial" w:hAnsi="Arial"/>
                <w:sz w:val="11"/>
                <w:szCs w:val="11"/>
                <w:b w:val="1"/>
                <w:bCs w:val="1"/>
                <w:color w:val="auto"/>
                <w:w w:val="99"/>
              </w:rPr>
              <w:t>Grant Date</w:t>
            </w:r>
          </w:p>
        </w:tc>
      </w:tr>
      <w:tr>
        <w:trPr>
          <w:trHeight w:val="157"/>
        </w:trPr>
        <w:tc>
          <w:tcPr>
            <w:tcW w:w="8220" w:type="dxa"/>
            <w:vAlign w:val="bottom"/>
          </w:tcPr>
          <w:p>
            <w:pPr>
              <w:spacing w:after="0"/>
              <w:rPr>
                <w:sz w:val="13"/>
                <w:szCs w:val="13"/>
                <w:color w:val="auto"/>
              </w:rPr>
            </w:pPr>
          </w:p>
        </w:tc>
        <w:tc>
          <w:tcPr>
            <w:tcW w:w="980" w:type="dxa"/>
            <w:vAlign w:val="bottom"/>
          </w:tcPr>
          <w:p>
            <w:pPr>
              <w:jc w:val="center"/>
              <w:ind w:left="443"/>
              <w:spacing w:after="0"/>
              <w:rPr>
                <w:sz w:val="20"/>
                <w:szCs w:val="20"/>
                <w:color w:val="auto"/>
              </w:rPr>
            </w:pPr>
            <w:r>
              <w:rPr>
                <w:rFonts w:ascii="Arial" w:cs="Arial" w:eastAsia="Arial" w:hAnsi="Arial"/>
                <w:sz w:val="11"/>
                <w:szCs w:val="11"/>
                <w:b w:val="1"/>
                <w:bCs w:val="1"/>
                <w:color w:val="auto"/>
                <w:w w:val="87"/>
              </w:rPr>
              <w:t>of Shares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217"/>
              <w:spacing w:after="0"/>
              <w:rPr>
                <w:sz w:val="20"/>
                <w:szCs w:val="20"/>
                <w:color w:val="auto"/>
              </w:rPr>
            </w:pPr>
            <w:r>
              <w:rPr>
                <w:rFonts w:ascii="Arial" w:cs="Arial" w:eastAsia="Arial" w:hAnsi="Arial"/>
                <w:sz w:val="11"/>
                <w:szCs w:val="11"/>
                <w:b w:val="1"/>
                <w:bCs w:val="1"/>
                <w:color w:val="auto"/>
                <w:w w:val="98"/>
              </w:rPr>
              <w:t>Fair Value</w:t>
            </w:r>
          </w:p>
        </w:tc>
      </w:tr>
      <w:tr>
        <w:trPr>
          <w:trHeight w:val="30"/>
        </w:trPr>
        <w:tc>
          <w:tcPr>
            <w:tcW w:w="8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and unvested, as of December 31, 2021</w:t>
            </w:r>
          </w:p>
        </w:tc>
        <w:tc>
          <w:tcPr>
            <w:tcW w:w="9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21,841</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w:t>
            </w:r>
          </w:p>
        </w:tc>
      </w:tr>
      <w:tr>
        <w:trPr>
          <w:trHeight w:val="191"/>
        </w:trPr>
        <w:tc>
          <w:tcPr>
            <w:tcW w:w="9200" w:type="dxa"/>
            <w:vAlign w:val="bottom"/>
            <w:gridSpan w:val="2"/>
          </w:tcPr>
          <w:p>
            <w:pPr>
              <w:ind w:left="180"/>
              <w:spacing w:after="0"/>
              <w:rPr>
                <w:sz w:val="20"/>
                <w:szCs w:val="20"/>
                <w:color w:val="auto"/>
              </w:rPr>
            </w:pPr>
            <w:r>
              <w:rPr>
                <w:rFonts w:ascii="Arial" w:cs="Arial" w:eastAsia="Arial" w:hAnsi="Arial"/>
                <w:sz w:val="14"/>
                <w:szCs w:val="14"/>
                <w:color w:val="auto"/>
              </w:rPr>
              <w:t>Vested</w:t>
            </w:r>
          </w:p>
        </w:tc>
        <w:tc>
          <w:tcPr>
            <w:tcW w:w="500" w:type="dxa"/>
            <w:vAlign w:val="bottom"/>
          </w:tcPr>
          <w:p>
            <w:pPr>
              <w:jc w:val="right"/>
              <w:spacing w:after="0"/>
              <w:rPr>
                <w:sz w:val="20"/>
                <w:szCs w:val="20"/>
                <w:color w:val="auto"/>
              </w:rPr>
            </w:pPr>
            <w:r>
              <w:rPr>
                <w:rFonts w:ascii="Arial" w:cs="Arial" w:eastAsia="Arial" w:hAnsi="Arial"/>
                <w:sz w:val="14"/>
                <w:szCs w:val="14"/>
                <w:color w:val="auto"/>
                <w:w w:val="88"/>
              </w:rPr>
              <w:t>(21,841)</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2.16</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2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and unvested, as of December 31, 2022</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191" w:lineRule="exact"/>
        <w:rPr>
          <w:sz w:val="20"/>
          <w:szCs w:val="20"/>
          <w:color w:val="auto"/>
        </w:rPr>
      </w:pPr>
    </w:p>
    <w:p>
      <w:pPr>
        <w:ind w:right="340" w:firstLine="509"/>
        <w:spacing w:after="0" w:line="243" w:lineRule="auto"/>
        <w:rPr>
          <w:sz w:val="20"/>
          <w:szCs w:val="20"/>
          <w:color w:val="auto"/>
        </w:rPr>
      </w:pPr>
      <w:r>
        <w:rPr>
          <w:rFonts w:ascii="Arial" w:cs="Arial" w:eastAsia="Arial" w:hAnsi="Arial"/>
          <w:sz w:val="14"/>
          <w:szCs w:val="14"/>
          <w:color w:val="auto"/>
        </w:rPr>
        <w:t>The aggregate fair value of restricted stock awards vested during the years ended December 31, 2022 and 2021 was $47,000 and $0.2 million, respectively. Total intrinsic value of outstanding unvested restricted stock awards as of December 31, 2022 and 2021 was nil and $0.3 million, respectively. As of December 31, 2022, there was no unrecognized compensation costs related to restricted stock awards.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Incentive Stock Options and Nonqualified Stock Options</w:t>
      </w:r>
    </w:p>
    <w:p>
      <w:pPr>
        <w:spacing w:after="0" w:line="147" w:lineRule="exact"/>
        <w:rPr>
          <w:sz w:val="20"/>
          <w:szCs w:val="20"/>
          <w:color w:val="auto"/>
        </w:rPr>
      </w:pPr>
    </w:p>
    <w:p>
      <w:pPr>
        <w:ind w:right="120" w:firstLine="509"/>
        <w:spacing w:after="0" w:line="281" w:lineRule="auto"/>
        <w:rPr>
          <w:sz w:val="20"/>
          <w:szCs w:val="20"/>
          <w:color w:val="auto"/>
        </w:rPr>
      </w:pPr>
      <w:r>
        <w:rPr>
          <w:rFonts w:ascii="Arial" w:cs="Arial" w:eastAsia="Arial" w:hAnsi="Arial"/>
          <w:sz w:val="14"/>
          <w:szCs w:val="14"/>
          <w:color w:val="auto"/>
        </w:rPr>
        <w:t>Stock options issued under either the 2015 Plan or the 2020 Plan generally vest over four years and expire ten years from the date of grant. Certain options provide for accelerated vesting if there is a change in control, as defined in the respective plans.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used Black-Scholes option pricing model to estimate stock-based compensation expense for stock option awards with the following assumptions:</w:t>
      </w:r>
    </w:p>
    <w:p>
      <w:pPr>
        <w:spacing w:after="0" w:line="108" w:lineRule="exact"/>
        <w:rPr>
          <w:sz w:val="20"/>
          <w:szCs w:val="20"/>
          <w:color w:val="auto"/>
        </w:rPr>
      </w:pPr>
    </w:p>
    <w:p>
      <w:pPr>
        <w:jc w:val="center"/>
        <w:ind w:left="378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24765</wp:posOffset>
            </wp:positionV>
            <wp:extent cx="265430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54300" cy="6985"/>
                    </a:xfrm>
                    <a:prstGeom prst="rect">
                      <a:avLst/>
                    </a:prstGeom>
                    <a:noFill/>
                  </pic:spPr>
                </pic:pic>
              </a:graphicData>
            </a:graphic>
          </wp:anchor>
        </w:drawing>
      </w:r>
    </w:p>
    <w:p>
      <w:pPr>
        <w:spacing w:after="0" w:line="34" w:lineRule="exact"/>
        <w:rPr>
          <w:sz w:val="20"/>
          <w:szCs w:val="20"/>
          <w:color w:val="auto"/>
        </w:rPr>
      </w:pPr>
    </w:p>
    <w:p>
      <w:pPr>
        <w:ind w:left="6360"/>
        <w:spacing w:after="0"/>
        <w:tabs>
          <w:tab w:leader="none" w:pos="8480" w:val="left"/>
        </w:tabs>
        <w:rPr>
          <w:sz w:val="20"/>
          <w:szCs w:val="20"/>
          <w:color w:val="auto"/>
        </w:rPr>
      </w:pPr>
      <w:r>
        <w:rPr>
          <w:rFonts w:ascii="Arial" w:cs="Arial" w:eastAsia="Arial" w:hAnsi="Arial"/>
          <w:sz w:val="11"/>
          <w:szCs w:val="11"/>
          <w:b w:val="1"/>
          <w:bCs w:val="1"/>
          <w:color w:val="auto"/>
        </w:rPr>
        <w:t>2022</w:t>
      </w:r>
      <w:r>
        <w:rPr>
          <w:sz w:val="20"/>
          <w:szCs w:val="20"/>
          <w:color w:val="auto"/>
        </w:rPr>
        <w:tab/>
      </w:r>
      <w:r>
        <w:rPr>
          <w:rFonts w:ascii="Arial" w:cs="Arial" w:eastAsia="Arial" w:hAnsi="Arial"/>
          <w:sz w:val="11"/>
          <w:szCs w:val="11"/>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31750</wp:posOffset>
            </wp:positionV>
            <wp:extent cx="5066665" cy="141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066665" cy="14160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p>
      <w:pPr>
        <w:spacing w:after="0" w:line="60"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Expected volatility</w:t>
      </w:r>
    </w:p>
    <w:p>
      <w:pPr>
        <w:spacing w:after="0" w:line="62"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Risk-free interest rate</w:t>
      </w:r>
    </w:p>
    <w:p>
      <w:pPr>
        <w:spacing w:after="0" w:line="51"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Expected dividend</w:t>
      </w:r>
    </w:p>
    <w:p>
      <w:pPr>
        <w:spacing w:after="0" w:line="51"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Expected term (in years)</w:t>
      </w:r>
    </w:p>
    <w:p>
      <w:pPr>
        <w:spacing w:after="0" w:line="51"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Underlying common stock fair value</w:t>
      </w:r>
    </w:p>
    <w:p>
      <w:pPr>
        <w:spacing w:after="0" w:line="24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 summary of option activity under the 2015 Plan and the 2020 Plan is as follows: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201"/>
        </w:trPr>
        <w:tc>
          <w:tcPr>
            <w:tcW w:w="580" w:type="dxa"/>
            <w:vAlign w:val="bottom"/>
          </w:tcPr>
          <w:p>
            <w:pPr>
              <w:jc w:val="center"/>
              <w:ind w:right="69"/>
              <w:spacing w:after="0"/>
              <w:rPr>
                <w:sz w:val="20"/>
                <w:szCs w:val="20"/>
                <w:color w:val="auto"/>
              </w:rPr>
            </w:pPr>
            <w:r>
              <w:rPr>
                <w:rFonts w:ascii="Arial" w:cs="Arial" w:eastAsia="Arial" w:hAnsi="Arial"/>
                <w:sz w:val="14"/>
                <w:szCs w:val="14"/>
                <w:color w:val="auto"/>
                <w:w w:val="92"/>
              </w:rPr>
              <w:t>73.78%</w:t>
            </w:r>
          </w:p>
        </w:tc>
        <w:tc>
          <w:tcPr>
            <w:tcW w:w="42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tcPr>
          <w:p>
            <w:pPr>
              <w:jc w:val="center"/>
              <w:ind w:right="109"/>
              <w:spacing w:after="0"/>
              <w:rPr>
                <w:sz w:val="20"/>
                <w:szCs w:val="20"/>
                <w:color w:val="auto"/>
              </w:rPr>
            </w:pPr>
            <w:r>
              <w:rPr>
                <w:rFonts w:ascii="Arial" w:cs="Arial" w:eastAsia="Arial" w:hAnsi="Arial"/>
                <w:sz w:val="14"/>
                <w:szCs w:val="14"/>
                <w:color w:val="auto"/>
                <w:w w:val="92"/>
              </w:rPr>
              <w:t>80.64%</w:t>
            </w:r>
          </w:p>
        </w:tc>
        <w:tc>
          <w:tcPr>
            <w:tcW w:w="860" w:type="dxa"/>
            <w:vAlign w:val="bottom"/>
          </w:tcPr>
          <w:p>
            <w:pPr>
              <w:jc w:val="center"/>
              <w:ind w:left="69"/>
              <w:spacing w:after="0"/>
              <w:rPr>
                <w:sz w:val="20"/>
                <w:szCs w:val="20"/>
                <w:color w:val="auto"/>
              </w:rPr>
            </w:pPr>
            <w:r>
              <w:rPr>
                <w:rFonts w:ascii="Arial" w:cs="Arial" w:eastAsia="Arial" w:hAnsi="Arial"/>
                <w:sz w:val="14"/>
                <w:szCs w:val="14"/>
                <w:color w:val="auto"/>
                <w:w w:val="92"/>
              </w:rPr>
              <w:t>74.83%</w:t>
            </w:r>
          </w:p>
        </w:tc>
        <w:tc>
          <w:tcPr>
            <w:tcW w:w="42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ind w:left="69"/>
              <w:spacing w:after="0"/>
              <w:rPr>
                <w:sz w:val="20"/>
                <w:szCs w:val="20"/>
                <w:color w:val="auto"/>
              </w:rPr>
            </w:pPr>
            <w:r>
              <w:rPr>
                <w:rFonts w:ascii="Arial" w:cs="Arial" w:eastAsia="Arial" w:hAnsi="Arial"/>
                <w:sz w:val="14"/>
                <w:szCs w:val="14"/>
                <w:color w:val="auto"/>
                <w:w w:val="92"/>
              </w:rPr>
              <w:t>76.31%</w:t>
            </w:r>
          </w:p>
        </w:tc>
      </w:tr>
      <w:tr>
        <w:trPr>
          <w:trHeight w:val="191"/>
        </w:trPr>
        <w:tc>
          <w:tcPr>
            <w:tcW w:w="580" w:type="dxa"/>
            <w:vAlign w:val="bottom"/>
          </w:tcPr>
          <w:p>
            <w:pPr>
              <w:jc w:val="center"/>
              <w:ind w:right="69"/>
              <w:spacing w:after="0"/>
              <w:rPr>
                <w:sz w:val="20"/>
                <w:szCs w:val="20"/>
                <w:color w:val="auto"/>
              </w:rPr>
            </w:pPr>
            <w:r>
              <w:rPr>
                <w:rFonts w:ascii="Arial" w:cs="Arial" w:eastAsia="Arial" w:hAnsi="Arial"/>
                <w:sz w:val="14"/>
                <w:szCs w:val="14"/>
                <w:color w:val="auto"/>
                <w:w w:val="91"/>
              </w:rPr>
              <w:t>1.64 %</w:t>
            </w:r>
          </w:p>
        </w:tc>
        <w:tc>
          <w:tcPr>
            <w:tcW w:w="42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tcPr>
          <w:p>
            <w:pPr>
              <w:jc w:val="center"/>
              <w:ind w:right="109"/>
              <w:spacing w:after="0"/>
              <w:rPr>
                <w:sz w:val="20"/>
                <w:szCs w:val="20"/>
                <w:color w:val="auto"/>
              </w:rPr>
            </w:pPr>
            <w:r>
              <w:rPr>
                <w:rFonts w:ascii="Arial" w:cs="Arial" w:eastAsia="Arial" w:hAnsi="Arial"/>
                <w:sz w:val="14"/>
                <w:szCs w:val="14"/>
                <w:color w:val="auto"/>
                <w:w w:val="91"/>
              </w:rPr>
              <w:t>4.16 %</w:t>
            </w:r>
          </w:p>
        </w:tc>
        <w:tc>
          <w:tcPr>
            <w:tcW w:w="860" w:type="dxa"/>
            <w:vAlign w:val="bottom"/>
          </w:tcPr>
          <w:p>
            <w:pPr>
              <w:jc w:val="center"/>
              <w:ind w:left="69"/>
              <w:spacing w:after="0"/>
              <w:rPr>
                <w:sz w:val="20"/>
                <w:szCs w:val="20"/>
                <w:color w:val="auto"/>
              </w:rPr>
            </w:pPr>
            <w:r>
              <w:rPr>
                <w:rFonts w:ascii="Arial" w:cs="Arial" w:eastAsia="Arial" w:hAnsi="Arial"/>
                <w:sz w:val="14"/>
                <w:szCs w:val="14"/>
                <w:color w:val="auto"/>
                <w:w w:val="91"/>
              </w:rPr>
              <w:t>0.61 %</w:t>
            </w:r>
          </w:p>
        </w:tc>
        <w:tc>
          <w:tcPr>
            <w:tcW w:w="42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ind w:left="69"/>
              <w:spacing w:after="0"/>
              <w:rPr>
                <w:sz w:val="20"/>
                <w:szCs w:val="20"/>
                <w:color w:val="auto"/>
              </w:rPr>
            </w:pPr>
            <w:r>
              <w:rPr>
                <w:rFonts w:ascii="Arial" w:cs="Arial" w:eastAsia="Arial" w:hAnsi="Arial"/>
                <w:sz w:val="14"/>
                <w:szCs w:val="14"/>
                <w:color w:val="auto"/>
                <w:w w:val="91"/>
              </w:rPr>
              <w:t>1.39 %</w:t>
            </w:r>
          </w:p>
        </w:tc>
      </w:tr>
      <w:tr>
        <w:trPr>
          <w:trHeight w:val="212"/>
        </w:trPr>
        <w:tc>
          <w:tcPr>
            <w:tcW w:w="5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80" w:type="dxa"/>
            <w:vAlign w:val="bottom"/>
          </w:tcPr>
          <w:p>
            <w:pPr>
              <w:spacing w:after="0"/>
              <w:rPr>
                <w:sz w:val="18"/>
                <w:szCs w:val="18"/>
                <w:color w:val="auto"/>
              </w:rPr>
            </w:pPr>
          </w:p>
        </w:tc>
      </w:tr>
      <w:tr>
        <w:trPr>
          <w:trHeight w:val="233"/>
        </w:trPr>
        <w:tc>
          <w:tcPr>
            <w:tcW w:w="580" w:type="dxa"/>
            <w:vAlign w:val="bottom"/>
          </w:tcPr>
          <w:p>
            <w:pPr>
              <w:jc w:val="center"/>
              <w:ind w:right="69"/>
              <w:spacing w:after="0"/>
              <w:rPr>
                <w:sz w:val="20"/>
                <w:szCs w:val="20"/>
                <w:color w:val="auto"/>
              </w:rPr>
            </w:pPr>
            <w:r>
              <w:rPr>
                <w:rFonts w:ascii="Arial" w:cs="Arial" w:eastAsia="Arial" w:hAnsi="Arial"/>
                <w:sz w:val="14"/>
                <w:szCs w:val="14"/>
                <w:color w:val="auto"/>
                <w:w w:val="87"/>
              </w:rPr>
              <w:t>5.33</w:t>
            </w:r>
          </w:p>
        </w:tc>
        <w:tc>
          <w:tcPr>
            <w:tcW w:w="42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tcPr>
          <w:p>
            <w:pPr>
              <w:jc w:val="center"/>
              <w:ind w:right="109"/>
              <w:spacing w:after="0"/>
              <w:rPr>
                <w:sz w:val="20"/>
                <w:szCs w:val="20"/>
                <w:color w:val="auto"/>
              </w:rPr>
            </w:pPr>
            <w:r>
              <w:rPr>
                <w:rFonts w:ascii="Arial" w:cs="Arial" w:eastAsia="Arial" w:hAnsi="Arial"/>
                <w:sz w:val="14"/>
                <w:szCs w:val="14"/>
                <w:color w:val="auto"/>
                <w:w w:val="87"/>
              </w:rPr>
              <w:t>6.08</w:t>
            </w:r>
          </w:p>
        </w:tc>
        <w:tc>
          <w:tcPr>
            <w:tcW w:w="860" w:type="dxa"/>
            <w:vAlign w:val="bottom"/>
          </w:tcPr>
          <w:p>
            <w:pPr>
              <w:jc w:val="center"/>
              <w:ind w:left="69"/>
              <w:spacing w:after="0"/>
              <w:rPr>
                <w:sz w:val="20"/>
                <w:szCs w:val="20"/>
                <w:color w:val="auto"/>
              </w:rPr>
            </w:pPr>
            <w:r>
              <w:rPr>
                <w:rFonts w:ascii="Arial" w:cs="Arial" w:eastAsia="Arial" w:hAnsi="Arial"/>
                <w:sz w:val="14"/>
                <w:szCs w:val="14"/>
                <w:color w:val="auto"/>
                <w:w w:val="87"/>
              </w:rPr>
              <w:t>5.44</w:t>
            </w:r>
          </w:p>
        </w:tc>
        <w:tc>
          <w:tcPr>
            <w:tcW w:w="42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ind w:left="69"/>
              <w:spacing w:after="0"/>
              <w:rPr>
                <w:sz w:val="20"/>
                <w:szCs w:val="20"/>
                <w:color w:val="auto"/>
              </w:rPr>
            </w:pPr>
            <w:r>
              <w:rPr>
                <w:rFonts w:ascii="Arial" w:cs="Arial" w:eastAsia="Arial" w:hAnsi="Arial"/>
                <w:sz w:val="14"/>
                <w:szCs w:val="14"/>
                <w:color w:val="auto"/>
                <w:w w:val="87"/>
              </w:rPr>
              <w:t>6.08</w:t>
            </w:r>
          </w:p>
        </w:tc>
      </w:tr>
      <w:tr>
        <w:trPr>
          <w:trHeight w:val="191"/>
        </w:trPr>
        <w:tc>
          <w:tcPr>
            <w:tcW w:w="580" w:type="dxa"/>
            <w:vAlign w:val="bottom"/>
          </w:tcPr>
          <w:p>
            <w:pPr>
              <w:jc w:val="center"/>
              <w:ind w:right="69"/>
              <w:spacing w:after="0"/>
              <w:rPr>
                <w:sz w:val="20"/>
                <w:szCs w:val="20"/>
                <w:color w:val="auto"/>
              </w:rPr>
            </w:pPr>
            <w:r>
              <w:rPr>
                <w:rFonts w:ascii="Arial" w:cs="Arial" w:eastAsia="Arial" w:hAnsi="Arial"/>
                <w:sz w:val="14"/>
                <w:szCs w:val="14"/>
                <w:color w:val="auto"/>
                <w:w w:val="87"/>
              </w:rPr>
              <w:t>4.92</w:t>
            </w:r>
          </w:p>
        </w:tc>
        <w:tc>
          <w:tcPr>
            <w:tcW w:w="42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860" w:type="dxa"/>
            <w:vAlign w:val="bottom"/>
          </w:tcPr>
          <w:p>
            <w:pPr>
              <w:jc w:val="center"/>
              <w:ind w:right="109"/>
              <w:spacing w:after="0"/>
              <w:rPr>
                <w:sz w:val="20"/>
                <w:szCs w:val="20"/>
                <w:color w:val="auto"/>
              </w:rPr>
            </w:pPr>
            <w:r>
              <w:rPr>
                <w:rFonts w:ascii="Arial" w:cs="Arial" w:eastAsia="Arial" w:hAnsi="Arial"/>
                <w:sz w:val="14"/>
                <w:szCs w:val="14"/>
                <w:color w:val="auto"/>
                <w:w w:val="91"/>
              </w:rPr>
              <w:t>24.23</w:t>
            </w:r>
          </w:p>
        </w:tc>
        <w:tc>
          <w:tcPr>
            <w:tcW w:w="860" w:type="dxa"/>
            <w:vAlign w:val="bottom"/>
          </w:tcPr>
          <w:p>
            <w:pPr>
              <w:jc w:val="center"/>
              <w:ind w:left="69"/>
              <w:spacing w:after="0"/>
              <w:rPr>
                <w:sz w:val="20"/>
                <w:szCs w:val="20"/>
                <w:color w:val="auto"/>
              </w:rPr>
            </w:pPr>
            <w:r>
              <w:rPr>
                <w:rFonts w:ascii="Arial" w:cs="Arial" w:eastAsia="Arial" w:hAnsi="Arial"/>
                <w:sz w:val="14"/>
                <w:szCs w:val="14"/>
                <w:color w:val="auto"/>
                <w:w w:val="91"/>
              </w:rPr>
              <w:t>15.20</w:t>
            </w:r>
          </w:p>
        </w:tc>
        <w:tc>
          <w:tcPr>
            <w:tcW w:w="42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ind w:left="69"/>
              <w:spacing w:after="0"/>
              <w:rPr>
                <w:sz w:val="20"/>
                <w:szCs w:val="20"/>
                <w:color w:val="auto"/>
              </w:rPr>
            </w:pPr>
            <w:r>
              <w:rPr>
                <w:rFonts w:ascii="Arial" w:cs="Arial" w:eastAsia="Arial" w:hAnsi="Arial"/>
                <w:sz w:val="14"/>
                <w:szCs w:val="14"/>
                <w:color w:val="auto"/>
                <w:w w:val="91"/>
              </w:rPr>
              <w:t>38.23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-389890</wp:posOffset>
            </wp:positionV>
            <wp:extent cx="5066665" cy="134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066665" cy="134620"/>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-120650</wp:posOffset>
            </wp:positionV>
            <wp:extent cx="5066665" cy="134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066665" cy="13462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0"/>
              </w:rPr>
              <w:t>Weighted-</w:t>
            </w:r>
          </w:p>
        </w:tc>
        <w:tc>
          <w:tcPr>
            <w:tcW w:w="1340" w:type="dxa"/>
            <w:vAlign w:val="bottom"/>
          </w:tcPr>
          <w:p>
            <w:pPr>
              <w:spacing w:after="0"/>
              <w:rPr>
                <w:sz w:val="11"/>
                <w:szCs w:val="11"/>
                <w:color w:val="auto"/>
              </w:rPr>
            </w:pPr>
          </w:p>
        </w:tc>
      </w:tr>
      <w:tr>
        <w:trPr>
          <w:trHeight w:val="138"/>
        </w:trPr>
        <w:tc>
          <w:tcPr>
            <w:tcW w:w="8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2"/>
              </w:rPr>
              <w:t>Average</w:t>
            </w:r>
          </w:p>
        </w:tc>
        <w:tc>
          <w:tcPr>
            <w:tcW w:w="1340" w:type="dxa"/>
            <w:vAlign w:val="bottom"/>
          </w:tcPr>
          <w:p>
            <w:pPr>
              <w:spacing w:after="0"/>
              <w:rPr>
                <w:sz w:val="11"/>
                <w:szCs w:val="11"/>
                <w:color w:val="auto"/>
              </w:rPr>
            </w:pPr>
          </w:p>
        </w:tc>
      </w:tr>
      <w:tr>
        <w:trPr>
          <w:trHeight w:val="138"/>
        </w:trPr>
        <w:tc>
          <w:tcPr>
            <w:tcW w:w="880" w:type="dxa"/>
            <w:vAlign w:val="bottom"/>
          </w:tcPr>
          <w:p>
            <w:pPr>
              <w:jc w:val="center"/>
              <w:ind w:right="423"/>
              <w:spacing w:after="0"/>
              <w:rPr>
                <w:sz w:val="20"/>
                <w:szCs w:val="20"/>
                <w:color w:val="auto"/>
              </w:rPr>
            </w:pPr>
            <w:r>
              <w:rPr>
                <w:rFonts w:ascii="Arial" w:cs="Arial" w:eastAsia="Arial" w:hAnsi="Arial"/>
                <w:sz w:val="11"/>
                <w:szCs w:val="11"/>
                <w:b w:val="1"/>
                <w:bCs w:val="1"/>
                <w:color w:val="auto"/>
                <w:w w:val="96"/>
              </w:rPr>
              <w:t>Number</w:t>
            </w:r>
          </w:p>
        </w:tc>
        <w:tc>
          <w:tcPr>
            <w:tcW w:w="1700" w:type="dxa"/>
            <w:vAlign w:val="bottom"/>
          </w:tcPr>
          <w:p>
            <w:pPr>
              <w:jc w:val="center"/>
              <w:ind w:left="43"/>
              <w:spacing w:after="0"/>
              <w:rPr>
                <w:sz w:val="20"/>
                <w:szCs w:val="20"/>
                <w:color w:val="auto"/>
              </w:rPr>
            </w:pPr>
            <w:r>
              <w:rPr>
                <w:rFonts w:ascii="Arial" w:cs="Arial" w:eastAsia="Arial" w:hAnsi="Arial"/>
                <w:sz w:val="11"/>
                <w:szCs w:val="11"/>
                <w:b w:val="1"/>
                <w:bCs w:val="1"/>
                <w:color w:val="auto"/>
                <w:w w:val="90"/>
              </w:rPr>
              <w:t>Weighted-</w:t>
            </w: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2"/>
              </w:rPr>
              <w:t>Remaining</w:t>
            </w:r>
          </w:p>
        </w:tc>
        <w:tc>
          <w:tcPr>
            <w:tcW w:w="1340" w:type="dxa"/>
            <w:vAlign w:val="bottom"/>
          </w:tcPr>
          <w:p>
            <w:pPr>
              <w:jc w:val="center"/>
              <w:ind w:left="283"/>
              <w:spacing w:after="0"/>
              <w:rPr>
                <w:sz w:val="20"/>
                <w:szCs w:val="20"/>
                <w:color w:val="auto"/>
              </w:rPr>
            </w:pPr>
            <w:r>
              <w:rPr>
                <w:rFonts w:ascii="Arial" w:cs="Arial" w:eastAsia="Arial" w:hAnsi="Arial"/>
                <w:sz w:val="11"/>
                <w:szCs w:val="11"/>
                <w:b w:val="1"/>
                <w:bCs w:val="1"/>
                <w:color w:val="auto"/>
                <w:w w:val="88"/>
              </w:rPr>
              <w:t>Aggregate</w:t>
            </w:r>
          </w:p>
        </w:tc>
      </w:tr>
      <w:tr>
        <w:trPr>
          <w:trHeight w:val="138"/>
        </w:trPr>
        <w:tc>
          <w:tcPr>
            <w:tcW w:w="880" w:type="dxa"/>
            <w:vAlign w:val="bottom"/>
          </w:tcPr>
          <w:p>
            <w:pPr>
              <w:jc w:val="center"/>
              <w:ind w:right="423"/>
              <w:spacing w:after="0"/>
              <w:rPr>
                <w:sz w:val="20"/>
                <w:szCs w:val="20"/>
                <w:color w:val="auto"/>
              </w:rPr>
            </w:pPr>
            <w:r>
              <w:rPr>
                <w:rFonts w:ascii="Arial" w:cs="Arial" w:eastAsia="Arial" w:hAnsi="Arial"/>
                <w:sz w:val="11"/>
                <w:szCs w:val="11"/>
                <w:b w:val="1"/>
                <w:bCs w:val="1"/>
                <w:color w:val="auto"/>
                <w:w w:val="76"/>
              </w:rPr>
              <w:t>of</w:t>
            </w:r>
          </w:p>
        </w:tc>
        <w:tc>
          <w:tcPr>
            <w:tcW w:w="1700" w:type="dxa"/>
            <w:vAlign w:val="bottom"/>
          </w:tcPr>
          <w:p>
            <w:pPr>
              <w:jc w:val="center"/>
              <w:ind w:left="43"/>
              <w:spacing w:after="0"/>
              <w:rPr>
                <w:sz w:val="20"/>
                <w:szCs w:val="20"/>
                <w:color w:val="auto"/>
              </w:rPr>
            </w:pPr>
            <w:r>
              <w:rPr>
                <w:rFonts w:ascii="Arial" w:cs="Arial" w:eastAsia="Arial" w:hAnsi="Arial"/>
                <w:sz w:val="11"/>
                <w:szCs w:val="11"/>
                <w:b w:val="1"/>
                <w:bCs w:val="1"/>
                <w:color w:val="auto"/>
                <w:w w:val="91"/>
              </w:rPr>
              <w:t>Average Exercise</w:t>
            </w: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8"/>
              </w:rPr>
              <w:t>Contractual</w:t>
            </w:r>
          </w:p>
        </w:tc>
        <w:tc>
          <w:tcPr>
            <w:tcW w:w="1340" w:type="dxa"/>
            <w:vAlign w:val="bottom"/>
          </w:tcPr>
          <w:p>
            <w:pPr>
              <w:jc w:val="center"/>
              <w:ind w:left="283"/>
              <w:spacing w:after="0"/>
              <w:rPr>
                <w:sz w:val="20"/>
                <w:szCs w:val="20"/>
                <w:color w:val="auto"/>
              </w:rPr>
            </w:pPr>
            <w:r>
              <w:rPr>
                <w:rFonts w:ascii="Arial" w:cs="Arial" w:eastAsia="Arial" w:hAnsi="Arial"/>
                <w:sz w:val="11"/>
                <w:szCs w:val="11"/>
                <w:b w:val="1"/>
                <w:bCs w:val="1"/>
                <w:color w:val="auto"/>
                <w:w w:val="93"/>
              </w:rPr>
              <w:t>Intrinsic</w:t>
            </w:r>
          </w:p>
        </w:tc>
      </w:tr>
      <w:tr>
        <w:trPr>
          <w:trHeight w:val="147"/>
        </w:trPr>
        <w:tc>
          <w:tcPr>
            <w:tcW w:w="880" w:type="dxa"/>
            <w:vAlign w:val="bottom"/>
          </w:tcPr>
          <w:p>
            <w:pPr>
              <w:jc w:val="center"/>
              <w:ind w:right="443"/>
              <w:spacing w:after="0"/>
              <w:rPr>
                <w:sz w:val="20"/>
                <w:szCs w:val="20"/>
                <w:color w:val="auto"/>
              </w:rPr>
            </w:pPr>
            <w:r>
              <w:rPr>
                <w:rFonts w:ascii="Arial" w:cs="Arial" w:eastAsia="Arial" w:hAnsi="Arial"/>
                <w:sz w:val="11"/>
                <w:szCs w:val="11"/>
                <w:b w:val="1"/>
                <w:bCs w:val="1"/>
                <w:color w:val="auto"/>
                <w:w w:val="91"/>
              </w:rPr>
              <w:t>Options</w:t>
            </w:r>
          </w:p>
        </w:tc>
        <w:tc>
          <w:tcPr>
            <w:tcW w:w="1700" w:type="dxa"/>
            <w:vAlign w:val="bottom"/>
          </w:tcPr>
          <w:p>
            <w:pPr>
              <w:jc w:val="center"/>
              <w:ind w:left="43"/>
              <w:spacing w:after="0"/>
              <w:rPr>
                <w:sz w:val="20"/>
                <w:szCs w:val="20"/>
                <w:color w:val="auto"/>
              </w:rPr>
            </w:pPr>
            <w:r>
              <w:rPr>
                <w:rFonts w:ascii="Arial" w:cs="Arial" w:eastAsia="Arial" w:hAnsi="Arial"/>
                <w:sz w:val="11"/>
                <w:szCs w:val="11"/>
                <w:b w:val="1"/>
                <w:bCs w:val="1"/>
                <w:color w:val="auto"/>
                <w:w w:val="94"/>
              </w:rPr>
              <w:t>Price per Share</w:t>
            </w: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4"/>
              </w:rPr>
              <w:t>Term (in Years)</w:t>
            </w:r>
          </w:p>
        </w:tc>
        <w:tc>
          <w:tcPr>
            <w:tcW w:w="1340" w:type="dxa"/>
            <w:vAlign w:val="bottom"/>
          </w:tcPr>
          <w:p>
            <w:pPr>
              <w:jc w:val="center"/>
              <w:ind w:left="283"/>
              <w:spacing w:after="0"/>
              <w:rPr>
                <w:sz w:val="20"/>
                <w:szCs w:val="20"/>
                <w:color w:val="auto"/>
              </w:rPr>
            </w:pPr>
            <w:r>
              <w:rPr>
                <w:rFonts w:ascii="Arial" w:cs="Arial" w:eastAsia="Arial" w:hAnsi="Arial"/>
                <w:sz w:val="11"/>
                <w:szCs w:val="11"/>
                <w:b w:val="1"/>
                <w:bCs w:val="1"/>
                <w:color w:val="auto"/>
                <w:w w:val="92"/>
              </w:rPr>
              <w:t>Value (in thousands)</w:t>
            </w:r>
          </w:p>
        </w:tc>
      </w:tr>
    </w:tbl>
    <w:p>
      <w:pPr>
        <w:spacing w:after="0" w:line="10" w:lineRule="exact"/>
        <w:rPr>
          <w:sz w:val="20"/>
          <w:szCs w:val="20"/>
          <w:color w:val="auto"/>
        </w:rPr>
      </w:pPr>
    </w:p>
    <w:p>
      <w:pPr>
        <w:sectPr>
          <w:pgSz w:w="11900" w:h="16838" w:orient="portrait"/>
          <w:cols w:equalWidth="0" w:num="2">
            <w:col w:w="5200" w:space="400"/>
            <w:col w:w="5680"/>
          </w:cols>
          <w:pgMar w:left="300" w:top="129" w:right="31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50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Outstanding as of December 31, 2021</w:t>
            </w:r>
          </w:p>
        </w:tc>
        <w:tc>
          <w:tcPr>
            <w:tcW w:w="14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3,620,180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600" w:type="dxa"/>
            <w:vAlign w:val="bottom"/>
            <w:tcBorders>
              <w:top w:val="single" w:sz="8" w:color="auto"/>
              <w:bottom w:val="single" w:sz="8" w:color="CFF0FC"/>
            </w:tcBorders>
            <w:shd w:val="clear" w:color="auto" w:fill="CFF0FC"/>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14.56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8.25</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560" w:type="dxa"/>
            <w:vAlign w:val="bottom"/>
            <w:tcBorders>
              <w:top w:val="single" w:sz="8" w:color="auto"/>
              <w:bottom w:val="single" w:sz="8" w:color="CFF0FC"/>
            </w:tcBorders>
            <w:shd w:val="clear" w:color="auto" w:fill="CFF0FC"/>
          </w:tcPr>
          <w:p>
            <w:pPr>
              <w:jc w:val="right"/>
              <w:ind w:right="40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16,735</w:t>
            </w:r>
          </w:p>
        </w:tc>
        <w:tc>
          <w:tcPr>
            <w:tcW w:w="0" w:type="dxa"/>
            <w:vAlign w:val="bottom"/>
          </w:tcPr>
          <w:p>
            <w:pPr>
              <w:spacing w:after="0"/>
              <w:rPr>
                <w:sz w:val="1"/>
                <w:szCs w:val="1"/>
                <w:color w:val="auto"/>
              </w:rPr>
            </w:pPr>
          </w:p>
        </w:tc>
      </w:tr>
      <w:tr>
        <w:trPr>
          <w:trHeight w:val="191"/>
        </w:trPr>
        <w:tc>
          <w:tcPr>
            <w:tcW w:w="5060" w:type="dxa"/>
            <w:vAlign w:val="bottom"/>
          </w:tcPr>
          <w:p>
            <w:pPr>
              <w:ind w:left="180"/>
              <w:spacing w:after="0"/>
              <w:rPr>
                <w:sz w:val="20"/>
                <w:szCs w:val="20"/>
                <w:color w:val="auto"/>
              </w:rPr>
            </w:pPr>
            <w:r>
              <w:rPr>
                <w:rFonts w:ascii="Arial" w:cs="Arial" w:eastAsia="Arial" w:hAnsi="Arial"/>
                <w:sz w:val="14"/>
                <w:szCs w:val="14"/>
                <w:color w:val="auto"/>
              </w:rPr>
              <w:t>Granted</w:t>
            </w:r>
          </w:p>
        </w:tc>
        <w:tc>
          <w:tcPr>
            <w:tcW w:w="1480" w:type="dxa"/>
            <w:vAlign w:val="bottom"/>
          </w:tcPr>
          <w:p>
            <w:pPr>
              <w:jc w:val="right"/>
              <w:spacing w:after="0"/>
              <w:rPr>
                <w:sz w:val="20"/>
                <w:szCs w:val="20"/>
                <w:color w:val="auto"/>
              </w:rPr>
            </w:pPr>
            <w:r>
              <w:rPr>
                <w:rFonts w:ascii="Arial" w:cs="Arial" w:eastAsia="Arial" w:hAnsi="Arial"/>
                <w:sz w:val="14"/>
                <w:szCs w:val="14"/>
                <w:color w:val="auto"/>
              </w:rPr>
              <w:t>2,517,884</w:t>
            </w:r>
          </w:p>
        </w:tc>
        <w:tc>
          <w:tcPr>
            <w:tcW w:w="700" w:type="dxa"/>
            <w:vAlign w:val="bottom"/>
            <w:gridSpan w:val="2"/>
          </w:tcPr>
          <w:p>
            <w:pPr>
              <w:jc w:val="right"/>
              <w:ind w:right="4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11.65</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Exercised</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(140,443)</w:t>
            </w:r>
          </w:p>
        </w:tc>
        <w:tc>
          <w:tcPr>
            <w:tcW w:w="700" w:type="dxa"/>
            <w:vAlign w:val="bottom"/>
            <w:tcBorders>
              <w:bottom w:val="single" w:sz="8" w:color="CFF0FC"/>
            </w:tcBorders>
            <w:gridSpan w:val="2"/>
            <w:shd w:val="clear" w:color="auto" w:fill="CFF0FC"/>
          </w:tcPr>
          <w:p>
            <w:pPr>
              <w:jc w:val="right"/>
              <w:ind w:right="4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4.80</w:t>
            </w:r>
          </w:p>
        </w:tc>
        <w:tc>
          <w:tcPr>
            <w:tcW w:w="100" w:type="dxa"/>
            <w:vAlign w:val="bottom"/>
            <w:tcBorders>
              <w:bottom w:val="single" w:sz="8" w:color="CFF0FC"/>
            </w:tcBorders>
            <w:shd w:val="clear" w:color="auto" w:fill="CFF0FC"/>
          </w:tcPr>
          <w:p>
            <w:pPr>
              <w:spacing w:after="0"/>
              <w:rPr>
                <w:sz w:val="16"/>
                <w:szCs w:val="16"/>
                <w:color w:val="auto"/>
              </w:rPr>
            </w:pPr>
          </w:p>
        </w:tc>
        <w:tc>
          <w:tcPr>
            <w:tcW w:w="14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60" w:type="dxa"/>
            <w:vAlign w:val="bottom"/>
          </w:tcPr>
          <w:p>
            <w:pPr>
              <w:ind w:left="180"/>
              <w:spacing w:after="0"/>
              <w:rPr>
                <w:sz w:val="20"/>
                <w:szCs w:val="20"/>
                <w:color w:val="auto"/>
              </w:rPr>
            </w:pPr>
            <w:r>
              <w:rPr>
                <w:rFonts w:ascii="Arial" w:cs="Arial" w:eastAsia="Arial" w:hAnsi="Arial"/>
                <w:sz w:val="14"/>
                <w:szCs w:val="14"/>
                <w:color w:val="auto"/>
              </w:rPr>
              <w:t>Forfeited</w:t>
            </w:r>
          </w:p>
        </w:tc>
        <w:tc>
          <w:tcPr>
            <w:tcW w:w="1480" w:type="dxa"/>
            <w:vAlign w:val="bottom"/>
          </w:tcPr>
          <w:p>
            <w:pPr>
              <w:jc w:val="right"/>
              <w:spacing w:after="0"/>
              <w:rPr>
                <w:sz w:val="20"/>
                <w:szCs w:val="20"/>
                <w:color w:val="auto"/>
              </w:rPr>
            </w:pPr>
            <w:r>
              <w:rPr>
                <w:rFonts w:ascii="Arial" w:cs="Arial" w:eastAsia="Arial" w:hAnsi="Arial"/>
                <w:sz w:val="14"/>
                <w:szCs w:val="14"/>
                <w:color w:val="auto"/>
              </w:rPr>
              <w:t>(428,054)</w:t>
            </w:r>
          </w:p>
        </w:tc>
        <w:tc>
          <w:tcPr>
            <w:tcW w:w="700" w:type="dxa"/>
            <w:vAlign w:val="bottom"/>
            <w:gridSpan w:val="2"/>
          </w:tcPr>
          <w:p>
            <w:pPr>
              <w:jc w:val="right"/>
              <w:ind w:right="4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16.50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06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600" w:type="dxa"/>
            <w:vAlign w:val="bottom"/>
            <w:tcBorders>
              <w:bottom w:val="single" w:sz="8" w:color="CFF0FC"/>
            </w:tcBorders>
          </w:tcPr>
          <w:p>
            <w:pPr>
              <w:spacing w:after="0" w:line="20" w:lineRule="exact"/>
              <w:rPr>
                <w:sz w:val="1"/>
                <w:szCs w:val="1"/>
                <w:color w:val="auto"/>
              </w:rPr>
            </w:pPr>
          </w:p>
        </w:tc>
        <w:tc>
          <w:tcPr>
            <w:tcW w:w="8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6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Outstanding as of December 31, 2022</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5,569,567</w:t>
            </w:r>
          </w:p>
        </w:tc>
        <w:tc>
          <w:tcPr>
            <w:tcW w:w="700" w:type="dxa"/>
            <w:vAlign w:val="bottom"/>
            <w:tcBorders>
              <w:bottom w:val="single" w:sz="8" w:color="CFF0FC"/>
            </w:tcBorders>
            <w:gridSpan w:val="2"/>
            <w:shd w:val="clear" w:color="auto" w:fill="CFF0FC"/>
          </w:tcPr>
          <w:p>
            <w:pPr>
              <w:jc w:val="right"/>
              <w:ind w:right="44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13.34</w:t>
            </w:r>
          </w:p>
        </w:tc>
        <w:tc>
          <w:tcPr>
            <w:tcW w:w="10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7.96</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jc w:val="right"/>
              <w:ind w:right="4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43,696</w:t>
            </w:r>
          </w:p>
        </w:tc>
        <w:tc>
          <w:tcPr>
            <w:tcW w:w="0" w:type="dxa"/>
            <w:vAlign w:val="bottom"/>
          </w:tcPr>
          <w:p>
            <w:pPr>
              <w:spacing w:after="0"/>
              <w:rPr>
                <w:sz w:val="1"/>
                <w:szCs w:val="1"/>
                <w:color w:val="auto"/>
              </w:rPr>
            </w:pPr>
          </w:p>
        </w:tc>
      </w:tr>
      <w:tr>
        <w:trPr>
          <w:trHeight w:val="20"/>
        </w:trPr>
        <w:tc>
          <w:tcPr>
            <w:tcW w:w="50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4"/>
                <w:szCs w:val="14"/>
                <w:color w:val="auto"/>
              </w:rPr>
              <w:t>Exercisable as of December 31, 2022</w:t>
            </w:r>
          </w:p>
        </w:tc>
        <w:tc>
          <w:tcPr>
            <w:tcW w:w="1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60" w:type="dxa"/>
            <w:vAlign w:val="bottom"/>
            <w:vMerge w:val="continue"/>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2,517,687</w:t>
            </w:r>
          </w:p>
        </w:tc>
        <w:tc>
          <w:tcPr>
            <w:tcW w:w="700" w:type="dxa"/>
            <w:vAlign w:val="bottom"/>
            <w:gridSpan w:val="2"/>
          </w:tcPr>
          <w:p>
            <w:pPr>
              <w:jc w:val="right"/>
              <w:ind w:right="4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12.06</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23,522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09"/>
        <w:spacing w:after="0" w:line="262" w:lineRule="auto"/>
        <w:rPr>
          <w:sz w:val="20"/>
          <w:szCs w:val="20"/>
          <w:color w:val="auto"/>
        </w:rPr>
      </w:pPr>
      <w:r>
        <w:rPr>
          <w:rFonts w:ascii="Arial" w:cs="Arial" w:eastAsia="Arial" w:hAnsi="Arial"/>
          <w:sz w:val="14"/>
          <w:szCs w:val="14"/>
          <w:color w:val="auto"/>
        </w:rPr>
        <w:t>As of December 31, 2022, there was $27.7 million of unrecognized compensation costs that is expected to be recognized over the weighted-average periods of 2.6 years related to stock options. The total intrinsic value of time-based stock options exercised was $2.0 million and $6.9 million for December 31, 2022 and 2021, respectively. Intrinsic value represents the difference between the current fair value of the underlying stock and the exercise price of the stock option. The weighted-average grant date fair value of options granted during years ended December 31, 2022 and 2021 was $7.82 per share and $16.94 per share, respectively.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Stock Units</w:t>
      </w:r>
    </w:p>
    <w:p>
      <w:pPr>
        <w:spacing w:after="0" w:line="157" w:lineRule="exact"/>
        <w:rPr>
          <w:sz w:val="20"/>
          <w:szCs w:val="20"/>
          <w:color w:val="auto"/>
        </w:rPr>
      </w:pPr>
    </w:p>
    <w:p>
      <w:pPr>
        <w:ind w:right="300" w:firstLine="509"/>
        <w:spacing w:after="0" w:line="271" w:lineRule="auto"/>
        <w:rPr>
          <w:sz w:val="20"/>
          <w:szCs w:val="20"/>
          <w:color w:val="auto"/>
        </w:rPr>
      </w:pPr>
      <w:r>
        <w:rPr>
          <w:rFonts w:ascii="Arial" w:cs="Arial" w:eastAsia="Arial" w:hAnsi="Arial"/>
          <w:sz w:val="14"/>
          <w:szCs w:val="14"/>
          <w:color w:val="auto"/>
        </w:rPr>
        <w:t>The service-based condition for restricted stock units ("RSUs") is generally satisfied over two years. The following table sets forth the outstanding RSUs and related activity for the year ended December 31,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720" w:type="dxa"/>
            <w:vAlign w:val="bottom"/>
            <w:tcBorders>
              <w:bottom w:val="single" w:sz="8" w:color="CCEEFF"/>
            </w:tcBorders>
          </w:tcPr>
          <w:p>
            <w:pPr>
              <w:spacing w:after="0"/>
              <w:rPr>
                <w:sz w:val="13"/>
                <w:szCs w:val="13"/>
                <w:color w:val="auto"/>
              </w:rPr>
            </w:pPr>
          </w:p>
        </w:tc>
        <w:tc>
          <w:tcPr>
            <w:tcW w:w="1840" w:type="dxa"/>
            <w:vAlign w:val="bottom"/>
            <w:tcBorders>
              <w:bottom w:val="single" w:sz="8" w:color="auto"/>
            </w:tcBorders>
          </w:tcPr>
          <w:p>
            <w:pPr>
              <w:ind w:left="680"/>
              <w:spacing w:after="0"/>
              <w:rPr>
                <w:sz w:val="20"/>
                <w:szCs w:val="20"/>
                <w:color w:val="auto"/>
              </w:rPr>
            </w:pPr>
            <w:r>
              <w:rPr>
                <w:rFonts w:ascii="Arial" w:cs="Arial" w:eastAsia="Arial" w:hAnsi="Arial"/>
                <w:sz w:val="11"/>
                <w:szCs w:val="11"/>
                <w:b w:val="1"/>
                <w:bCs w:val="1"/>
                <w:color w:val="auto"/>
                <w:w w:val="97"/>
              </w:rPr>
              <w:t>Restricted Stock Units</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Weighted Average Grant Date Fair Value</w:t>
            </w:r>
          </w:p>
        </w:tc>
      </w:tr>
      <w:tr>
        <w:trPr>
          <w:trHeight w:val="18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balance as of December 31, 2021</w:t>
            </w:r>
          </w:p>
        </w:tc>
        <w:tc>
          <w:tcPr>
            <w:tcW w:w="18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620" w:type="dxa"/>
            <w:vAlign w:val="bottom"/>
          </w:tcPr>
          <w:p>
            <w:pPr>
              <w:jc w:val="right"/>
              <w:spacing w:after="0"/>
              <w:rPr>
                <w:sz w:val="20"/>
                <w:szCs w:val="20"/>
                <w:color w:val="auto"/>
              </w:rPr>
            </w:pPr>
            <w:r>
              <w:rPr>
                <w:rFonts w:ascii="Arial" w:cs="Arial" w:eastAsia="Arial" w:hAnsi="Arial"/>
                <w:sz w:val="14"/>
                <w:szCs w:val="14"/>
                <w:color w:val="auto"/>
              </w:rPr>
              <w:t>525,825</w:t>
            </w:r>
          </w:p>
        </w:tc>
        <w:tc>
          <w:tcPr>
            <w:tcW w:w="2100" w:type="dxa"/>
            <w:vAlign w:val="bottom"/>
            <w:gridSpan w:val="2"/>
          </w:tcPr>
          <w:p>
            <w:pPr>
              <w:jc w:val="right"/>
              <w:spacing w:after="0"/>
              <w:rPr>
                <w:sz w:val="20"/>
                <w:szCs w:val="20"/>
                <w:color w:val="auto"/>
              </w:rPr>
            </w:pPr>
            <w:r>
              <w:rPr>
                <w:rFonts w:ascii="Arial" w:cs="Arial" w:eastAsia="Arial" w:hAnsi="Arial"/>
                <w:sz w:val="14"/>
                <w:szCs w:val="14"/>
                <w:color w:val="auto"/>
              </w:rPr>
              <w:t>17.43</w:t>
            </w:r>
          </w:p>
        </w:tc>
      </w:tr>
      <w:tr>
        <w:trPr>
          <w:trHeight w:val="18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8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(17,900)</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17.30</w:t>
            </w:r>
          </w:p>
        </w:tc>
      </w:tr>
      <w:tr>
        <w:trPr>
          <w:trHeight w:val="171"/>
        </w:trPr>
        <w:tc>
          <w:tcPr>
            <w:tcW w:w="8560" w:type="dxa"/>
            <w:vAlign w:val="bottom"/>
            <w:gridSpan w:val="2"/>
          </w:tcPr>
          <w:p>
            <w:pPr>
              <w:ind w:left="20"/>
              <w:spacing w:after="0"/>
              <w:rPr>
                <w:sz w:val="20"/>
                <w:szCs w:val="20"/>
                <w:color w:val="auto"/>
              </w:rPr>
            </w:pPr>
            <w:r>
              <w:rPr>
                <w:rFonts w:ascii="Arial" w:cs="Arial" w:eastAsia="Arial" w:hAnsi="Arial"/>
                <w:sz w:val="14"/>
                <w:szCs w:val="14"/>
                <w:color w:val="auto"/>
              </w:rPr>
              <w:t>Unvested balance as of December 31, 2022</w:t>
            </w:r>
          </w:p>
        </w:tc>
        <w:tc>
          <w:tcPr>
            <w:tcW w:w="620" w:type="dxa"/>
            <w:vAlign w:val="bottom"/>
          </w:tcPr>
          <w:p>
            <w:pPr>
              <w:jc w:val="right"/>
              <w:spacing w:after="0"/>
              <w:rPr>
                <w:sz w:val="20"/>
                <w:szCs w:val="20"/>
                <w:color w:val="auto"/>
              </w:rPr>
            </w:pPr>
            <w:r>
              <w:rPr>
                <w:rFonts w:ascii="Arial" w:cs="Arial" w:eastAsia="Arial" w:hAnsi="Arial"/>
                <w:sz w:val="14"/>
                <w:szCs w:val="14"/>
                <w:color w:val="auto"/>
              </w:rPr>
              <w:t>507,925</w:t>
            </w:r>
          </w:p>
        </w:tc>
        <w:tc>
          <w:tcPr>
            <w:tcW w:w="2100" w:type="dxa"/>
            <w:vAlign w:val="bottom"/>
            <w:gridSpan w:val="2"/>
          </w:tcPr>
          <w:p>
            <w:pPr>
              <w:jc w:val="right"/>
              <w:spacing w:after="0"/>
              <w:rPr>
                <w:sz w:val="20"/>
                <w:szCs w:val="20"/>
                <w:color w:val="auto"/>
              </w:rPr>
            </w:pPr>
            <w:r>
              <w:rPr>
                <w:rFonts w:ascii="Arial" w:cs="Arial" w:eastAsia="Arial" w:hAnsi="Arial"/>
                <w:sz w:val="14"/>
                <w:szCs w:val="14"/>
                <w:color w:val="auto"/>
              </w:rPr>
              <w:t>17.43</w:t>
            </w:r>
          </w:p>
        </w:tc>
      </w:tr>
      <w:tr>
        <w:trPr>
          <w:trHeight w:val="20"/>
        </w:trPr>
        <w:tc>
          <w:tcPr>
            <w:tcW w:w="67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ind w:right="40" w:firstLine="891"/>
        <w:spacing w:after="0" w:line="281" w:lineRule="auto"/>
        <w:rPr>
          <w:sz w:val="20"/>
          <w:szCs w:val="20"/>
          <w:color w:val="auto"/>
        </w:rPr>
      </w:pPr>
      <w:r>
        <w:rPr>
          <w:rFonts w:ascii="Arial" w:cs="Arial" w:eastAsia="Arial" w:hAnsi="Arial"/>
          <w:sz w:val="14"/>
          <w:szCs w:val="14"/>
          <w:color w:val="auto"/>
        </w:rPr>
        <w:t>As of December 31, 2022, the Company had $6.9 million of unrecognized stock-based compensation expense related to outstanding RSUs expected to be recognized over a weighted-average period of 1.6 years.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Performance-Based Restricted Stock Units</w:t>
      </w:r>
    </w:p>
    <w:p>
      <w:pPr>
        <w:spacing w:after="0" w:line="94" w:lineRule="exact"/>
        <w:rPr>
          <w:sz w:val="20"/>
          <w:szCs w:val="20"/>
          <w:color w:val="auto"/>
        </w:rPr>
      </w:pPr>
    </w:p>
    <w:p>
      <w:pPr>
        <w:ind w:firstLine="891"/>
        <w:spacing w:after="0" w:line="262" w:lineRule="auto"/>
        <w:rPr>
          <w:sz w:val="20"/>
          <w:szCs w:val="20"/>
          <w:color w:val="auto"/>
        </w:rPr>
      </w:pPr>
      <w:r>
        <w:rPr>
          <w:rFonts w:ascii="Arial" w:cs="Arial" w:eastAsia="Arial" w:hAnsi="Arial"/>
          <w:sz w:val="14"/>
          <w:szCs w:val="14"/>
          <w:color w:val="auto"/>
        </w:rPr>
        <w:t>Performance-based restricted stock units ("PSUs") vest upon the achievement of market and performance conditions. Market conditions include the Company's total shareholder return ("TSR") relative to the NASDAQ Biotechnology Index over the term of the award ending on June 30, 2024, and performance conditions consist of multiple clinical development milestones associated with bexotegrast. The performance vesting conditions generally must be satisfied within a two-year period and are forfeited if the vesting conditions are not met. Additionally, the number of shares of common stock issued upon vesting will range from 0% to 200% of the PSUs based on achievement of certain targets.</w:t>
      </w:r>
    </w:p>
    <w:p>
      <w:pPr>
        <w:spacing w:after="0" w:line="61" w:lineRule="exact"/>
        <w:rPr>
          <w:sz w:val="20"/>
          <w:szCs w:val="20"/>
          <w:color w:val="auto"/>
        </w:rPr>
      </w:pPr>
    </w:p>
    <w:p>
      <w:pPr>
        <w:ind w:right="180" w:firstLine="891"/>
        <w:spacing w:after="0" w:line="281" w:lineRule="auto"/>
        <w:rPr>
          <w:sz w:val="20"/>
          <w:szCs w:val="20"/>
          <w:color w:val="auto"/>
        </w:rPr>
      </w:pPr>
      <w:r>
        <w:rPr>
          <w:rFonts w:ascii="Arial" w:cs="Arial" w:eastAsia="Arial" w:hAnsi="Arial"/>
          <w:sz w:val="14"/>
          <w:szCs w:val="14"/>
          <w:color w:val="auto"/>
        </w:rPr>
        <w:t>The fair value of PSUs with clinical development vesting conditions were determined to be equal to the fair market value of the Company's share price on the date of grant. The fair value of the TSR PSUs were derived from a Monte Carlo simulation model that used the following key assumptions:</w:t>
      </w:r>
    </w:p>
    <w:p>
      <w:pPr>
        <w:spacing w:after="0" w:line="79" w:lineRule="exact"/>
        <w:rPr>
          <w:sz w:val="20"/>
          <w:szCs w:val="20"/>
          <w:color w:val="auto"/>
        </w:rPr>
      </w:pPr>
    </w:p>
    <w:tbl>
      <w:tblPr>
        <w:tblLayout w:type="fixed"/>
        <w:tblInd w:w="900" w:type="dxa"/>
        <w:tblCellMar>
          <w:top w:w="0" w:type="dxa"/>
          <w:left w:w="0" w:type="dxa"/>
          <w:bottom w:w="0" w:type="dxa"/>
          <w:right w:w="0" w:type="dxa"/>
        </w:tblCellMar>
      </w:tblPr>
      <w:tr>
        <w:trPr>
          <w:trHeight w:val="180"/>
        </w:trPr>
        <w:tc>
          <w:tcPr>
            <w:tcW w:w="6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Valuation date share price</w:t>
            </w: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17.57</w:t>
            </w:r>
          </w:p>
        </w:tc>
      </w:tr>
      <w:tr>
        <w:trPr>
          <w:trHeight w:val="180"/>
        </w:trPr>
        <w:tc>
          <w:tcPr>
            <w:tcW w:w="6100" w:type="dxa"/>
            <w:vAlign w:val="bottom"/>
          </w:tcPr>
          <w:p>
            <w:pPr>
              <w:ind w:left="20"/>
              <w:spacing w:after="0"/>
              <w:rPr>
                <w:sz w:val="20"/>
                <w:szCs w:val="20"/>
                <w:color w:val="auto"/>
              </w:rPr>
            </w:pPr>
            <w:r>
              <w:rPr>
                <w:rFonts w:ascii="Arial" w:cs="Arial" w:eastAsia="Arial" w:hAnsi="Arial"/>
                <w:sz w:val="14"/>
                <w:szCs w:val="14"/>
                <w:color w:val="auto"/>
              </w:rPr>
              <w:t>Award term (years)</w:t>
            </w: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181"/>
        </w:trPr>
        <w:tc>
          <w:tcPr>
            <w:tcW w:w="6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Volatility</w:t>
            </w: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70.62 %</w:t>
            </w:r>
          </w:p>
        </w:tc>
      </w:tr>
      <w:tr>
        <w:trPr>
          <w:trHeight w:val="180"/>
        </w:trPr>
        <w:tc>
          <w:tcPr>
            <w:tcW w:w="6100" w:type="dxa"/>
            <w:vAlign w:val="bottom"/>
          </w:tcPr>
          <w:p>
            <w:pPr>
              <w:ind w:left="20"/>
              <w:spacing w:after="0"/>
              <w:rPr>
                <w:sz w:val="20"/>
                <w:szCs w:val="20"/>
                <w:color w:val="auto"/>
              </w:rPr>
            </w:pPr>
            <w:r>
              <w:rPr>
                <w:rFonts w:ascii="Arial" w:cs="Arial" w:eastAsia="Arial" w:hAnsi="Arial"/>
                <w:sz w:val="14"/>
                <w:szCs w:val="14"/>
                <w:color w:val="auto"/>
              </w:rPr>
              <w:t>Correlation coefficient</w:t>
            </w: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0.3508</w:t>
            </w:r>
          </w:p>
        </w:tc>
      </w:tr>
      <w:tr>
        <w:trPr>
          <w:trHeight w:val="181"/>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peer group volatility</w:t>
            </w: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79.69 %</w:t>
            </w:r>
          </w:p>
        </w:tc>
      </w:tr>
      <w:tr>
        <w:trPr>
          <w:trHeight w:val="180"/>
        </w:trPr>
        <w:tc>
          <w:tcPr>
            <w:tcW w:w="6100" w:type="dxa"/>
            <w:vAlign w:val="bottom"/>
          </w:tcPr>
          <w:p>
            <w:pPr>
              <w:ind w:left="20"/>
              <w:spacing w:after="0"/>
              <w:rPr>
                <w:sz w:val="20"/>
                <w:szCs w:val="20"/>
                <w:color w:val="auto"/>
              </w:rPr>
            </w:pPr>
            <w:r>
              <w:rPr>
                <w:rFonts w:ascii="Arial" w:cs="Arial" w:eastAsia="Arial" w:hAnsi="Arial"/>
                <w:sz w:val="14"/>
                <w:szCs w:val="14"/>
                <w:color w:val="auto"/>
              </w:rPr>
              <w:t>Average peer group correlation coefficient</w:t>
            </w: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0.4397</w:t>
            </w:r>
          </w:p>
        </w:tc>
      </w:tr>
      <w:tr>
        <w:trPr>
          <w:trHeight w:val="181"/>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 free interest rate</w:t>
            </w: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2.84 %</w:t>
            </w:r>
          </w:p>
        </w:tc>
      </w:tr>
    </w:tbl>
    <w:p>
      <w:pPr>
        <w:spacing w:after="0" w:line="138"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sets forth the outstanding PSUs associated with the TSR goal and related activity for the year ended December 31,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00" w:type="dxa"/>
            <w:vAlign w:val="bottom"/>
            <w:tcBorders>
              <w:bottom w:val="single" w:sz="8" w:color="CCEEFF"/>
            </w:tcBorders>
          </w:tcPr>
          <w:p>
            <w:pPr>
              <w:spacing w:after="0"/>
              <w:rPr>
                <w:sz w:val="13"/>
                <w:szCs w:val="13"/>
                <w:color w:val="auto"/>
              </w:rPr>
            </w:pPr>
          </w:p>
        </w:tc>
        <w:tc>
          <w:tcPr>
            <w:tcW w:w="1900" w:type="dxa"/>
            <w:vAlign w:val="bottom"/>
            <w:tcBorders>
              <w:bottom w:val="single" w:sz="8" w:color="auto"/>
            </w:tcBorders>
          </w:tcPr>
          <w:p>
            <w:pPr>
              <w:ind w:left="620"/>
              <w:spacing w:after="0"/>
              <w:rPr>
                <w:sz w:val="20"/>
                <w:szCs w:val="20"/>
                <w:color w:val="auto"/>
              </w:rPr>
            </w:pPr>
            <w:r>
              <w:rPr>
                <w:rFonts w:ascii="Arial" w:cs="Arial" w:eastAsia="Arial" w:hAnsi="Arial"/>
                <w:sz w:val="11"/>
                <w:szCs w:val="11"/>
                <w:b w:val="1"/>
                <w:bCs w:val="1"/>
                <w:color w:val="auto"/>
                <w:w w:val="96"/>
              </w:rPr>
              <w:t>Performance Stock Units</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Weighted Average Grant Date Fair Value</w:t>
            </w:r>
          </w:p>
        </w:tc>
      </w:tr>
      <w:tr>
        <w:trPr>
          <w:trHeight w:val="180"/>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balance as of December 31, 2021</w:t>
            </w:r>
          </w:p>
        </w:tc>
        <w:tc>
          <w:tcPr>
            <w:tcW w:w="1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10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354,532</w:t>
            </w:r>
          </w:p>
        </w:tc>
        <w:tc>
          <w:tcPr>
            <w:tcW w:w="2120" w:type="dxa"/>
            <w:vAlign w:val="bottom"/>
            <w:gridSpan w:val="2"/>
          </w:tcPr>
          <w:p>
            <w:pPr>
              <w:jc w:val="right"/>
              <w:spacing w:after="0"/>
              <w:rPr>
                <w:sz w:val="20"/>
                <w:szCs w:val="20"/>
                <w:color w:val="auto"/>
              </w:rPr>
            </w:pPr>
            <w:r>
              <w:rPr>
                <w:rFonts w:ascii="Arial" w:cs="Arial" w:eastAsia="Arial" w:hAnsi="Arial"/>
                <w:sz w:val="14"/>
                <w:szCs w:val="14"/>
                <w:color w:val="auto"/>
              </w:rPr>
              <w:t>29.15</w:t>
            </w:r>
          </w:p>
        </w:tc>
      </w:tr>
      <w:tr>
        <w:trPr>
          <w:trHeight w:val="180"/>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9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8100" w:type="dxa"/>
            <w:vAlign w:val="bottom"/>
            <w:gridSpan w:val="2"/>
          </w:tcPr>
          <w:p>
            <w:pPr>
              <w:ind w:left="20"/>
              <w:spacing w:after="0"/>
              <w:rPr>
                <w:sz w:val="20"/>
                <w:szCs w:val="20"/>
                <w:color w:val="auto"/>
              </w:rPr>
            </w:pPr>
            <w:r>
              <w:rPr>
                <w:rFonts w:ascii="Arial" w:cs="Arial" w:eastAsia="Arial" w:hAnsi="Arial"/>
                <w:sz w:val="14"/>
                <w:szCs w:val="14"/>
                <w:color w:val="auto"/>
              </w:rPr>
              <w:t>Unvested balance as of December 31, 2022*</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354,532</w:t>
            </w:r>
          </w:p>
        </w:tc>
        <w:tc>
          <w:tcPr>
            <w:tcW w:w="2120" w:type="dxa"/>
            <w:vAlign w:val="bottom"/>
            <w:gridSpan w:val="2"/>
          </w:tcPr>
          <w:p>
            <w:pPr>
              <w:jc w:val="right"/>
              <w:spacing w:after="0"/>
              <w:rPr>
                <w:sz w:val="20"/>
                <w:szCs w:val="20"/>
                <w:color w:val="auto"/>
              </w:rPr>
            </w:pPr>
            <w:r>
              <w:rPr>
                <w:rFonts w:ascii="Arial" w:cs="Arial" w:eastAsia="Arial" w:hAnsi="Arial"/>
                <w:sz w:val="14"/>
                <w:szCs w:val="14"/>
                <w:color w:val="auto"/>
              </w:rPr>
              <w:t>29.15</w:t>
            </w:r>
          </w:p>
        </w:tc>
      </w:tr>
      <w:tr>
        <w:trPr>
          <w:trHeight w:val="20"/>
        </w:trPr>
        <w:tc>
          <w:tcPr>
            <w:tcW w:w="62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6845300" cy="154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45300" cy="15494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1"/>
          <w:szCs w:val="11"/>
          <w:color w:val="auto"/>
        </w:rPr>
        <w:t>*PSUs granted and outstanding based on target level of achievement of 100%.</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sets forth the outstanding PSUs associated with clinical development milestones and related activity for the year ended December 31, 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00" w:type="dxa"/>
            <w:vAlign w:val="bottom"/>
          </w:tcPr>
          <w:p>
            <w:pPr>
              <w:spacing w:after="0"/>
              <w:rPr>
                <w:sz w:val="10"/>
                <w:szCs w:val="10"/>
                <w:color w:val="auto"/>
              </w:rPr>
            </w:pPr>
          </w:p>
        </w:tc>
        <w:tc>
          <w:tcPr>
            <w:tcW w:w="2240" w:type="dxa"/>
            <w:vAlign w:val="bottom"/>
            <w:vMerge w:val="restart"/>
          </w:tcPr>
          <w:p>
            <w:pPr>
              <w:jc w:val="right"/>
              <w:ind w:right="452"/>
              <w:spacing w:after="0"/>
              <w:rPr>
                <w:sz w:val="20"/>
                <w:szCs w:val="20"/>
                <w:color w:val="auto"/>
              </w:rPr>
            </w:pPr>
            <w:r>
              <w:rPr>
                <w:rFonts w:ascii="Arial" w:cs="Arial" w:eastAsia="Arial" w:hAnsi="Arial"/>
                <w:sz w:val="11"/>
                <w:szCs w:val="11"/>
                <w:b w:val="1"/>
                <w:bCs w:val="1"/>
                <w:color w:val="auto"/>
              </w:rPr>
              <w:t>Performance Stock Units</w:t>
            </w:r>
          </w:p>
        </w:tc>
        <w:tc>
          <w:tcPr>
            <w:tcW w:w="80" w:type="dxa"/>
            <w:vAlign w:val="bottom"/>
          </w:tcPr>
          <w:p>
            <w:pPr>
              <w:spacing w:after="0"/>
              <w:rPr>
                <w:sz w:val="10"/>
                <w:szCs w:val="10"/>
                <w:color w:val="auto"/>
              </w:rPr>
            </w:pPr>
          </w:p>
        </w:tc>
        <w:tc>
          <w:tcPr>
            <w:tcW w:w="1860" w:type="dxa"/>
            <w:vAlign w:val="bottom"/>
          </w:tcPr>
          <w:p>
            <w:pPr>
              <w:jc w:val="right"/>
              <w:ind w:right="19"/>
              <w:spacing w:after="0"/>
              <w:rPr>
                <w:sz w:val="20"/>
                <w:szCs w:val="20"/>
                <w:color w:val="auto"/>
              </w:rPr>
            </w:pPr>
            <w:r>
              <w:rPr>
                <w:rFonts w:ascii="Arial" w:cs="Arial" w:eastAsia="Arial" w:hAnsi="Arial"/>
                <w:sz w:val="11"/>
                <w:szCs w:val="11"/>
                <w:b w:val="1"/>
                <w:bCs w:val="1"/>
                <w:color w:val="auto"/>
                <w:w w:val="98"/>
              </w:rPr>
              <w:t>Weighted Average Grant Date Fair</w:t>
            </w:r>
          </w:p>
        </w:tc>
        <w:tc>
          <w:tcPr>
            <w:tcW w:w="0" w:type="dxa"/>
            <w:vAlign w:val="bottom"/>
          </w:tcPr>
          <w:p>
            <w:pPr>
              <w:spacing w:after="0"/>
              <w:rPr>
                <w:sz w:val="1"/>
                <w:szCs w:val="1"/>
                <w:color w:val="auto"/>
              </w:rPr>
            </w:pPr>
          </w:p>
        </w:tc>
      </w:tr>
      <w:tr>
        <w:trPr>
          <w:trHeight w:val="151"/>
        </w:trPr>
        <w:tc>
          <w:tcPr>
            <w:tcW w:w="7100" w:type="dxa"/>
            <w:vAlign w:val="bottom"/>
            <w:tcBorders>
              <w:bottom w:val="single" w:sz="8" w:color="CCEEFF"/>
            </w:tcBorders>
          </w:tcPr>
          <w:p>
            <w:pPr>
              <w:spacing w:after="0"/>
              <w:rPr>
                <w:sz w:val="13"/>
                <w:szCs w:val="13"/>
                <w:color w:val="auto"/>
              </w:rPr>
            </w:pPr>
          </w:p>
        </w:tc>
        <w:tc>
          <w:tcPr>
            <w:tcW w:w="22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60" w:type="dxa"/>
            <w:vAlign w:val="bottom"/>
            <w:tcBorders>
              <w:bottom w:val="single" w:sz="8" w:color="auto"/>
            </w:tcBorders>
          </w:tcPr>
          <w:p>
            <w:pPr>
              <w:jc w:val="right"/>
              <w:ind w:right="739"/>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75"/>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balance as of December 31, 2021</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Granted*</w:t>
            </w:r>
          </w:p>
        </w:tc>
        <w:tc>
          <w:tcPr>
            <w:tcW w:w="2240" w:type="dxa"/>
            <w:vAlign w:val="bottom"/>
          </w:tcPr>
          <w:p>
            <w:pPr>
              <w:jc w:val="right"/>
              <w:spacing w:after="0"/>
              <w:rPr>
                <w:sz w:val="20"/>
                <w:szCs w:val="20"/>
                <w:color w:val="auto"/>
              </w:rPr>
            </w:pPr>
            <w:r>
              <w:rPr>
                <w:rFonts w:ascii="Arial" w:cs="Arial" w:eastAsia="Arial" w:hAnsi="Arial"/>
                <w:sz w:val="14"/>
                <w:szCs w:val="14"/>
                <w:color w:val="auto"/>
              </w:rPr>
              <w:t>354,532</w:t>
            </w: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17.57</w:t>
            </w:r>
          </w:p>
        </w:tc>
        <w:tc>
          <w:tcPr>
            <w:tcW w:w="0" w:type="dxa"/>
            <w:vAlign w:val="bottom"/>
          </w:tcPr>
          <w:p>
            <w:pPr>
              <w:spacing w:after="0"/>
              <w:rPr>
                <w:sz w:val="1"/>
                <w:szCs w:val="1"/>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(177,266)</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17.57</w:t>
            </w:r>
          </w:p>
        </w:tc>
        <w:tc>
          <w:tcPr>
            <w:tcW w:w="0" w:type="dxa"/>
            <w:vAlign w:val="bottom"/>
          </w:tcPr>
          <w:p>
            <w:pPr>
              <w:spacing w:after="0"/>
              <w:rPr>
                <w:sz w:val="1"/>
                <w:szCs w:val="1"/>
                <w:color w:val="auto"/>
              </w:rPr>
            </w:pPr>
          </w:p>
        </w:tc>
      </w:tr>
      <w:tr>
        <w:trPr>
          <w:trHeight w:val="171"/>
        </w:trPr>
        <w:tc>
          <w:tcPr>
            <w:tcW w:w="7100" w:type="dxa"/>
            <w:vAlign w:val="bottom"/>
          </w:tcPr>
          <w:p>
            <w:pPr>
              <w:ind w:left="20"/>
              <w:spacing w:after="0"/>
              <w:rPr>
                <w:sz w:val="20"/>
                <w:szCs w:val="20"/>
                <w:color w:val="auto"/>
              </w:rPr>
            </w:pPr>
            <w:r>
              <w:rPr>
                <w:rFonts w:ascii="Arial" w:cs="Arial" w:eastAsia="Arial" w:hAnsi="Arial"/>
                <w:sz w:val="14"/>
                <w:szCs w:val="14"/>
                <w:color w:val="auto"/>
              </w:rPr>
              <w:t>Unvested balance as of December 31, 2022*</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177,266</w:t>
            </w: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17.57</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54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15494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1"/>
          <w:szCs w:val="11"/>
          <w:color w:val="auto"/>
        </w:rPr>
        <w:t>*PSUs granted and outstanding based on target level of achievement of 100%.</w:t>
      </w:r>
    </w:p>
    <w:p>
      <w:pPr>
        <w:spacing w:after="0" w:line="186" w:lineRule="exact"/>
        <w:rPr>
          <w:sz w:val="20"/>
          <w:szCs w:val="20"/>
          <w:color w:val="auto"/>
        </w:rPr>
      </w:pPr>
    </w:p>
    <w:p>
      <w:pPr>
        <w:ind w:right="260"/>
        <w:spacing w:after="0" w:line="321" w:lineRule="auto"/>
        <w:rPr>
          <w:sz w:val="20"/>
          <w:szCs w:val="20"/>
          <w:color w:val="auto"/>
        </w:rPr>
      </w:pPr>
      <w:r>
        <w:rPr>
          <w:rFonts w:ascii="Arial" w:cs="Arial" w:eastAsia="Arial" w:hAnsi="Arial"/>
          <w:sz w:val="13"/>
          <w:szCs w:val="13"/>
          <w:color w:val="auto"/>
        </w:rPr>
        <w:t>In December 2022, the first milestone applicable to PSUs with clinical development vesting conditions was achieved, resulting in a $3.1 million cumulative catch-up of stock-based compensation expense for such PSUs. As of December 31, 2022 the Company considered the remaining clinical development performance conditions probable of achievement.</w:t>
      </w:r>
    </w:p>
    <w:p>
      <w:pPr>
        <w:spacing w:after="0" w:line="24" w:lineRule="exact"/>
        <w:rPr>
          <w:sz w:val="20"/>
          <w:szCs w:val="20"/>
          <w:color w:val="auto"/>
        </w:rPr>
      </w:pPr>
    </w:p>
    <w:p>
      <w:pPr>
        <w:ind w:right="280"/>
        <w:spacing w:after="0" w:line="281" w:lineRule="auto"/>
        <w:rPr>
          <w:sz w:val="20"/>
          <w:szCs w:val="20"/>
          <w:color w:val="auto"/>
        </w:rPr>
      </w:pPr>
      <w:r>
        <w:rPr>
          <w:rFonts w:ascii="Arial" w:cs="Arial" w:eastAsia="Arial" w:hAnsi="Arial"/>
          <w:sz w:val="14"/>
          <w:szCs w:val="14"/>
          <w:color w:val="auto"/>
        </w:rPr>
        <w:t>As of December 31, 2022, the Company had $15.4 million of unrecognized stock-based compensation expense related to outstanding PSUs expected to be recognized over a remaining weighted-average period of 1.6 years.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2020 Employee Stock Purchase Plan</w:t>
      </w:r>
    </w:p>
    <w:p>
      <w:pPr>
        <w:spacing w:after="0" w:line="136" w:lineRule="exact"/>
        <w:rPr>
          <w:sz w:val="20"/>
          <w:szCs w:val="20"/>
          <w:color w:val="auto"/>
        </w:rPr>
      </w:pPr>
    </w:p>
    <w:p>
      <w:pPr>
        <w:ind w:right="160" w:firstLine="509"/>
        <w:spacing w:after="0" w:line="246" w:lineRule="auto"/>
        <w:rPr>
          <w:sz w:val="20"/>
          <w:szCs w:val="20"/>
          <w:color w:val="auto"/>
        </w:rPr>
      </w:pPr>
      <w:r>
        <w:rPr>
          <w:rFonts w:ascii="Arial" w:cs="Arial" w:eastAsia="Arial" w:hAnsi="Arial"/>
          <w:sz w:val="14"/>
          <w:szCs w:val="14"/>
          <w:color w:val="auto"/>
        </w:rPr>
        <w:t>In June 2020, the Company adopted the Company's 2020 Employee Stock Purchase Plan (the "2020 ESPP"). The Company reserved 700,000 shares of common stock for future issuance under the plan. The 2020 ESPP provides that the number of shares reserved and available for issuance will automatically increase on January 1 of each calendar year, beginning January 1, 2021, by the least of (i) 1.0% of the total number of shares of common stock outstanding on December 31 of the preceding calendar year, (ii) 700,000 shares or (iii) such lesser amount as determined by the administrator of the 2020 ESPP, which is the compensation committee of the Board of Directors of the Company.</w:t>
      </w:r>
    </w:p>
    <w:p>
      <w:pPr>
        <w:spacing w:after="0" w:line="125" w:lineRule="exact"/>
        <w:rPr>
          <w:sz w:val="20"/>
          <w:szCs w:val="20"/>
          <w:color w:val="auto"/>
        </w:rPr>
      </w:pPr>
    </w:p>
    <w:p>
      <w:pPr>
        <w:ind w:firstLine="509"/>
        <w:spacing w:after="0" w:line="258" w:lineRule="auto"/>
        <w:rPr>
          <w:sz w:val="20"/>
          <w:szCs w:val="20"/>
          <w:color w:val="auto"/>
        </w:rPr>
      </w:pPr>
      <w:r>
        <w:rPr>
          <w:rFonts w:ascii="Arial" w:cs="Arial" w:eastAsia="Arial" w:hAnsi="Arial"/>
          <w:sz w:val="14"/>
          <w:szCs w:val="14"/>
          <w:color w:val="auto"/>
        </w:rPr>
        <w:t>Under the 2020 ESPP, eligible employees may purchase shares of our common stock through payroll deductions that cannot exceed 15% of each employee’s salary. The 2020 ESPP provides for a six-month offering period. At the end of the purchase period, eligible employees are permitted to purchase shares of common stock at the lower of 85% of the fair market value at the beginning of the offering period or 85% of the fair market value at the end of the purchase period, subject to tax limitations on the total value of the purchase. The 2020 ESPP is considered a compensatory plan, and the Company recorded $0.4 million and $0.5 million in stock-based compensation expense for years ended December 31, 2022, and 2021, respectively. During the year ended December 31, 2022, 85,969 shares of common stock were issued under the 2020 ESPP. The Company used the Black-Scholes option pricing model to estimate stock-based compensation expense for the 2020 ESPP with the following assumptions: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560" w:type="dxa"/>
            <w:vAlign w:val="bottom"/>
            <w:gridSpan w:val="5"/>
          </w:tcPr>
          <w:p>
            <w:pPr>
              <w:ind w:left="1160"/>
              <w:spacing w:after="0"/>
              <w:rPr>
                <w:sz w:val="20"/>
                <w:szCs w:val="20"/>
                <w:color w:val="auto"/>
              </w:rPr>
            </w:pPr>
            <w:r>
              <w:rPr>
                <w:rFonts w:ascii="Arial" w:cs="Arial" w:eastAsia="Arial" w:hAnsi="Arial"/>
                <w:sz w:val="11"/>
                <w:szCs w:val="11"/>
                <w:b w:val="1"/>
                <w:bCs w:val="1"/>
                <w:color w:val="auto"/>
              </w:rPr>
              <w:t>Year Ended December 31,</w:t>
            </w:r>
          </w:p>
        </w:tc>
      </w:tr>
      <w:tr>
        <w:trPr>
          <w:trHeight w:val="30"/>
        </w:trPr>
        <w:tc>
          <w:tcPr>
            <w:tcW w:w="8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r>
      <w:tr>
        <w:trPr>
          <w:trHeight w:val="141"/>
        </w:trPr>
        <w:tc>
          <w:tcPr>
            <w:tcW w:w="8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260" w:type="dxa"/>
            <w:vAlign w:val="bottom"/>
            <w:gridSpan w:val="2"/>
          </w:tcPr>
          <w:p>
            <w:pPr>
              <w:jc w:val="center"/>
              <w:ind w:left="2414"/>
              <w:spacing w:after="0"/>
              <w:rPr>
                <w:sz w:val="20"/>
                <w:szCs w:val="20"/>
                <w:color w:val="auto"/>
              </w:rPr>
            </w:pPr>
            <w:r>
              <w:rPr>
                <w:rFonts w:ascii="Arial" w:cs="Arial" w:eastAsia="Arial" w:hAnsi="Arial"/>
                <w:sz w:val="11"/>
                <w:szCs w:val="11"/>
                <w:b w:val="1"/>
                <w:bCs w:val="1"/>
                <w:color w:val="auto"/>
                <w:w w:val="89"/>
              </w:rPr>
              <w:t>2022</w:t>
            </w:r>
          </w:p>
        </w:tc>
        <w:tc>
          <w:tcPr>
            <w:tcW w:w="1820" w:type="dxa"/>
            <w:vAlign w:val="bottom"/>
            <w:gridSpan w:val="2"/>
          </w:tcPr>
          <w:p>
            <w:pPr>
              <w:jc w:val="center"/>
              <w:ind w:left="34"/>
              <w:spacing w:after="0"/>
              <w:rPr>
                <w:sz w:val="20"/>
                <w:szCs w:val="20"/>
                <w:color w:val="auto"/>
              </w:rPr>
            </w:pPr>
            <w:r>
              <w:rPr>
                <w:rFonts w:ascii="Arial" w:cs="Arial" w:eastAsia="Arial" w:hAnsi="Arial"/>
                <w:sz w:val="11"/>
                <w:szCs w:val="11"/>
                <w:b w:val="1"/>
                <w:bCs w:val="1"/>
                <w:color w:val="auto"/>
                <w:w w:val="97"/>
              </w:rPr>
              <w:t>2021</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30"/>
        </w:trPr>
        <w:tc>
          <w:tcPr>
            <w:tcW w:w="880" w:type="dxa"/>
            <w:vAlign w:val="bottom"/>
          </w:tcPr>
          <w:p>
            <w:pPr>
              <w:spacing w:after="0"/>
              <w:rPr>
                <w:sz w:val="2"/>
                <w:szCs w:val="2"/>
                <w:color w:val="auto"/>
              </w:rPr>
            </w:pPr>
          </w:p>
        </w:tc>
        <w:tc>
          <w:tcPr>
            <w:tcW w:w="3340" w:type="dxa"/>
            <w:vAlign w:val="bottom"/>
            <w:tcBorders>
              <w:bottom w:val="single" w:sz="8" w:color="CFF0FC"/>
            </w:tcBorders>
          </w:tcPr>
          <w:p>
            <w:pPr>
              <w:spacing w:after="0"/>
              <w:rPr>
                <w:sz w:val="2"/>
                <w:szCs w:val="2"/>
                <w:color w:val="auto"/>
              </w:rPr>
            </w:pPr>
          </w:p>
        </w:tc>
        <w:tc>
          <w:tcPr>
            <w:tcW w:w="2500" w:type="dxa"/>
            <w:vAlign w:val="bottom"/>
            <w:tcBorders>
              <w:bottom w:val="single" w:sz="8" w:color="CFF0FC"/>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80" w:type="dxa"/>
            <w:vAlign w:val="bottom"/>
          </w:tcPr>
          <w:p>
            <w:pPr>
              <w:spacing w:after="0"/>
              <w:rPr>
                <w:sz w:val="2"/>
                <w:szCs w:val="2"/>
                <w:color w:val="auto"/>
              </w:rPr>
            </w:pPr>
          </w:p>
        </w:tc>
      </w:tr>
      <w:tr>
        <w:trPr>
          <w:trHeight w:val="183"/>
        </w:trPr>
        <w:tc>
          <w:tcPr>
            <w:tcW w:w="880" w:type="dxa"/>
            <w:vAlign w:val="bottom"/>
          </w:tcPr>
          <w:p>
            <w:pPr>
              <w:spacing w:after="0"/>
              <w:rPr>
                <w:sz w:val="15"/>
                <w:szCs w:val="15"/>
                <w:color w:val="auto"/>
              </w:rPr>
            </w:pPr>
          </w:p>
        </w:tc>
        <w:tc>
          <w:tcPr>
            <w:tcW w:w="3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Risk-free interest rate</w:t>
            </w:r>
          </w:p>
        </w:tc>
        <w:tc>
          <w:tcPr>
            <w:tcW w:w="2500" w:type="dxa"/>
            <w:vAlign w:val="bottom"/>
            <w:tcBorders>
              <w:bottom w:val="single" w:sz="8" w:color="CFF0FC"/>
            </w:tcBorders>
            <w:shd w:val="clear" w:color="auto" w:fill="CFF0FC"/>
          </w:tcPr>
          <w:p>
            <w:pPr>
              <w:spacing w:after="0"/>
              <w:rPr>
                <w:sz w:val="15"/>
                <w:szCs w:val="15"/>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0.60% - 3.34%</w:t>
            </w:r>
          </w:p>
        </w:tc>
        <w:tc>
          <w:tcPr>
            <w:tcW w:w="1820" w:type="dxa"/>
            <w:vAlign w:val="bottom"/>
            <w:tcBorders>
              <w:bottom w:val="single" w:sz="8" w:color="CFF0FC"/>
            </w:tcBorders>
            <w:gridSpan w:val="2"/>
            <w:shd w:val="clear" w:color="auto" w:fill="CFF0FC"/>
          </w:tcPr>
          <w:p>
            <w:pPr>
              <w:jc w:val="center"/>
              <w:ind w:left="34"/>
              <w:spacing w:after="0"/>
              <w:rPr>
                <w:sz w:val="20"/>
                <w:szCs w:val="20"/>
                <w:color w:val="auto"/>
              </w:rPr>
            </w:pPr>
            <w:r>
              <w:rPr>
                <w:rFonts w:ascii="Arial" w:cs="Arial" w:eastAsia="Arial" w:hAnsi="Arial"/>
                <w:sz w:val="14"/>
                <w:szCs w:val="14"/>
                <w:color w:val="auto"/>
                <w:w w:val="91"/>
              </w:rPr>
              <w:t>0.06% - 0.07%</w:t>
            </w:r>
          </w:p>
        </w:tc>
        <w:tc>
          <w:tcPr>
            <w:tcW w:w="100" w:type="dxa"/>
            <w:vAlign w:val="bottom"/>
            <w:tcBorders>
              <w:bottom w:val="single" w:sz="8" w:color="CFF0FC"/>
            </w:tcBorders>
            <w:shd w:val="clear" w:color="auto" w:fill="CFF0FC"/>
          </w:tcPr>
          <w:p>
            <w:pPr>
              <w:spacing w:after="0"/>
              <w:rPr>
                <w:sz w:val="15"/>
                <w:szCs w:val="15"/>
                <w:color w:val="auto"/>
              </w:rPr>
            </w:pPr>
          </w:p>
        </w:tc>
        <w:tc>
          <w:tcPr>
            <w:tcW w:w="880" w:type="dxa"/>
            <w:vAlign w:val="bottom"/>
          </w:tcPr>
          <w:p>
            <w:pPr>
              <w:spacing w:after="0"/>
              <w:rPr>
                <w:sz w:val="15"/>
                <w:szCs w:val="15"/>
                <w:color w:val="auto"/>
              </w:rPr>
            </w:pPr>
          </w:p>
        </w:tc>
      </w:tr>
      <w:tr>
        <w:trPr>
          <w:trHeight w:val="212"/>
        </w:trPr>
        <w:tc>
          <w:tcPr>
            <w:tcW w:w="88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Arial" w:cs="Arial" w:eastAsia="Arial" w:hAnsi="Arial"/>
                <w:sz w:val="14"/>
                <w:szCs w:val="14"/>
                <w:color w:val="auto"/>
              </w:rPr>
              <w:t>Expected term of options (in years)</w:t>
            </w:r>
          </w:p>
        </w:tc>
        <w:tc>
          <w:tcPr>
            <w:tcW w:w="4260" w:type="dxa"/>
            <w:vAlign w:val="bottom"/>
            <w:gridSpan w:val="2"/>
          </w:tcPr>
          <w:p>
            <w:pPr>
              <w:jc w:val="center"/>
              <w:ind w:left="2434"/>
              <w:spacing w:after="0"/>
              <w:rPr>
                <w:sz w:val="20"/>
                <w:szCs w:val="20"/>
                <w:color w:val="auto"/>
              </w:rPr>
            </w:pPr>
            <w:r>
              <w:rPr>
                <w:rFonts w:ascii="Arial" w:cs="Arial" w:eastAsia="Arial" w:hAnsi="Arial"/>
                <w:sz w:val="14"/>
                <w:szCs w:val="14"/>
                <w:color w:val="auto"/>
                <w:w w:val="87"/>
              </w:rPr>
              <w:t>0.50</w:t>
            </w:r>
          </w:p>
        </w:tc>
        <w:tc>
          <w:tcPr>
            <w:tcW w:w="1820" w:type="dxa"/>
            <w:vAlign w:val="bottom"/>
            <w:gridSpan w:val="2"/>
          </w:tcPr>
          <w:p>
            <w:pPr>
              <w:jc w:val="center"/>
              <w:ind w:left="34"/>
              <w:spacing w:after="0"/>
              <w:rPr>
                <w:sz w:val="20"/>
                <w:szCs w:val="20"/>
                <w:color w:val="auto"/>
              </w:rPr>
            </w:pPr>
            <w:r>
              <w:rPr>
                <w:rFonts w:ascii="Arial" w:cs="Arial" w:eastAsia="Arial" w:hAnsi="Arial"/>
                <w:sz w:val="14"/>
                <w:szCs w:val="14"/>
                <w:color w:val="auto"/>
                <w:w w:val="87"/>
              </w:rPr>
              <w:t>0.50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2"/>
        </w:trPr>
        <w:tc>
          <w:tcPr>
            <w:tcW w:w="880" w:type="dxa"/>
            <w:vAlign w:val="bottom"/>
          </w:tcPr>
          <w:p>
            <w:pPr>
              <w:spacing w:after="0"/>
              <w:rPr>
                <w:sz w:val="16"/>
                <w:szCs w:val="16"/>
                <w:color w:val="auto"/>
              </w:rPr>
            </w:pPr>
          </w:p>
        </w:tc>
        <w:tc>
          <w:tcPr>
            <w:tcW w:w="3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Expected stock price volatility</w:t>
            </w:r>
          </w:p>
        </w:tc>
        <w:tc>
          <w:tcPr>
            <w:tcW w:w="2500" w:type="dxa"/>
            <w:vAlign w:val="bottom"/>
            <w:tcBorders>
              <w:bottom w:val="single" w:sz="8" w:color="CFF0FC"/>
            </w:tcBorders>
            <w:shd w:val="clear" w:color="auto" w:fill="CFF0FC"/>
          </w:tcPr>
          <w:p>
            <w:pPr>
              <w:spacing w:after="0"/>
              <w:rPr>
                <w:sz w:val="16"/>
                <w:szCs w:val="16"/>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63.17% - 82.02%</w:t>
            </w:r>
          </w:p>
        </w:tc>
        <w:tc>
          <w:tcPr>
            <w:tcW w:w="100" w:type="dxa"/>
            <w:vAlign w:val="bottom"/>
            <w:tcBorders>
              <w:bottom w:val="single" w:sz="8" w:color="CFF0FC"/>
            </w:tcBorders>
            <w:shd w:val="clear" w:color="auto" w:fill="CFF0FC"/>
          </w:tcPr>
          <w:p>
            <w:pPr>
              <w:spacing w:after="0"/>
              <w:rPr>
                <w:sz w:val="16"/>
                <w:szCs w:val="16"/>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67.16% - 89.51%</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Pr>
          <w:p>
            <w:pPr>
              <w:spacing w:after="0"/>
              <w:rPr>
                <w:sz w:val="16"/>
                <w:szCs w:val="16"/>
                <w:color w:val="auto"/>
              </w:rPr>
            </w:pPr>
          </w:p>
        </w:tc>
      </w:tr>
      <w:tr>
        <w:trPr>
          <w:trHeight w:val="212"/>
        </w:trPr>
        <w:tc>
          <w:tcPr>
            <w:tcW w:w="88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Arial" w:cs="Arial" w:eastAsia="Arial" w:hAnsi="Arial"/>
                <w:sz w:val="14"/>
                <w:szCs w:val="14"/>
                <w:color w:val="auto"/>
              </w:rPr>
              <w:t>Expected dividends</w:t>
            </w:r>
          </w:p>
        </w:tc>
        <w:tc>
          <w:tcPr>
            <w:tcW w:w="25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100" w:type="dxa"/>
            <w:vAlign w:val="bottom"/>
          </w:tcPr>
          <w:p>
            <w:pPr>
              <w:spacing w:after="0"/>
              <w:rPr>
                <w:sz w:val="18"/>
                <w:szCs w:val="18"/>
                <w:color w:val="auto"/>
              </w:rPr>
            </w:pPr>
          </w:p>
        </w:tc>
        <w:tc>
          <w:tcPr>
            <w:tcW w:w="2700" w:type="dxa"/>
            <w:vAlign w:val="bottom"/>
            <w:gridSpan w:val="3"/>
          </w:tcPr>
          <w:p>
            <w:pPr>
              <w:jc w:val="center"/>
              <w:ind w:right="1000"/>
              <w:spacing w:after="0"/>
              <w:rPr>
                <w:sz w:val="20"/>
                <w:szCs w:val="20"/>
                <w:color w:val="auto"/>
              </w:rPr>
            </w:pPr>
            <w:r>
              <w:rPr>
                <w:rFonts w:ascii="Arial" w:cs="Arial" w:eastAsia="Arial" w:hAnsi="Arial"/>
                <w:sz w:val="14"/>
                <w:szCs w:val="14"/>
                <w:color w:val="auto"/>
                <w:w w:val="98"/>
              </w:rPr>
              <w:t>—%</w:t>
            </w:r>
          </w:p>
        </w:tc>
      </w:tr>
      <w:tr>
        <w:trPr>
          <w:trHeight w:val="711"/>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500" w:type="dxa"/>
            <w:vAlign w:val="bottom"/>
          </w:tcPr>
          <w:p>
            <w:pPr>
              <w:jc w:val="right"/>
              <w:ind w:right="894"/>
              <w:spacing w:after="0"/>
              <w:rPr>
                <w:sz w:val="20"/>
                <w:szCs w:val="20"/>
                <w:color w:val="auto"/>
              </w:rPr>
            </w:pPr>
            <w:r>
              <w:rPr>
                <w:rFonts w:ascii="Arial" w:cs="Arial" w:eastAsia="Arial" w:hAnsi="Arial"/>
                <w:sz w:val="14"/>
                <w:szCs w:val="14"/>
                <w:color w:val="auto"/>
              </w:rPr>
              <w:t>107</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87"/>
        </w:trPr>
        <w:tc>
          <w:tcPr>
            <w:tcW w:w="880" w:type="dxa"/>
            <w:vAlign w:val="bottom"/>
            <w:tcBorders>
              <w:bottom w:val="single" w:sz="8" w:color="9A9A9A"/>
            </w:tcBorders>
          </w:tcPr>
          <w:p>
            <w:pPr>
              <w:spacing w:after="0"/>
              <w:rPr>
                <w:sz w:val="7"/>
                <w:szCs w:val="7"/>
                <w:color w:val="auto"/>
              </w:rPr>
            </w:pPr>
          </w:p>
        </w:tc>
        <w:tc>
          <w:tcPr>
            <w:tcW w:w="3340" w:type="dxa"/>
            <w:vAlign w:val="bottom"/>
            <w:tcBorders>
              <w:bottom w:val="single" w:sz="8" w:color="9A9A9A"/>
            </w:tcBorders>
          </w:tcPr>
          <w:p>
            <w:pPr>
              <w:spacing w:after="0"/>
              <w:rPr>
                <w:sz w:val="7"/>
                <w:szCs w:val="7"/>
                <w:color w:val="auto"/>
              </w:rPr>
            </w:pPr>
          </w:p>
        </w:tc>
        <w:tc>
          <w:tcPr>
            <w:tcW w:w="250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 Expense</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the classification of stock-based compensation expense during the years ended December 31, 2022 and 2021 (in thousands):</w:t>
      </w:r>
    </w:p>
    <w:p>
      <w:pPr>
        <w:spacing w:after="0" w:line="108" w:lineRule="exact"/>
        <w:rPr>
          <w:sz w:val="20"/>
          <w:szCs w:val="20"/>
          <w:color w:val="auto"/>
        </w:rPr>
      </w:pPr>
    </w:p>
    <w:tbl>
      <w:tblPr>
        <w:tblLayout w:type="fixed"/>
        <w:tblInd w:w="800" w:type="dxa"/>
        <w:tblCellMar>
          <w:top w:w="0" w:type="dxa"/>
          <w:left w:w="0" w:type="dxa"/>
          <w:bottom w:w="0" w:type="dxa"/>
          <w:right w:w="0" w:type="dxa"/>
        </w:tblCellMar>
      </w:tblPr>
      <w:tr>
        <w:trPr>
          <w:trHeight w:val="147"/>
        </w:trPr>
        <w:tc>
          <w:tcPr>
            <w:tcW w:w="6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20" w:type="dxa"/>
            <w:vAlign w:val="bottom"/>
            <w:gridSpan w:val="3"/>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4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4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jc w:val="right"/>
              <w:ind w:right="571"/>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4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awards</w:t>
            </w:r>
          </w:p>
        </w:tc>
        <w:tc>
          <w:tcPr>
            <w:tcW w:w="900" w:type="dxa"/>
            <w:vAlign w:val="bottom"/>
            <w:shd w:val="clear" w:color="auto" w:fill="CCEEFF"/>
          </w:tcPr>
          <w:p>
            <w:pPr>
              <w:jc w:val="right"/>
              <w:ind w:right="751"/>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480" w:type="dxa"/>
            <w:vAlign w:val="bottom"/>
          </w:tcPr>
          <w:p>
            <w:pPr>
              <w:ind w:left="20"/>
              <w:spacing w:after="0"/>
              <w:rPr>
                <w:sz w:val="20"/>
                <w:szCs w:val="20"/>
                <w:color w:val="auto"/>
              </w:rPr>
            </w:pPr>
            <w:r>
              <w:rPr>
                <w:rFonts w:ascii="Arial" w:cs="Arial" w:eastAsia="Arial" w:hAnsi="Arial"/>
                <w:sz w:val="14"/>
                <w:szCs w:val="14"/>
                <w:color w:val="auto"/>
              </w:rPr>
              <w:t>Stock options and ESPP</w:t>
            </w:r>
          </w:p>
        </w:tc>
        <w:tc>
          <w:tcPr>
            <w:tcW w:w="900" w:type="dxa"/>
            <w:vAlign w:val="bottom"/>
          </w:tcPr>
          <w:p>
            <w:pPr>
              <w:jc w:val="right"/>
              <w:ind w:right="751"/>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13,280</w:t>
            </w:r>
          </w:p>
        </w:tc>
        <w:tc>
          <w:tcPr>
            <w:tcW w:w="100" w:type="dxa"/>
            <w:vAlign w:val="bottom"/>
          </w:tcPr>
          <w:p>
            <w:pPr>
              <w:spacing w:after="0"/>
              <w:rPr>
                <w:sz w:val="18"/>
                <w:szCs w:val="18"/>
                <w:color w:val="auto"/>
              </w:rPr>
            </w:pPr>
          </w:p>
        </w:tc>
        <w:tc>
          <w:tcPr>
            <w:tcW w:w="620" w:type="dxa"/>
            <w:vAlign w:val="bottom"/>
          </w:tcPr>
          <w:p>
            <w:pPr>
              <w:jc w:val="right"/>
              <w:ind w:right="44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900" w:type="dxa"/>
            <w:vAlign w:val="bottom"/>
            <w:shd w:val="clear" w:color="auto" w:fill="CCEEFF"/>
          </w:tcPr>
          <w:p>
            <w:pPr>
              <w:jc w:val="right"/>
              <w:ind w:right="751"/>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6480" w:type="dxa"/>
            <w:vAlign w:val="bottom"/>
          </w:tcPr>
          <w:p>
            <w:pPr>
              <w:ind w:left="20"/>
              <w:spacing w:after="0"/>
              <w:rPr>
                <w:sz w:val="20"/>
                <w:szCs w:val="20"/>
                <w:color w:val="auto"/>
              </w:rPr>
            </w:pPr>
            <w:r>
              <w:rPr>
                <w:rFonts w:ascii="Arial" w:cs="Arial" w:eastAsia="Arial" w:hAnsi="Arial"/>
                <w:sz w:val="14"/>
                <w:szCs w:val="14"/>
                <w:color w:val="auto"/>
              </w:rPr>
              <w:t>Performance-based restricted stock units</w:t>
            </w:r>
          </w:p>
        </w:tc>
        <w:tc>
          <w:tcPr>
            <w:tcW w:w="900" w:type="dxa"/>
            <w:vAlign w:val="bottom"/>
          </w:tcPr>
          <w:p>
            <w:pPr>
              <w:jc w:val="right"/>
              <w:ind w:right="751"/>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7,390</w:t>
            </w:r>
          </w:p>
        </w:tc>
        <w:tc>
          <w:tcPr>
            <w:tcW w:w="100" w:type="dxa"/>
            <w:vAlign w:val="bottom"/>
          </w:tcPr>
          <w:p>
            <w:pPr>
              <w:spacing w:after="0"/>
              <w:rPr>
                <w:sz w:val="18"/>
                <w:szCs w:val="18"/>
                <w:color w:val="auto"/>
              </w:rPr>
            </w:pPr>
          </w:p>
        </w:tc>
        <w:tc>
          <w:tcPr>
            <w:tcW w:w="620" w:type="dxa"/>
            <w:vAlign w:val="bottom"/>
          </w:tcPr>
          <w:p>
            <w:pPr>
              <w:jc w:val="right"/>
              <w:ind w:right="44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w:t>
            </w:r>
          </w:p>
        </w:tc>
        <w:tc>
          <w:tcPr>
            <w:tcW w:w="900" w:type="dxa"/>
            <w:vAlign w:val="bottom"/>
            <w:tcBorders>
              <w:top w:val="single" w:sz="8" w:color="auto"/>
              <w:bottom w:val="single" w:sz="8" w:color="auto"/>
            </w:tcBorders>
            <w:shd w:val="clear" w:color="auto" w:fill="CCEEFF"/>
          </w:tcPr>
          <w:p>
            <w:pPr>
              <w:jc w:val="right"/>
              <w:ind w:right="751"/>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Research and development expenses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480" w:type="dxa"/>
            <w:vAlign w:val="bottom"/>
            <w:vMerge w:val="continue"/>
          </w:tcPr>
          <w:p>
            <w:pPr>
              <w:spacing w:after="0"/>
              <w:rPr>
                <w:sz w:val="13"/>
                <w:szCs w:val="13"/>
                <w:color w:val="auto"/>
              </w:rPr>
            </w:pPr>
          </w:p>
        </w:tc>
        <w:tc>
          <w:tcPr>
            <w:tcW w:w="900" w:type="dxa"/>
            <w:vAlign w:val="bottom"/>
          </w:tcPr>
          <w:p>
            <w:pPr>
              <w:jc w:val="right"/>
              <w:ind w:right="751"/>
              <w:spacing w:after="0" w:line="153"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3" w:lineRule="exact"/>
              <w:rPr>
                <w:sz w:val="20"/>
                <w:szCs w:val="20"/>
                <w:color w:val="auto"/>
              </w:rPr>
            </w:pPr>
            <w:r>
              <w:rPr>
                <w:rFonts w:ascii="Arial" w:cs="Arial" w:eastAsia="Arial" w:hAnsi="Arial"/>
                <w:sz w:val="14"/>
                <w:szCs w:val="14"/>
                <w:color w:val="auto"/>
              </w:rPr>
              <w:t>8,730</w:t>
            </w:r>
          </w:p>
        </w:tc>
        <w:tc>
          <w:tcPr>
            <w:tcW w:w="100" w:type="dxa"/>
            <w:vAlign w:val="bottom"/>
          </w:tcPr>
          <w:p>
            <w:pPr>
              <w:spacing w:after="0"/>
              <w:rPr>
                <w:sz w:val="13"/>
                <w:szCs w:val="13"/>
                <w:color w:val="auto"/>
              </w:rPr>
            </w:pPr>
          </w:p>
        </w:tc>
        <w:tc>
          <w:tcPr>
            <w:tcW w:w="620" w:type="dxa"/>
            <w:vAlign w:val="bottom"/>
          </w:tcPr>
          <w:p>
            <w:pPr>
              <w:jc w:val="right"/>
              <w:ind w:right="449"/>
              <w:spacing w:after="0" w:line="153"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3" w:lineRule="exact"/>
              <w:rPr>
                <w:sz w:val="20"/>
                <w:szCs w:val="20"/>
                <w:color w:val="auto"/>
              </w:rPr>
            </w:pPr>
            <w:r>
              <w:rPr>
                <w:rFonts w:ascii="Arial" w:cs="Arial" w:eastAsia="Arial" w:hAnsi="Arial"/>
                <w:sz w:val="14"/>
                <w:szCs w:val="14"/>
                <w:color w:val="auto"/>
              </w:rPr>
              <w:t>3,928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6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 expenses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4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2"/>
          <w:szCs w:val="12"/>
          <w:b w:val="1"/>
          <w:bCs w:val="1"/>
          <w:color w:val="auto"/>
        </w:rPr>
        <w:t>Income Taxes</w:t>
      </w:r>
    </w:p>
    <w:p>
      <w:pPr>
        <w:spacing w:after="0" w:line="161" w:lineRule="exact"/>
        <w:rPr>
          <w:sz w:val="20"/>
          <w:szCs w:val="20"/>
          <w:color w:val="auto"/>
        </w:rPr>
      </w:pPr>
    </w:p>
    <w:p>
      <w:pPr>
        <w:ind w:right="100" w:firstLine="509"/>
        <w:spacing w:after="0" w:line="267" w:lineRule="auto"/>
        <w:rPr>
          <w:sz w:val="20"/>
          <w:szCs w:val="20"/>
          <w:color w:val="auto"/>
        </w:rPr>
      </w:pPr>
      <w:r>
        <w:rPr>
          <w:rFonts w:ascii="Arial" w:cs="Arial" w:eastAsia="Arial" w:hAnsi="Arial"/>
          <w:sz w:val="14"/>
          <w:szCs w:val="14"/>
          <w:color w:val="auto"/>
        </w:rPr>
        <w:t>The Company had a pre-tax U.S. book loss of $123.3 million, and $97.3 million, for the years ended December 31, 2022 and 2021, respectively. During the years ended December 31, 2022 and 2021, the Company did not record an income tax provision. The Company will continue to maintain a 100% valuation allowance on total deferred tax assets. The Company believes it is more likely than not that the related deferred tax assets will not be realized.</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reconciliation of the U.S. federal statutory income tax rate to the Company’s effective income tax rate is as follows:</w:t>
      </w:r>
    </w:p>
    <w:p>
      <w:pPr>
        <w:spacing w:after="0" w:line="119" w:lineRule="exact"/>
        <w:rPr>
          <w:sz w:val="20"/>
          <w:szCs w:val="20"/>
          <w:color w:val="auto"/>
        </w:rPr>
      </w:pPr>
    </w:p>
    <w:p>
      <w:pPr>
        <w:ind w:left="8200"/>
        <w:spacing w:after="0"/>
        <w:rPr>
          <w:sz w:val="20"/>
          <w:szCs w:val="20"/>
          <w:color w:val="auto"/>
        </w:rPr>
      </w:pPr>
      <w:r>
        <w:rPr>
          <w:rFonts w:ascii="Arial" w:cs="Arial" w:eastAsia="Arial" w:hAnsi="Arial"/>
          <w:sz w:val="11"/>
          <w:szCs w:val="11"/>
          <w:b w:val="1"/>
          <w:bCs w:val="1"/>
          <w:color w:val="auto"/>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tcPr>
          <w:p>
            <w:pPr>
              <w:spacing w:after="0"/>
              <w:rPr>
                <w:sz w:val="14"/>
                <w:szCs w:val="14"/>
                <w:color w:val="auto"/>
              </w:rPr>
            </w:pPr>
          </w:p>
        </w:tc>
        <w:tc>
          <w:tcPr>
            <w:tcW w:w="100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ind w:right="61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720" w:type="dxa"/>
            <w:vAlign w:val="bottom"/>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computed at federal statutory rate</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7480" w:type="dxa"/>
            <w:vAlign w:val="bottom"/>
            <w:gridSpan w:val="2"/>
          </w:tcPr>
          <w:p>
            <w:pPr>
              <w:ind w:left="20"/>
              <w:spacing w:after="0"/>
              <w:rPr>
                <w:sz w:val="20"/>
                <w:szCs w:val="20"/>
                <w:color w:val="auto"/>
              </w:rPr>
            </w:pPr>
            <w:r>
              <w:rPr>
                <w:rFonts w:ascii="Arial" w:cs="Arial" w:eastAsia="Arial" w:hAnsi="Arial"/>
                <w:sz w:val="14"/>
                <w:szCs w:val="14"/>
                <w:color w:val="auto"/>
              </w:rPr>
              <w:t>State taxes, net of federal tax benefit</w:t>
            </w:r>
          </w:p>
        </w:tc>
        <w:tc>
          <w:tcPr>
            <w:tcW w:w="580" w:type="dxa"/>
            <w:vAlign w:val="bottom"/>
          </w:tcPr>
          <w:p>
            <w:pPr>
              <w:jc w:val="right"/>
              <w:spacing w:after="0"/>
              <w:rPr>
                <w:sz w:val="20"/>
                <w:szCs w:val="20"/>
                <w:color w:val="auto"/>
              </w:rPr>
            </w:pPr>
            <w:r>
              <w:rPr>
                <w:rFonts w:ascii="Arial" w:cs="Arial" w:eastAsia="Arial" w:hAnsi="Arial"/>
                <w:sz w:val="14"/>
                <w:szCs w:val="14"/>
                <w:color w:val="auto"/>
              </w:rPr>
              <w:t>7.3 %</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7.7 %</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0" w:type="dxa"/>
            <w:vAlign w:val="bottom"/>
          </w:tcPr>
          <w:p>
            <w:pPr>
              <w:spacing w:after="0"/>
              <w:rPr>
                <w:sz w:val="16"/>
                <w:szCs w:val="16"/>
                <w:color w:val="auto"/>
              </w:rPr>
            </w:pPr>
          </w:p>
        </w:tc>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General business credit—federal</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5.3 %</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748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0" w:type="dxa"/>
            <w:vAlign w:val="bottom"/>
          </w:tcPr>
          <w:p>
            <w:pPr>
              <w:spacing w:after="0"/>
              <w:rPr>
                <w:sz w:val="16"/>
                <w:szCs w:val="16"/>
                <w:color w:val="auto"/>
              </w:rPr>
            </w:pPr>
          </w:p>
        </w:tc>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permanent differences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7480" w:type="dxa"/>
            <w:vAlign w:val="bottom"/>
            <w:gridSpan w:val="2"/>
          </w:tcPr>
          <w:p>
            <w:pPr>
              <w:ind w:left="20"/>
              <w:spacing w:after="0"/>
              <w:rPr>
                <w:sz w:val="20"/>
                <w:szCs w:val="20"/>
                <w:color w:val="auto"/>
              </w:rPr>
            </w:pPr>
            <w:r>
              <w:rPr>
                <w:rFonts w:ascii="Arial" w:cs="Arial" w:eastAsia="Arial" w:hAnsi="Arial"/>
                <w:sz w:val="14"/>
                <w:szCs w:val="14"/>
                <w:color w:val="auto"/>
              </w:rPr>
              <w:t>Change in valuation allowance</w:t>
            </w:r>
          </w:p>
        </w:tc>
        <w:tc>
          <w:tcPr>
            <w:tcW w:w="580" w:type="dxa"/>
            <w:vAlign w:val="bottom"/>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20" w:type="dxa"/>
            <w:vAlign w:val="bottom"/>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Effective income tax rate</w:t>
            </w:r>
          </w:p>
        </w:tc>
        <w:tc>
          <w:tcPr>
            <w:tcW w:w="10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0.0 %</w:t>
            </w: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line="20" w:lineRule="exact"/>
              <w:rPr>
                <w:sz w:val="1"/>
                <w:szCs w:val="1"/>
                <w:color w:val="auto"/>
              </w:rPr>
            </w:pPr>
          </w:p>
        </w:tc>
        <w:tc>
          <w:tcPr>
            <w:tcW w:w="6480" w:type="dxa"/>
            <w:vAlign w:val="bottom"/>
            <w:tcBorders>
              <w:top w:val="single" w:sz="8" w:color="CCEEFF"/>
              <w:bottom w:val="single" w:sz="8" w:color="CCEEFF"/>
            </w:tcBorders>
            <w:vMerge w:val="restart"/>
          </w:tcPr>
          <w:p>
            <w:pPr>
              <w:ind w:left="4820"/>
              <w:spacing w:after="0"/>
              <w:rPr>
                <w:sz w:val="20"/>
                <w:szCs w:val="20"/>
                <w:color w:val="auto"/>
              </w:rPr>
            </w:pPr>
            <w:r>
              <w:rPr>
                <w:rFonts w:ascii="Arial" w:cs="Arial" w:eastAsia="Arial" w:hAnsi="Arial"/>
                <w:sz w:val="14"/>
                <w:szCs w:val="14"/>
                <w:color w:val="auto"/>
              </w:rPr>
              <w:t>108</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20" w:type="dxa"/>
            <w:vAlign w:val="bottom"/>
            <w:vMerge w:val="continue"/>
          </w:tcPr>
          <w:p>
            <w:pPr>
              <w:spacing w:after="0"/>
              <w:rPr>
                <w:sz w:val="24"/>
                <w:szCs w:val="24"/>
                <w:color w:val="auto"/>
              </w:rPr>
            </w:pPr>
          </w:p>
        </w:tc>
        <w:tc>
          <w:tcPr>
            <w:tcW w:w="64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720" w:type="dxa"/>
            <w:vAlign w:val="bottom"/>
            <w:tcBorders>
              <w:bottom w:val="single" w:sz="8" w:color="9A9A9A"/>
            </w:tcBorders>
          </w:tcPr>
          <w:p>
            <w:pPr>
              <w:spacing w:after="0"/>
              <w:rPr>
                <w:sz w:val="7"/>
                <w:szCs w:val="7"/>
                <w:color w:val="auto"/>
              </w:rPr>
            </w:pPr>
          </w:p>
        </w:tc>
        <w:tc>
          <w:tcPr>
            <w:tcW w:w="64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Net deferred tax assets and liabilities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3"/>
          </w:tcPr>
          <w:p>
            <w:pPr>
              <w:jc w:val="right"/>
              <w:spacing w:after="0"/>
              <w:rPr>
                <w:sz w:val="20"/>
                <w:szCs w:val="20"/>
                <w:color w:val="auto"/>
              </w:rPr>
            </w:pPr>
            <w:r>
              <w:rPr>
                <w:rFonts w:ascii="Arial" w:cs="Arial" w:eastAsia="Arial" w:hAnsi="Arial"/>
                <w:sz w:val="11"/>
                <w:szCs w:val="11"/>
                <w:b w:val="1"/>
                <w:bCs w:val="1"/>
                <w:color w:val="auto"/>
              </w:rPr>
              <w:t>December 31,</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551"/>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211"/>
              <w:spacing w:after="0"/>
              <w:rPr>
                <w:sz w:val="20"/>
                <w:szCs w:val="20"/>
                <w:color w:val="auto"/>
              </w:rPr>
            </w:pPr>
            <w:r>
              <w:rPr>
                <w:rFonts w:ascii="Arial" w:cs="Arial" w:eastAsia="Arial" w:hAnsi="Arial"/>
                <w:sz w:val="11"/>
                <w:szCs w:val="11"/>
                <w:b w:val="1"/>
                <w:bCs w:val="1"/>
                <w:color w:val="auto"/>
                <w:w w:val="97"/>
              </w:rPr>
              <w:t>2021</w:t>
            </w:r>
          </w:p>
        </w:tc>
        <w:tc>
          <w:tcPr>
            <w:tcW w:w="0" w:type="dxa"/>
            <w:vAlign w:val="bottom"/>
          </w:tcPr>
          <w:p>
            <w:pPr>
              <w:spacing w:after="0"/>
              <w:rPr>
                <w:sz w:val="1"/>
                <w:szCs w:val="1"/>
                <w:color w:val="auto"/>
              </w:rPr>
            </w:pPr>
          </w:p>
        </w:tc>
      </w:tr>
      <w:tr>
        <w:trPr>
          <w:trHeight w:val="30"/>
        </w:trPr>
        <w:tc>
          <w:tcPr>
            <w:tcW w:w="82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Deferred tax assets:</w:t>
            </w:r>
          </w:p>
        </w:tc>
        <w:tc>
          <w:tcPr>
            <w:tcW w:w="180" w:type="dxa"/>
            <w:vAlign w:val="bottom"/>
            <w:tcBorders>
              <w:bottom w:val="single" w:sz="8" w:color="CFF0FC"/>
            </w:tcBorders>
            <w:shd w:val="clear" w:color="auto" w:fill="CFF0FC"/>
          </w:tcPr>
          <w:p>
            <w:pPr>
              <w:spacing w:after="0"/>
              <w:rPr>
                <w:sz w:val="14"/>
                <w:szCs w:val="14"/>
                <w:color w:val="auto"/>
              </w:rPr>
            </w:pPr>
          </w:p>
        </w:tc>
        <w:tc>
          <w:tcPr>
            <w:tcW w:w="13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2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220" w:type="dxa"/>
            <w:vAlign w:val="bottom"/>
          </w:tcPr>
          <w:p>
            <w:pPr>
              <w:ind w:left="180"/>
              <w:spacing w:after="0"/>
              <w:rPr>
                <w:sz w:val="20"/>
                <w:szCs w:val="20"/>
                <w:color w:val="auto"/>
              </w:rPr>
            </w:pPr>
            <w:r>
              <w:rPr>
                <w:rFonts w:ascii="Arial" w:cs="Arial" w:eastAsia="Arial" w:hAnsi="Arial"/>
                <w:sz w:val="14"/>
                <w:szCs w:val="14"/>
                <w:color w:val="auto"/>
              </w:rPr>
              <w:t>Net operating losses</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65,689</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51,554</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Research and development credits</w:t>
            </w:r>
          </w:p>
        </w:tc>
        <w:tc>
          <w:tcPr>
            <w:tcW w:w="18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19,688</w:t>
            </w:r>
          </w:p>
        </w:tc>
        <w:tc>
          <w:tcPr>
            <w:tcW w:w="1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13,989</w:t>
            </w:r>
          </w:p>
        </w:tc>
        <w:tc>
          <w:tcPr>
            <w:tcW w:w="0" w:type="dxa"/>
            <w:vAlign w:val="bottom"/>
          </w:tcPr>
          <w:p>
            <w:pPr>
              <w:spacing w:after="0"/>
              <w:rPr>
                <w:sz w:val="1"/>
                <w:szCs w:val="1"/>
                <w:color w:val="auto"/>
              </w:rPr>
            </w:pPr>
          </w:p>
        </w:tc>
      </w:tr>
      <w:tr>
        <w:trPr>
          <w:trHeight w:val="191"/>
        </w:trPr>
        <w:tc>
          <w:tcPr>
            <w:tcW w:w="8220" w:type="dxa"/>
            <w:vAlign w:val="bottom"/>
          </w:tcPr>
          <w:p>
            <w:pPr>
              <w:ind w:left="180"/>
              <w:spacing w:after="0"/>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1,706</w:t>
            </w:r>
          </w:p>
        </w:tc>
        <w:tc>
          <w:tcPr>
            <w:tcW w:w="1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191"/>
        </w:trPr>
        <w:tc>
          <w:tcPr>
            <w:tcW w:w="8220" w:type="dxa"/>
            <w:vAlign w:val="bottom"/>
          </w:tcPr>
          <w:p>
            <w:pPr>
              <w:ind w:left="180"/>
              <w:spacing w:after="0"/>
              <w:rPr>
                <w:sz w:val="20"/>
                <w:szCs w:val="20"/>
                <w:color w:val="auto"/>
              </w:rPr>
            </w:pPr>
            <w:r>
              <w:rPr>
                <w:rFonts w:ascii="Arial" w:cs="Arial" w:eastAsia="Arial" w:hAnsi="Arial"/>
                <w:sz w:val="14"/>
                <w:szCs w:val="14"/>
                <w:color w:val="auto"/>
              </w:rPr>
              <w:t>Capitalized research and development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13,900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Lease liability</w:t>
            </w: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91"/>
        </w:trPr>
        <w:tc>
          <w:tcPr>
            <w:tcW w:w="8220" w:type="dxa"/>
            <w:vAlign w:val="bottom"/>
          </w:tcPr>
          <w:p>
            <w:pPr>
              <w:ind w:left="180"/>
              <w:spacing w:after="0"/>
              <w:rPr>
                <w:sz w:val="20"/>
                <w:szCs w:val="20"/>
                <w:color w:val="auto"/>
              </w:rPr>
            </w:pPr>
            <w:r>
              <w:rPr>
                <w:rFonts w:ascii="Arial" w:cs="Arial" w:eastAsia="Arial" w:hAnsi="Arial"/>
                <w:sz w:val="14"/>
                <w:szCs w:val="14"/>
                <w:color w:val="auto"/>
              </w:rPr>
              <w:t>Stock based compensation</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5,073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1,816</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deferred tax assets</w:t>
            </w: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108,081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70,426</w:t>
            </w:r>
          </w:p>
        </w:tc>
        <w:tc>
          <w:tcPr>
            <w:tcW w:w="0" w:type="dxa"/>
            <w:vAlign w:val="bottom"/>
          </w:tcPr>
          <w:p>
            <w:pPr>
              <w:spacing w:after="0"/>
              <w:rPr>
                <w:sz w:val="1"/>
                <w:szCs w:val="1"/>
                <w:color w:val="auto"/>
              </w:rPr>
            </w:pP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Fixed asset basis</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91"/>
        </w:trPr>
        <w:tc>
          <w:tcPr>
            <w:tcW w:w="8220" w:type="dxa"/>
            <w:vAlign w:val="bottom"/>
          </w:tcPr>
          <w:p>
            <w:pPr>
              <w:ind w:left="180"/>
              <w:spacing w:after="0"/>
              <w:rPr>
                <w:sz w:val="20"/>
                <w:szCs w:val="20"/>
                <w:color w:val="auto"/>
              </w:rPr>
            </w:pPr>
            <w:r>
              <w:rPr>
                <w:rFonts w:ascii="Arial" w:cs="Arial" w:eastAsia="Arial" w:hAnsi="Arial"/>
                <w:sz w:val="14"/>
                <w:szCs w:val="14"/>
                <w:color w:val="auto"/>
              </w:rPr>
              <w:t>Prepaid expenses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(921)</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Right of use asset</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(1,760)</w:t>
            </w:r>
          </w:p>
        </w:tc>
        <w:tc>
          <w:tcPr>
            <w:tcW w:w="0" w:type="dxa"/>
            <w:vAlign w:val="bottom"/>
          </w:tcPr>
          <w:p>
            <w:pPr>
              <w:spacing w:after="0"/>
              <w:rPr>
                <w:sz w:val="1"/>
                <w:szCs w:val="1"/>
                <w:color w:val="auto"/>
              </w:rPr>
            </w:pPr>
          </w:p>
        </w:tc>
      </w:tr>
      <w:tr>
        <w:trPr>
          <w:trHeight w:val="181"/>
        </w:trPr>
        <w:tc>
          <w:tcPr>
            <w:tcW w:w="8220" w:type="dxa"/>
            <w:vAlign w:val="bottom"/>
          </w:tcPr>
          <w:p>
            <w:pPr>
              <w:ind w:left="360"/>
              <w:spacing w:after="0"/>
              <w:rPr>
                <w:sz w:val="20"/>
                <w:szCs w:val="20"/>
                <w:color w:val="auto"/>
              </w:rPr>
            </w:pPr>
            <w:r>
              <w:rPr>
                <w:rFonts w:ascii="Arial" w:cs="Arial" w:eastAsia="Arial" w:hAnsi="Arial"/>
                <w:sz w:val="14"/>
                <w:szCs w:val="14"/>
                <w:color w:val="auto"/>
              </w:rPr>
              <w:t>Total deferred tax liabilities</w:t>
            </w: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(2,397)</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(2,742)</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Valuation allowance</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105,684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67,684</w:t>
            </w:r>
          </w:p>
        </w:tc>
        <w:tc>
          <w:tcPr>
            <w:tcW w:w="0" w:type="dxa"/>
            <w:vAlign w:val="bottom"/>
          </w:tcPr>
          <w:p>
            <w:pPr>
              <w:spacing w:after="0"/>
              <w:rPr>
                <w:sz w:val="1"/>
                <w:szCs w:val="1"/>
                <w:color w:val="auto"/>
              </w:rPr>
            </w:pPr>
          </w:p>
        </w:tc>
      </w:tr>
      <w:tr>
        <w:trPr>
          <w:trHeight w:val="181"/>
        </w:trPr>
        <w:tc>
          <w:tcPr>
            <w:tcW w:w="8220" w:type="dxa"/>
            <w:vAlign w:val="bottom"/>
          </w:tcPr>
          <w:p>
            <w:pPr>
              <w:ind w:left="20"/>
              <w:spacing w:after="0"/>
              <w:rPr>
                <w:sz w:val="20"/>
                <w:szCs w:val="20"/>
                <w:color w:val="auto"/>
              </w:rPr>
            </w:pPr>
            <w:r>
              <w:rPr>
                <w:rFonts w:ascii="Arial" w:cs="Arial" w:eastAsia="Arial" w:hAnsi="Arial"/>
                <w:sz w:val="14"/>
                <w:szCs w:val="14"/>
                <w:color w:val="auto"/>
              </w:rPr>
              <w:t>Net deferred taxes</w:t>
            </w:r>
          </w:p>
        </w:tc>
        <w:tc>
          <w:tcPr>
            <w:tcW w:w="1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8220" w:type="dxa"/>
            <w:vAlign w:val="bottom"/>
            <w:vMerge w:val="restart"/>
          </w:tcPr>
          <w:p>
            <w:pPr>
              <w:ind w:left="520"/>
              <w:spacing w:after="0"/>
              <w:rPr>
                <w:sz w:val="20"/>
                <w:szCs w:val="20"/>
                <w:color w:val="auto"/>
              </w:rPr>
            </w:pPr>
            <w:r>
              <w:rPr>
                <w:rFonts w:ascii="Arial" w:cs="Arial" w:eastAsia="Arial" w:hAnsi="Arial"/>
                <w:sz w:val="14"/>
                <w:szCs w:val="14"/>
                <w:color w:val="auto"/>
              </w:rPr>
              <w:t>Net operating losses and tax credit carryforwards were as follows (in thousands):</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22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8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8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 2022</w:t>
            </w:r>
          </w:p>
        </w:tc>
        <w:tc>
          <w:tcPr>
            <w:tcW w:w="280" w:type="dxa"/>
            <w:vAlign w:val="bottom"/>
          </w:tcPr>
          <w:p>
            <w:pPr>
              <w:spacing w:after="0"/>
              <w:rPr>
                <w:sz w:val="21"/>
                <w:szCs w:val="21"/>
                <w:color w:val="auto"/>
              </w:rPr>
            </w:pPr>
          </w:p>
        </w:tc>
        <w:tc>
          <w:tcPr>
            <w:tcW w:w="1200" w:type="dxa"/>
            <w:vAlign w:val="bottom"/>
          </w:tcPr>
          <w:p>
            <w:pPr>
              <w:jc w:val="right"/>
              <w:ind w:right="291"/>
              <w:spacing w:after="0"/>
              <w:rPr>
                <w:sz w:val="20"/>
                <w:szCs w:val="20"/>
                <w:color w:val="auto"/>
              </w:rPr>
            </w:pPr>
            <w:r>
              <w:rPr>
                <w:rFonts w:ascii="Arial" w:cs="Arial" w:eastAsia="Arial" w:hAnsi="Arial"/>
                <w:sz w:val="11"/>
                <w:szCs w:val="11"/>
                <w:b w:val="1"/>
                <w:bCs w:val="1"/>
                <w:color w:val="auto"/>
              </w:rPr>
              <w:t>Expiration Year</w:t>
            </w:r>
          </w:p>
        </w:tc>
        <w:tc>
          <w:tcPr>
            <w:tcW w:w="0" w:type="dxa"/>
            <w:vAlign w:val="bottom"/>
          </w:tcPr>
          <w:p>
            <w:pPr>
              <w:spacing w:after="0"/>
              <w:rPr>
                <w:sz w:val="1"/>
                <w:szCs w:val="1"/>
                <w:color w:val="auto"/>
              </w:rPr>
            </w:pPr>
          </w:p>
        </w:tc>
      </w:tr>
      <w:tr>
        <w:trPr>
          <w:trHeight w:val="30"/>
        </w:trPr>
        <w:tc>
          <w:tcPr>
            <w:tcW w:w="82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operating losses, federal (starting from January 1, 2018)</w:t>
            </w:r>
          </w:p>
        </w:tc>
        <w:tc>
          <w:tcPr>
            <w:tcW w:w="180" w:type="dxa"/>
            <w:vAlign w:val="bottom"/>
            <w:tcBorders>
              <w:bottom w:val="single" w:sz="8" w:color="CFF0FC"/>
            </w:tcBorders>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190,697</w:t>
            </w:r>
          </w:p>
        </w:tc>
        <w:tc>
          <w:tcPr>
            <w:tcW w:w="10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CFF0FC"/>
            </w:tcBorders>
            <w:shd w:val="clear" w:color="auto" w:fill="CFF0FC"/>
          </w:tcPr>
          <w:p>
            <w:pPr>
              <w:jc w:val="right"/>
              <w:ind w:right="231"/>
              <w:spacing w:after="0"/>
              <w:rPr>
                <w:sz w:val="20"/>
                <w:szCs w:val="20"/>
                <w:color w:val="auto"/>
              </w:rPr>
            </w:pPr>
            <w:r>
              <w:rPr>
                <w:rFonts w:ascii="Arial" w:cs="Arial" w:eastAsia="Arial" w:hAnsi="Arial"/>
                <w:sz w:val="14"/>
                <w:szCs w:val="14"/>
                <w:color w:val="auto"/>
                <w:w w:val="89"/>
              </w:rPr>
              <w:t>Does not expire</w:t>
            </w:r>
          </w:p>
        </w:tc>
        <w:tc>
          <w:tcPr>
            <w:tcW w:w="0" w:type="dxa"/>
            <w:vAlign w:val="bottom"/>
          </w:tcPr>
          <w:p>
            <w:pPr>
              <w:spacing w:after="0"/>
              <w:rPr>
                <w:sz w:val="1"/>
                <w:szCs w:val="1"/>
                <w:color w:val="auto"/>
              </w:rPr>
            </w:pP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Net operating losses, federal (before January 1, 2018)</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29,486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211"/>
              <w:spacing w:after="0"/>
              <w:rPr>
                <w:sz w:val="20"/>
                <w:szCs w:val="20"/>
                <w:color w:val="auto"/>
              </w:rPr>
            </w:pPr>
            <w:r>
              <w:rPr>
                <w:rFonts w:ascii="Arial" w:cs="Arial" w:eastAsia="Arial" w:hAnsi="Arial"/>
                <w:sz w:val="14"/>
                <w:szCs w:val="14"/>
                <w:color w:val="auto"/>
                <w:w w:val="89"/>
              </w:rPr>
              <w:t>2035-2037</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operating losses, state</w:t>
            </w:r>
          </w:p>
        </w:tc>
        <w:tc>
          <w:tcPr>
            <w:tcW w:w="180" w:type="dxa"/>
            <w:vAlign w:val="bottom"/>
            <w:tcBorders>
              <w:bottom w:val="single" w:sz="8" w:color="CFF0FC"/>
            </w:tcBorders>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278,930</w:t>
            </w:r>
          </w:p>
        </w:tc>
        <w:tc>
          <w:tcPr>
            <w:tcW w:w="1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CFF0FC"/>
            </w:tcBorders>
            <w:shd w:val="clear" w:color="auto" w:fill="CFF0FC"/>
          </w:tcPr>
          <w:p>
            <w:pPr>
              <w:jc w:val="center"/>
              <w:ind w:right="211"/>
              <w:spacing w:after="0"/>
              <w:rPr>
                <w:sz w:val="20"/>
                <w:szCs w:val="20"/>
                <w:color w:val="auto"/>
              </w:rPr>
            </w:pPr>
            <w:r>
              <w:rPr>
                <w:rFonts w:ascii="Arial" w:cs="Arial" w:eastAsia="Arial" w:hAnsi="Arial"/>
                <w:sz w:val="14"/>
                <w:szCs w:val="14"/>
                <w:color w:val="auto"/>
                <w:w w:val="89"/>
              </w:rPr>
              <w:t>2035-2042</w:t>
            </w:r>
          </w:p>
        </w:tc>
        <w:tc>
          <w:tcPr>
            <w:tcW w:w="0" w:type="dxa"/>
            <w:vAlign w:val="bottom"/>
          </w:tcPr>
          <w:p>
            <w:pPr>
              <w:spacing w:after="0"/>
              <w:rPr>
                <w:sz w:val="1"/>
                <w:szCs w:val="1"/>
                <w:color w:val="auto"/>
              </w:rPr>
            </w:pPr>
          </w:p>
        </w:tc>
      </w:tr>
      <w:tr>
        <w:trPr>
          <w:trHeight w:val="191"/>
        </w:trPr>
        <w:tc>
          <w:tcPr>
            <w:tcW w:w="8220" w:type="dxa"/>
            <w:vAlign w:val="bottom"/>
          </w:tcPr>
          <w:p>
            <w:pPr>
              <w:ind w:left="20"/>
              <w:spacing w:after="0"/>
              <w:rPr>
                <w:sz w:val="20"/>
                <w:szCs w:val="20"/>
                <w:color w:val="auto"/>
              </w:rPr>
            </w:pPr>
            <w:r>
              <w:rPr>
                <w:rFonts w:ascii="Arial" w:cs="Arial" w:eastAsia="Arial" w:hAnsi="Arial"/>
                <w:sz w:val="14"/>
                <w:szCs w:val="14"/>
                <w:color w:val="auto"/>
              </w:rPr>
              <w:t>Tax credits, federal</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20,193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211"/>
              <w:spacing w:after="0"/>
              <w:rPr>
                <w:sz w:val="20"/>
                <w:szCs w:val="20"/>
                <w:color w:val="auto"/>
              </w:rPr>
            </w:pPr>
            <w:r>
              <w:rPr>
                <w:rFonts w:ascii="Arial" w:cs="Arial" w:eastAsia="Arial" w:hAnsi="Arial"/>
                <w:sz w:val="14"/>
                <w:szCs w:val="14"/>
                <w:color w:val="auto"/>
                <w:w w:val="89"/>
              </w:rPr>
              <w:t>2036-2042</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Tax credits, state</w:t>
            </w:r>
          </w:p>
        </w:tc>
        <w:tc>
          <w:tcPr>
            <w:tcW w:w="18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5,587</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231"/>
              <w:spacing w:after="0"/>
              <w:rPr>
                <w:sz w:val="20"/>
                <w:szCs w:val="20"/>
                <w:color w:val="auto"/>
              </w:rPr>
            </w:pPr>
            <w:r>
              <w:rPr>
                <w:rFonts w:ascii="Arial" w:cs="Arial" w:eastAsia="Arial" w:hAnsi="Arial"/>
                <w:sz w:val="14"/>
                <w:szCs w:val="14"/>
                <w:color w:val="auto"/>
                <w:w w:val="89"/>
              </w:rPr>
              <w:t>Does not expire</w:t>
            </w:r>
          </w:p>
        </w:tc>
        <w:tc>
          <w:tcPr>
            <w:tcW w:w="0" w:type="dxa"/>
            <w:vAlign w:val="bottom"/>
          </w:tcPr>
          <w:p>
            <w:pPr>
              <w:spacing w:after="0"/>
              <w:rPr>
                <w:sz w:val="1"/>
                <w:szCs w:val="1"/>
                <w:color w:val="auto"/>
              </w:rPr>
            </w:pPr>
          </w:p>
        </w:tc>
      </w:tr>
      <w:tr>
        <w:trPr>
          <w:trHeight w:val="22"/>
        </w:trPr>
        <w:tc>
          <w:tcPr>
            <w:tcW w:w="8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09"/>
        <w:spacing w:after="0" w:line="288" w:lineRule="auto"/>
        <w:rPr>
          <w:sz w:val="20"/>
          <w:szCs w:val="20"/>
          <w:color w:val="auto"/>
        </w:rPr>
      </w:pPr>
      <w:r>
        <w:rPr>
          <w:rFonts w:ascii="Arial" w:cs="Arial" w:eastAsia="Arial" w:hAnsi="Arial"/>
          <w:sz w:val="13"/>
          <w:szCs w:val="13"/>
          <w:color w:val="auto"/>
        </w:rPr>
        <w:t>Utilization of the net operating loss carryforwards and research credit carryforwards may be subject to an annual limitation due to the ownership percentage change limitations provided by the Internal Revenue Code (“IRC”) and similar state provisions. Annual limitations may result in the expiration of the net operating losses and tax credit carryforwards before they are utilized. The Company performed a IRC Section 382 analysis through December 31, 2022 and does not expect any previous ownership changes to result in a limitation that will reduce the total amount of net operating loss and tax credit carryforwards disclosed that can be utilized. Subsequent ownership changes may affect the limitation in future years.</w:t>
      </w:r>
    </w:p>
    <w:p>
      <w:pPr>
        <w:spacing w:after="0" w:line="99" w:lineRule="exact"/>
        <w:rPr>
          <w:sz w:val="20"/>
          <w:szCs w:val="20"/>
          <w:color w:val="auto"/>
        </w:rPr>
      </w:pPr>
    </w:p>
    <w:p>
      <w:pPr>
        <w:jc w:val="both"/>
        <w:ind w:right="360" w:firstLine="509"/>
        <w:spacing w:after="0" w:line="267" w:lineRule="auto"/>
        <w:rPr>
          <w:sz w:val="20"/>
          <w:szCs w:val="20"/>
          <w:color w:val="auto"/>
        </w:rPr>
      </w:pPr>
      <w:r>
        <w:rPr>
          <w:rFonts w:ascii="Arial" w:cs="Arial" w:eastAsia="Arial" w:hAnsi="Arial"/>
          <w:sz w:val="14"/>
          <w:szCs w:val="14"/>
          <w:color w:val="auto"/>
        </w:rPr>
        <w:t>During the years ended December 31, 2022 and 2021, the Company recorded a full valuation allowance on federal and state deferred balances since management does not forecast the Company to be in a profitable position in the near future. Changes in the valuation allowance for deferred tax assets during the years ended December 31, 2022 and 2021 related primarily to the increases in net operating loss carryforwards and research and development tax credit carryforwards and were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3"/>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140" w:type="dxa"/>
            <w:vAlign w:val="bottom"/>
          </w:tcPr>
          <w:p>
            <w:pPr>
              <w:spacing w:after="0"/>
              <w:rPr>
                <w:sz w:val="12"/>
                <w:szCs w:val="12"/>
                <w:color w:val="auto"/>
              </w:rPr>
            </w:pPr>
          </w:p>
        </w:tc>
        <w:tc>
          <w:tcPr>
            <w:tcW w:w="496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2022</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jc w:val="right"/>
              <w:ind w:right="553"/>
              <w:spacing w:after="0"/>
              <w:rPr>
                <w:sz w:val="20"/>
                <w:szCs w:val="20"/>
                <w:color w:val="auto"/>
              </w:rPr>
            </w:pPr>
            <w:r>
              <w:rPr>
                <w:rFonts w:ascii="Arial" w:cs="Arial" w:eastAsia="Arial" w:hAnsi="Arial"/>
                <w:sz w:val="11"/>
                <w:szCs w:val="11"/>
                <w:b w:val="1"/>
                <w:bCs w:val="1"/>
                <w:color w:val="auto"/>
                <w:w w:val="97"/>
              </w:rPr>
              <w:t>2021</w:t>
            </w:r>
          </w:p>
        </w:tc>
        <w:tc>
          <w:tcPr>
            <w:tcW w:w="0" w:type="dxa"/>
            <w:vAlign w:val="bottom"/>
          </w:tcPr>
          <w:p>
            <w:pPr>
              <w:spacing w:after="0"/>
              <w:rPr>
                <w:sz w:val="1"/>
                <w:szCs w:val="1"/>
                <w:color w:val="auto"/>
              </w:rPr>
            </w:pPr>
          </w:p>
        </w:tc>
      </w:tr>
      <w:tr>
        <w:trPr>
          <w:trHeight w:val="30"/>
        </w:trPr>
        <w:tc>
          <w:tcPr>
            <w:tcW w:w="41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Valuation allowance at the beginning of the year</w:t>
            </w:r>
          </w:p>
        </w:tc>
        <w:tc>
          <w:tcPr>
            <w:tcW w:w="496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67,684</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35,441</w:t>
            </w:r>
          </w:p>
        </w:tc>
        <w:tc>
          <w:tcPr>
            <w:tcW w:w="0" w:type="dxa"/>
            <w:vAlign w:val="bottom"/>
          </w:tcPr>
          <w:p>
            <w:pPr>
              <w:spacing w:after="0"/>
              <w:rPr>
                <w:sz w:val="1"/>
                <w:szCs w:val="1"/>
                <w:color w:val="auto"/>
              </w:rPr>
            </w:pPr>
          </w:p>
        </w:tc>
      </w:tr>
      <w:tr>
        <w:trPr>
          <w:trHeight w:val="191"/>
        </w:trPr>
        <w:tc>
          <w:tcPr>
            <w:tcW w:w="4140" w:type="dxa"/>
            <w:vAlign w:val="bottom"/>
          </w:tcPr>
          <w:p>
            <w:pPr>
              <w:ind w:left="20"/>
              <w:spacing w:after="0"/>
              <w:rPr>
                <w:sz w:val="20"/>
                <w:szCs w:val="20"/>
                <w:color w:val="auto"/>
              </w:rPr>
            </w:pPr>
            <w:r>
              <w:rPr>
                <w:rFonts w:ascii="Arial" w:cs="Arial" w:eastAsia="Arial" w:hAnsi="Arial"/>
                <w:sz w:val="14"/>
                <w:szCs w:val="14"/>
                <w:color w:val="auto"/>
              </w:rPr>
              <w:t>Increases recorded to income tax provision</w:t>
            </w:r>
          </w:p>
        </w:tc>
        <w:tc>
          <w:tcPr>
            <w:tcW w:w="4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38,000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32,243</w:t>
            </w:r>
          </w:p>
        </w:tc>
        <w:tc>
          <w:tcPr>
            <w:tcW w:w="0" w:type="dxa"/>
            <w:vAlign w:val="bottom"/>
          </w:tcPr>
          <w:p>
            <w:pPr>
              <w:spacing w:after="0"/>
              <w:rPr>
                <w:sz w:val="1"/>
                <w:szCs w:val="1"/>
                <w:color w:val="auto"/>
              </w:rPr>
            </w:pPr>
          </w:p>
        </w:tc>
      </w:tr>
      <w:tr>
        <w:trPr>
          <w:trHeight w:val="22"/>
        </w:trPr>
        <w:tc>
          <w:tcPr>
            <w:tcW w:w="414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Valuation allowance at the end of the year</w:t>
            </w:r>
          </w:p>
        </w:tc>
        <w:tc>
          <w:tcPr>
            <w:tcW w:w="496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105,684</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67,684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jc w:val="right"/>
              <w:ind w:right="2393"/>
              <w:spacing w:after="0"/>
              <w:rPr>
                <w:sz w:val="20"/>
                <w:szCs w:val="20"/>
                <w:color w:val="auto"/>
              </w:rPr>
            </w:pPr>
            <w:r>
              <w:rPr>
                <w:rFonts w:ascii="Arial" w:cs="Arial" w:eastAsia="Arial" w:hAnsi="Arial"/>
                <w:sz w:val="14"/>
                <w:szCs w:val="14"/>
                <w:color w:val="auto"/>
              </w:rPr>
              <w:t>109</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4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40" w:type="dxa"/>
            <w:vAlign w:val="bottom"/>
            <w:tcBorders>
              <w:bottom w:val="single" w:sz="8" w:color="9A9A9A"/>
            </w:tcBorders>
          </w:tcPr>
          <w:p>
            <w:pPr>
              <w:spacing w:after="0"/>
              <w:rPr>
                <w:sz w:val="7"/>
                <w:szCs w:val="7"/>
                <w:color w:val="auto"/>
              </w:rPr>
            </w:pPr>
          </w:p>
        </w:tc>
        <w:tc>
          <w:tcPr>
            <w:tcW w:w="40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60" w:firstLine="509"/>
        <w:spacing w:after="0" w:line="267" w:lineRule="auto"/>
        <w:rPr>
          <w:sz w:val="20"/>
          <w:szCs w:val="20"/>
          <w:color w:val="auto"/>
        </w:rPr>
      </w:pPr>
      <w:r>
        <w:rPr>
          <w:rFonts w:ascii="Arial" w:cs="Arial" w:eastAsia="Arial" w:hAnsi="Arial"/>
          <w:sz w:val="14"/>
          <w:szCs w:val="14"/>
          <w:color w:val="auto"/>
        </w:rPr>
        <w:t>The Company’s U.S. federal and state income tax returns are generally subject to tax examinations for the tax years ended December 31, 2017 through December 31, 2022. There are currently no pending income tax examinations. To the extent the Company has tax attribute carryforwards, the tax years in which the attribute was generated may still be adjusted upon examination by the Internal Revenue Service and state tax authorities to the extent utilized in a future period.</w:t>
      </w:r>
    </w:p>
    <w:p>
      <w:pPr>
        <w:spacing w:after="0" w:line="120"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The entire amount of the unrecognized tax benefits would not impact the Company’s effective tax rate if recognized. The Company's accounting policy is to include interest and penalties as a component of tax expense. During the years ended December 31, 2022 and 2021,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reconciliation of the beginning and ending amount of unrecognized tax benefits is as follows (in thousands):</w:t>
      </w:r>
    </w:p>
    <w:p>
      <w:pPr>
        <w:spacing w:after="0" w:line="119" w:lineRule="exact"/>
        <w:rPr>
          <w:sz w:val="20"/>
          <w:szCs w:val="20"/>
          <w:color w:val="auto"/>
        </w:rPr>
      </w:pPr>
    </w:p>
    <w:tbl>
      <w:tblPr>
        <w:tblLayout w:type="fixed"/>
        <w:tblInd w:w="760" w:type="dxa"/>
        <w:tblCellMar>
          <w:top w:w="0" w:type="dxa"/>
          <w:left w:w="0" w:type="dxa"/>
          <w:bottom w:w="0" w:type="dxa"/>
          <w:right w:w="0" w:type="dxa"/>
        </w:tblCellMar>
      </w:tblPr>
      <w:tr>
        <w:trPr>
          <w:trHeight w:val="147"/>
        </w:trPr>
        <w:tc>
          <w:tcPr>
            <w:tcW w:w="6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00" w:type="dxa"/>
            <w:vAlign w:val="bottom"/>
            <w:gridSpan w:val="3"/>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30"/>
        </w:trPr>
        <w:tc>
          <w:tcPr>
            <w:tcW w:w="6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41"/>
        </w:trPr>
        <w:tc>
          <w:tcPr>
            <w:tcW w:w="66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right"/>
              <w:ind w:right="572"/>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Pr>
          <w:p>
            <w:pPr>
              <w:spacing w:after="0"/>
              <w:rPr>
                <w:sz w:val="12"/>
                <w:szCs w:val="12"/>
                <w:color w:val="auto"/>
              </w:rPr>
            </w:pPr>
          </w:p>
        </w:tc>
      </w:tr>
      <w:tr>
        <w:trPr>
          <w:trHeight w:val="30"/>
        </w:trPr>
        <w:tc>
          <w:tcPr>
            <w:tcW w:w="6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183"/>
        </w:trPr>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January 1</w:t>
            </w:r>
          </w:p>
        </w:tc>
        <w:tc>
          <w:tcPr>
            <w:tcW w:w="88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3,505</w:t>
            </w: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91"/>
        </w:trPr>
        <w:tc>
          <w:tcPr>
            <w:tcW w:w="6620" w:type="dxa"/>
            <w:vAlign w:val="bottom"/>
          </w:tcPr>
          <w:p>
            <w:pPr>
              <w:spacing w:after="0"/>
              <w:rPr>
                <w:sz w:val="20"/>
                <w:szCs w:val="20"/>
                <w:color w:val="auto"/>
              </w:rPr>
            </w:pPr>
            <w:r>
              <w:rPr>
                <w:rFonts w:ascii="Arial" w:cs="Arial" w:eastAsia="Arial" w:hAnsi="Arial"/>
                <w:sz w:val="14"/>
                <w:szCs w:val="14"/>
                <w:color w:val="auto"/>
              </w:rPr>
              <w:t>Additions based on tax positions related to current year</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1,547</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1,081</w:t>
            </w:r>
          </w:p>
        </w:tc>
        <w:tc>
          <w:tcPr>
            <w:tcW w:w="80" w:type="dxa"/>
            <w:vAlign w:val="bottom"/>
          </w:tcPr>
          <w:p>
            <w:pPr>
              <w:spacing w:after="0"/>
              <w:rPr>
                <w:sz w:val="16"/>
                <w:szCs w:val="16"/>
                <w:color w:val="auto"/>
              </w:rPr>
            </w:pPr>
          </w:p>
        </w:tc>
      </w:tr>
      <w:tr>
        <w:trPr>
          <w:trHeight w:val="22"/>
        </w:trPr>
        <w:tc>
          <w:tcPr>
            <w:tcW w:w="6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Additions for tax positions of prior year</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81"/>
        </w:trPr>
        <w:tc>
          <w:tcPr>
            <w:tcW w:w="6620" w:type="dxa"/>
            <w:vAlign w:val="bottom"/>
          </w:tcPr>
          <w:p>
            <w:pPr>
              <w:spacing w:after="0"/>
              <w:rPr>
                <w:sz w:val="20"/>
                <w:szCs w:val="20"/>
                <w:color w:val="auto"/>
              </w:rPr>
            </w:pPr>
            <w:r>
              <w:rPr>
                <w:rFonts w:ascii="Arial" w:cs="Arial" w:eastAsia="Arial" w:hAnsi="Arial"/>
                <w:sz w:val="14"/>
                <w:szCs w:val="14"/>
                <w:color w:val="auto"/>
              </w:rPr>
              <w:t>December 31</w:t>
            </w:r>
          </w:p>
        </w:tc>
        <w:tc>
          <w:tcPr>
            <w:tcW w:w="880" w:type="dxa"/>
            <w:vAlign w:val="bottom"/>
            <w:tcBorders>
              <w:top w:val="single" w:sz="8" w:color="auto"/>
            </w:tcBorders>
          </w:tcPr>
          <w:p>
            <w:pPr>
              <w:jc w:val="right"/>
              <w:ind w:right="734"/>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5,196</w:t>
            </w:r>
          </w:p>
        </w:tc>
        <w:tc>
          <w:tcPr>
            <w:tcW w:w="120" w:type="dxa"/>
            <w:vAlign w:val="bottom"/>
          </w:tcPr>
          <w:p>
            <w:pPr>
              <w:spacing w:after="0"/>
              <w:rPr>
                <w:sz w:val="15"/>
                <w:szCs w:val="15"/>
                <w:color w:val="auto"/>
              </w:rPr>
            </w:pPr>
          </w:p>
        </w:tc>
        <w:tc>
          <w:tcPr>
            <w:tcW w:w="580" w:type="dxa"/>
            <w:vAlign w:val="bottom"/>
            <w:tcBorders>
              <w:top w:val="single" w:sz="8" w:color="auto"/>
            </w:tcBorders>
          </w:tcPr>
          <w:p>
            <w:pPr>
              <w:jc w:val="right"/>
              <w:ind w:right="46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3,505</w:t>
            </w:r>
          </w:p>
        </w:tc>
        <w:tc>
          <w:tcPr>
            <w:tcW w:w="80" w:type="dxa"/>
            <w:vAlign w:val="bottom"/>
          </w:tcPr>
          <w:p>
            <w:pPr>
              <w:spacing w:after="0"/>
              <w:rPr>
                <w:sz w:val="15"/>
                <w:szCs w:val="15"/>
                <w:color w:val="auto"/>
              </w:rPr>
            </w:pPr>
          </w:p>
        </w:tc>
      </w:tr>
      <w:tr>
        <w:trPr>
          <w:trHeight w:val="22"/>
        </w:trPr>
        <w:tc>
          <w:tcPr>
            <w:tcW w:w="6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8" w:lineRule="exact"/>
        <w:rPr>
          <w:sz w:val="20"/>
          <w:szCs w:val="20"/>
          <w:color w:val="auto"/>
        </w:rPr>
      </w:pPr>
    </w:p>
    <w:p>
      <w:pPr>
        <w:ind w:right="160" w:firstLine="509"/>
        <w:spacing w:after="0" w:line="281" w:lineRule="auto"/>
        <w:rPr>
          <w:sz w:val="20"/>
          <w:szCs w:val="20"/>
          <w:color w:val="auto"/>
        </w:rPr>
      </w:pPr>
      <w:r>
        <w:rPr>
          <w:rFonts w:ascii="Arial" w:cs="Arial" w:eastAsia="Arial" w:hAnsi="Arial"/>
          <w:sz w:val="14"/>
          <w:szCs w:val="14"/>
          <w:color w:val="auto"/>
        </w:rPr>
        <w:t>Effective January 1, 2022, we are subject to mandatory capitalization of Section 174 research and development expenditures. The capitalized expenses are subject to amortization over five and fifteen years for expenses incurred within the U.S. and outside of U.S., respectively.</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12.</w:t>
      </w:r>
      <w:r>
        <w:rPr>
          <w:sz w:val="20"/>
          <w:szCs w:val="20"/>
          <w:color w:val="auto"/>
        </w:rPr>
        <w:tab/>
      </w:r>
      <w:r>
        <w:rPr>
          <w:rFonts w:ascii="Arial" w:cs="Arial" w:eastAsia="Arial" w:hAnsi="Arial"/>
          <w:sz w:val="12"/>
          <w:szCs w:val="12"/>
          <w:b w:val="1"/>
          <w:bCs w:val="1"/>
          <w:color w:val="auto"/>
        </w:rPr>
        <w:t>Commitments and Contingencies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Purchase Commitments</w:t>
      </w:r>
    </w:p>
    <w:p>
      <w:pPr>
        <w:spacing w:after="0" w:line="94" w:lineRule="exact"/>
        <w:rPr>
          <w:sz w:val="20"/>
          <w:szCs w:val="20"/>
          <w:color w:val="auto"/>
        </w:rPr>
      </w:pPr>
    </w:p>
    <w:p>
      <w:pPr>
        <w:ind w:right="480" w:firstLine="509"/>
        <w:spacing w:after="0" w:line="281" w:lineRule="auto"/>
        <w:rPr>
          <w:sz w:val="20"/>
          <w:szCs w:val="20"/>
          <w:color w:val="auto"/>
        </w:rPr>
      </w:pPr>
      <w:r>
        <w:rPr>
          <w:rFonts w:ascii="Arial" w:cs="Arial" w:eastAsia="Arial" w:hAnsi="Arial"/>
          <w:sz w:val="14"/>
          <w:szCs w:val="14"/>
          <w:color w:val="auto"/>
        </w:rPr>
        <w:t>The Company has contractual arrangements with research and development organizations and suppliers; however, these contracts are generally cancellable on 30 days’ notice and the obligations under these contracts are largely based on services performed.</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and Collaboration Agreements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Potential payments related to the Company’s license and research agreements, including milestone and royalty payments, are detailed in Note 8.</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94" w:lineRule="exact"/>
        <w:rPr>
          <w:sz w:val="20"/>
          <w:szCs w:val="20"/>
          <w:color w:val="auto"/>
        </w:rPr>
      </w:pPr>
    </w:p>
    <w:p>
      <w:pPr>
        <w:ind w:right="20" w:firstLine="509"/>
        <w:spacing w:after="0" w:line="267" w:lineRule="auto"/>
        <w:rPr>
          <w:sz w:val="20"/>
          <w:szCs w:val="20"/>
          <w:color w:val="auto"/>
        </w:rPr>
      </w:pPr>
      <w:r>
        <w:rPr>
          <w:rFonts w:ascii="Arial" w:cs="Arial" w:eastAsia="Arial" w:hAnsi="Arial"/>
          <w:sz w:val="14"/>
          <w:szCs w:val="14"/>
          <w:color w:val="auto"/>
        </w:rPr>
        <w:t>From time to time, the Company may become involved in legal proceedings arising from the ordinary course of business. The Company record a liability for such matters when it is probable that future losses will be incurred and that such losses can be reasonably estimated. Significant judgment by us is required to determine both probability and the estimated amount. Management is currently not aware of any legal matters that could have a material adverse effect on our financial position, results of operations or cash flows.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94" w:lineRule="exact"/>
        <w:rPr>
          <w:sz w:val="20"/>
          <w:szCs w:val="20"/>
          <w:color w:val="auto"/>
        </w:rPr>
      </w:pPr>
    </w:p>
    <w:p>
      <w:pPr>
        <w:ind w:right="60" w:firstLine="509"/>
        <w:spacing w:after="0" w:line="282" w:lineRule="auto"/>
        <w:rPr>
          <w:sz w:val="20"/>
          <w:szCs w:val="20"/>
          <w:color w:val="auto"/>
        </w:rPr>
      </w:pPr>
      <w:r>
        <w:rPr>
          <w:rFonts w:ascii="Arial" w:cs="Arial" w:eastAsia="Arial" w:hAnsi="Arial"/>
          <w:sz w:val="13"/>
          <w:szCs w:val="13"/>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15.</w:t>
      </w:r>
      <w:r>
        <w:rPr>
          <w:sz w:val="20"/>
          <w:szCs w:val="20"/>
          <w:color w:val="auto"/>
        </w:rPr>
        <w:tab/>
      </w:r>
      <w:r>
        <w:rPr>
          <w:rFonts w:ascii="Arial" w:cs="Arial" w:eastAsia="Arial" w:hAnsi="Arial"/>
          <w:sz w:val="11"/>
          <w:szCs w:val="11"/>
          <w:b w:val="1"/>
          <w:bCs w:val="1"/>
          <w:color w:val="auto"/>
        </w:rPr>
        <w:t>Leases</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On January 1, 2021, the Company adopted ASC 842 and the following disclosures as of and for the years ended December 31, 2022 and 2021 are presented under ASC 842.</w:t>
      </w:r>
    </w:p>
    <w:p>
      <w:pPr>
        <w:spacing w:after="0" w:line="105" w:lineRule="exact"/>
        <w:rPr>
          <w:sz w:val="20"/>
          <w:szCs w:val="20"/>
          <w:color w:val="auto"/>
        </w:rPr>
      </w:pPr>
    </w:p>
    <w:p>
      <w:pPr>
        <w:ind w:firstLine="509"/>
        <w:spacing w:after="0" w:line="257" w:lineRule="auto"/>
        <w:rPr>
          <w:sz w:val="20"/>
          <w:szCs w:val="20"/>
          <w:color w:val="auto"/>
        </w:rPr>
      </w:pPr>
      <w:r>
        <w:rPr>
          <w:rFonts w:ascii="Arial" w:cs="Arial" w:eastAsia="Arial" w:hAnsi="Arial"/>
          <w:sz w:val="14"/>
          <w:szCs w:val="14"/>
          <w:color w:val="auto"/>
        </w:rPr>
        <w:t>In February 2018, the Company entered into a non-cancelable lease agreement (the “Lease”) for premises consisting of approximately 32,974 square feet located in South San Francisco, California (the “Premises”). The Company moved into the Premises in July 2018. The Premises is being used for the Company’s corporate headquarters and principal operating facility. The term of the Lease is eighty-four months, which commenced on July 1, 2018. Base rent was abated for the first two months of the lease term and thereafter is $0.2 million per month during the first year of the lease term, with specified annual increases thereafter. The Company paid a refundable security deposit of approximately $0.4 million, which is included in other non-current assets in the Balance Sheets at December 31, 2022 and 2021. The Company has the right to extend the lease term by seven years upon written notice not more than twelve months nor less than nine months prior to the expiration of the original lease term, with monthly payments equal to the “fair rental value” as defined in the Lease. The exercise of lease renewal options is at the sole discretion of the Company and is not included in the ROU asset and lease liability as it is not reasonably certain of exercise. This lease does not contain material variable rent payments, residual value guarantees, covenants, or other restrictions.</w:t>
      </w:r>
    </w:p>
    <w:p>
      <w:pPr>
        <w:spacing w:after="0" w:line="64" w:lineRule="exact"/>
        <w:rPr>
          <w:sz w:val="20"/>
          <w:szCs w:val="20"/>
          <w:color w:val="auto"/>
        </w:rPr>
      </w:pPr>
    </w:p>
    <w:p>
      <w:pPr>
        <w:ind w:right="20" w:firstLine="509"/>
        <w:spacing w:after="0" w:line="260" w:lineRule="auto"/>
        <w:rPr>
          <w:sz w:val="20"/>
          <w:szCs w:val="20"/>
          <w:color w:val="auto"/>
        </w:rPr>
      </w:pPr>
      <w:r>
        <w:rPr>
          <w:rFonts w:ascii="Arial" w:cs="Arial" w:eastAsia="Arial" w:hAnsi="Arial"/>
          <w:sz w:val="14"/>
          <w:szCs w:val="14"/>
          <w:color w:val="auto"/>
        </w:rPr>
        <w:t>In August 2022, the Company entered into a non-cancelable lease agreement for premises consisting of approximately 12,456 square feet located in South San Francisco, California. The premises is being used as additional office space for the Company. The term of the lease is 18 months, which commenced on August 1, 2022. Base rent is $0.1 million per month during the first year of the lease term, with specified annual increases of 3% thereafter. The Company has the right to extend the lease term by 3 years with monthly payments equal to the market rate of rent. The exercise of lease renewal options is at the sole discretion of the Company and is not included in the right-of-use (ROU) asset and lease liability as it is not reasonably certain of exercise. This lease does not contain material variable rent payments, residual value guarantees, covenants, or other restrictions.</w:t>
      </w:r>
    </w:p>
    <w:p>
      <w:pPr>
        <w:spacing w:after="0" w:line="62" w:lineRule="exact"/>
        <w:rPr>
          <w:sz w:val="20"/>
          <w:szCs w:val="20"/>
          <w:color w:val="auto"/>
        </w:rPr>
      </w:pPr>
    </w:p>
    <w:p>
      <w:pPr>
        <w:ind w:right="80" w:firstLine="509"/>
        <w:spacing w:after="0" w:line="288" w:lineRule="auto"/>
        <w:rPr>
          <w:sz w:val="20"/>
          <w:szCs w:val="20"/>
          <w:color w:val="auto"/>
        </w:rPr>
      </w:pPr>
      <w:r>
        <w:rPr>
          <w:rFonts w:ascii="Arial" w:cs="Arial" w:eastAsia="Arial" w:hAnsi="Arial"/>
          <w:sz w:val="13"/>
          <w:szCs w:val="13"/>
          <w:color w:val="auto"/>
        </w:rPr>
        <w:t>For the years ended December 31, 2022 and 2021, the Company recognized expenses associated with the operating leases of $2.5 million and $2.3 million, respectively. Additionally for those same years, the Company incurred variable lease costs of $0.7 million and $0.9 million, respectively, which is comprised primarily of the Company's proportionate share of operating expenses, property taxes, and insurance. Short-term lease expense and variable lease payments recorded in operating expenses were immaterial for the years ended December 31, 2022 and 2021. For the years ended December 31, 2022 and 2021, cash paid for amounts included in the measurement of operating lease liabilities was $2.7 million and $2.4 million, respectively.</w:t>
      </w:r>
    </w:p>
    <w:p>
      <w:pPr>
        <w:spacing w:after="0" w:line="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undiscounted future non-cancellable lease payments of the Company's operating lease liability as of December 31, 2022 were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480" w:type="dxa"/>
            <w:vAlign w:val="bottom"/>
            <w:gridSpan w:val="4"/>
          </w:tcPr>
          <w:p>
            <w:pPr>
              <w:ind w:left="20"/>
              <w:spacing w:after="0"/>
              <w:rPr>
                <w:sz w:val="20"/>
                <w:szCs w:val="20"/>
                <w:color w:val="auto"/>
              </w:rPr>
            </w:pPr>
            <w:r>
              <w:rPr>
                <w:rFonts w:ascii="Arial" w:cs="Arial" w:eastAsia="Arial" w:hAnsi="Arial"/>
                <w:sz w:val="11"/>
                <w:szCs w:val="11"/>
                <w:b w:val="1"/>
                <w:bCs w:val="1"/>
                <w:color w:val="auto"/>
              </w:rPr>
              <w:t>Year ending December 31:</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20" w:type="dxa"/>
            <w:vAlign w:val="bottom"/>
            <w:gridSpan w:val="2"/>
          </w:tcPr>
          <w:p>
            <w:pPr>
              <w:jc w:val="right"/>
              <w:ind w:right="769"/>
              <w:spacing w:after="0"/>
              <w:rPr>
                <w:sz w:val="20"/>
                <w:szCs w:val="20"/>
                <w:color w:val="auto"/>
              </w:rPr>
            </w:pPr>
            <w:r>
              <w:rPr>
                <w:rFonts w:ascii="Arial" w:cs="Arial" w:eastAsia="Arial" w:hAnsi="Arial"/>
                <w:sz w:val="11"/>
                <w:szCs w:val="11"/>
                <w:b w:val="1"/>
                <w:bCs w:val="1"/>
                <w:color w:val="auto"/>
              </w:rPr>
              <w:t>Operating Leases</w:t>
            </w:r>
          </w:p>
        </w:tc>
        <w:tc>
          <w:tcPr>
            <w:tcW w:w="0" w:type="dxa"/>
            <w:vAlign w:val="bottom"/>
          </w:tcPr>
          <w:p>
            <w:pPr>
              <w:spacing w:after="0"/>
              <w:rPr>
                <w:sz w:val="1"/>
                <w:szCs w:val="1"/>
                <w:color w:val="auto"/>
              </w:rPr>
            </w:pPr>
          </w:p>
        </w:tc>
      </w:tr>
      <w:tr>
        <w:trPr>
          <w:trHeight w:val="30"/>
        </w:trPr>
        <w:tc>
          <w:tcPr>
            <w:tcW w:w="60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46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gridSpan w:val="5"/>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2,836</w:t>
            </w:r>
          </w:p>
        </w:tc>
        <w:tc>
          <w:tcPr>
            <w:tcW w:w="0" w:type="dxa"/>
            <w:vAlign w:val="bottom"/>
          </w:tcPr>
          <w:p>
            <w:pPr>
              <w:spacing w:after="0"/>
              <w:rPr>
                <w:sz w:val="1"/>
                <w:szCs w:val="1"/>
                <w:color w:val="auto"/>
              </w:rPr>
            </w:pPr>
          </w:p>
        </w:tc>
      </w:tr>
      <w:tr>
        <w:trPr>
          <w:trHeight w:val="191"/>
        </w:trPr>
        <w:tc>
          <w:tcPr>
            <w:tcW w:w="600" w:type="dxa"/>
            <w:vAlign w:val="bottom"/>
          </w:tcPr>
          <w:p>
            <w:pPr>
              <w:ind w:left="20"/>
              <w:spacing w:after="0"/>
              <w:rPr>
                <w:sz w:val="20"/>
                <w:szCs w:val="20"/>
                <w:color w:val="auto"/>
              </w:rPr>
            </w:pPr>
            <w:r>
              <w:rPr>
                <w:rFonts w:ascii="Arial" w:cs="Arial" w:eastAsia="Arial" w:hAnsi="Arial"/>
                <w:sz w:val="14"/>
                <w:szCs w:val="14"/>
                <w:color w:val="auto"/>
              </w:rPr>
              <w:t>2024</w:t>
            </w:r>
          </w:p>
        </w:tc>
        <w:tc>
          <w:tcPr>
            <w:tcW w:w="4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2"/>
          </w:tcPr>
          <w:p>
            <w:pPr>
              <w:jc w:val="right"/>
              <w:spacing w:after="0"/>
              <w:rPr>
                <w:sz w:val="20"/>
                <w:szCs w:val="20"/>
                <w:color w:val="auto"/>
              </w:rPr>
            </w:pPr>
            <w:r>
              <w:rPr>
                <w:rFonts w:ascii="Arial" w:cs="Arial" w:eastAsia="Arial" w:hAnsi="Arial"/>
                <w:sz w:val="14"/>
                <w:szCs w:val="14"/>
                <w:color w:val="auto"/>
              </w:rPr>
              <w:t>2,422</w:t>
            </w:r>
          </w:p>
        </w:tc>
        <w:tc>
          <w:tcPr>
            <w:tcW w:w="0" w:type="dxa"/>
            <w:vAlign w:val="bottom"/>
          </w:tcPr>
          <w:p>
            <w:pPr>
              <w:spacing w:after="0"/>
              <w:rPr>
                <w:sz w:val="1"/>
                <w:szCs w:val="1"/>
                <w:color w:val="auto"/>
              </w:rPr>
            </w:pPr>
          </w:p>
        </w:tc>
      </w:tr>
      <w:tr>
        <w:trPr>
          <w:trHeight w:val="22"/>
        </w:trPr>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46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1,202</w:t>
            </w:r>
          </w:p>
        </w:tc>
        <w:tc>
          <w:tcPr>
            <w:tcW w:w="0" w:type="dxa"/>
            <w:vAlign w:val="bottom"/>
          </w:tcPr>
          <w:p>
            <w:pPr>
              <w:spacing w:after="0"/>
              <w:rPr>
                <w:sz w:val="1"/>
                <w:szCs w:val="1"/>
                <w:color w:val="auto"/>
              </w:rPr>
            </w:pPr>
          </w:p>
        </w:tc>
      </w:tr>
      <w:tr>
        <w:trPr>
          <w:trHeight w:val="191"/>
        </w:trPr>
        <w:tc>
          <w:tcPr>
            <w:tcW w:w="600" w:type="dxa"/>
            <w:vAlign w:val="bottom"/>
          </w:tcPr>
          <w:p>
            <w:pPr>
              <w:ind w:left="20"/>
              <w:spacing w:after="0"/>
              <w:rPr>
                <w:sz w:val="20"/>
                <w:szCs w:val="20"/>
                <w:color w:val="auto"/>
              </w:rPr>
            </w:pPr>
            <w:r>
              <w:rPr>
                <w:rFonts w:ascii="Arial" w:cs="Arial" w:eastAsia="Arial" w:hAnsi="Arial"/>
                <w:sz w:val="14"/>
                <w:szCs w:val="14"/>
                <w:color w:val="auto"/>
              </w:rPr>
              <w:t>2026</w:t>
            </w:r>
          </w:p>
        </w:tc>
        <w:tc>
          <w:tcPr>
            <w:tcW w:w="4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4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480" w:type="dxa"/>
            <w:vAlign w:val="bottom"/>
            <w:gridSpan w:val="4"/>
          </w:tcPr>
          <w:p>
            <w:pPr>
              <w:ind w:left="20"/>
              <w:spacing w:after="0"/>
              <w:rPr>
                <w:sz w:val="20"/>
                <w:szCs w:val="20"/>
                <w:color w:val="auto"/>
              </w:rPr>
            </w:pPr>
            <w:r>
              <w:rPr>
                <w:rFonts w:ascii="Arial" w:cs="Arial" w:eastAsia="Arial" w:hAnsi="Arial"/>
                <w:sz w:val="14"/>
                <w:szCs w:val="14"/>
                <w:color w:val="auto"/>
              </w:rPr>
              <w:t>Total lease payments</w:t>
            </w:r>
          </w:p>
        </w:tc>
        <w:tc>
          <w:tcPr>
            <w:tcW w:w="1280" w:type="dxa"/>
            <w:vAlign w:val="bottom"/>
            <w:gridSpan w:val="4"/>
          </w:tcPr>
          <w:p>
            <w:pPr>
              <w:spacing w:after="0"/>
              <w:rPr>
                <w:sz w:val="15"/>
                <w:szCs w:val="15"/>
                <w:color w:val="auto"/>
              </w:rPr>
            </w:pP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22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6,460</w:t>
            </w:r>
          </w:p>
        </w:tc>
        <w:tc>
          <w:tcPr>
            <w:tcW w:w="0" w:type="dxa"/>
            <w:vAlign w:val="bottom"/>
          </w:tcPr>
          <w:p>
            <w:pPr>
              <w:spacing w:after="0"/>
              <w:rPr>
                <w:sz w:val="1"/>
                <w:szCs w:val="1"/>
                <w:color w:val="auto"/>
              </w:rPr>
            </w:pPr>
          </w:p>
        </w:tc>
      </w:tr>
      <w:tr>
        <w:trPr>
          <w:trHeight w:val="22"/>
        </w:trPr>
        <w:tc>
          <w:tcPr>
            <w:tcW w:w="6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4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Less: Present value discount</w:t>
            </w: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192"/>
        </w:trPr>
        <w:tc>
          <w:tcPr>
            <w:tcW w:w="7480" w:type="dxa"/>
            <w:vAlign w:val="bottom"/>
            <w:gridSpan w:val="4"/>
          </w:tcPr>
          <w:p>
            <w:pPr>
              <w:ind w:left="20"/>
              <w:spacing w:after="0"/>
              <w:rPr>
                <w:sz w:val="20"/>
                <w:szCs w:val="20"/>
                <w:color w:val="auto"/>
              </w:rPr>
            </w:pPr>
            <w:r>
              <w:rPr>
                <w:rFonts w:ascii="Arial" w:cs="Arial" w:eastAsia="Arial" w:hAnsi="Arial"/>
                <w:sz w:val="14"/>
                <w:szCs w:val="14"/>
                <w:color w:val="auto"/>
              </w:rPr>
              <w:t>Total current operating lease liabilities</w:t>
            </w:r>
          </w:p>
        </w:tc>
        <w:tc>
          <w:tcPr>
            <w:tcW w:w="1280" w:type="dxa"/>
            <w:vAlign w:val="bottom"/>
            <w:gridSpan w:val="4"/>
          </w:tcPr>
          <w:p>
            <w:pPr>
              <w:spacing w:after="0"/>
              <w:rPr>
                <w:sz w:val="16"/>
                <w:szCs w:val="16"/>
                <w:color w:val="auto"/>
              </w:rPr>
            </w:pP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22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2,457</w:t>
            </w:r>
          </w:p>
        </w:tc>
        <w:tc>
          <w:tcPr>
            <w:tcW w:w="0" w:type="dxa"/>
            <w:vAlign w:val="bottom"/>
          </w:tcPr>
          <w:p>
            <w:pPr>
              <w:spacing w:after="0"/>
              <w:rPr>
                <w:sz w:val="1"/>
                <w:szCs w:val="1"/>
                <w:color w:val="auto"/>
              </w:rPr>
            </w:pPr>
          </w:p>
        </w:tc>
      </w:tr>
      <w:tr>
        <w:trPr>
          <w:trHeight w:val="237"/>
        </w:trPr>
        <w:tc>
          <w:tcPr>
            <w:tcW w:w="74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Total non-current operating lease liabilities</w:t>
            </w:r>
          </w:p>
        </w:tc>
        <w:tc>
          <w:tcPr>
            <w:tcW w:w="1580" w:type="dxa"/>
            <w:vAlign w:val="bottom"/>
            <w:tcBorders>
              <w:bottom w:val="single" w:sz="8" w:color="CCEEFF"/>
            </w:tcBorders>
            <w:gridSpan w:val="5"/>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3,429</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4"/>
            <w:vMerge w:val="restart"/>
          </w:tcPr>
          <w:p>
            <w:pPr>
              <w:ind w:left="520"/>
              <w:spacing w:after="0"/>
              <w:rPr>
                <w:sz w:val="20"/>
                <w:szCs w:val="20"/>
                <w:color w:val="auto"/>
              </w:rPr>
            </w:pPr>
            <w:r>
              <w:rPr>
                <w:rFonts w:ascii="Arial" w:cs="Arial" w:eastAsia="Arial" w:hAnsi="Arial"/>
                <w:sz w:val="14"/>
                <w:szCs w:val="14"/>
                <w:color w:val="auto"/>
                <w:w w:val="90"/>
              </w:rPr>
              <w:t>The weighted-average remaining lease terms and discount rates related to the Company's operating leases were as follows:</w:t>
            </w: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7480" w:type="dxa"/>
            <w:vAlign w:val="bottom"/>
            <w:gridSpan w:val="4"/>
            <w:vMerge w:val="continue"/>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60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5"/>
          </w:tcPr>
          <w:p>
            <w:pPr>
              <w:jc w:val="right"/>
              <w:ind w:right="409"/>
              <w:spacing w:after="0"/>
              <w:rPr>
                <w:sz w:val="20"/>
                <w:szCs w:val="20"/>
                <w:color w:val="auto"/>
              </w:rPr>
            </w:pPr>
            <w:r>
              <w:rPr>
                <w:rFonts w:ascii="Arial" w:cs="Arial" w:eastAsia="Arial" w:hAnsi="Arial"/>
                <w:sz w:val="11"/>
                <w:szCs w:val="11"/>
                <w:b w:val="1"/>
                <w:bCs w:val="1"/>
                <w:color w:val="auto"/>
              </w:rPr>
              <w:t>As of December 31,</w:t>
            </w:r>
          </w:p>
        </w:tc>
        <w:tc>
          <w:tcPr>
            <w:tcW w:w="1620" w:type="dxa"/>
            <w:vAlign w:val="bottom"/>
            <w:tcBorders>
              <w:bottom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600" w:type="dxa"/>
            <w:vAlign w:val="bottom"/>
          </w:tcPr>
          <w:p>
            <w:pPr>
              <w:spacing w:after="0"/>
              <w:rPr>
                <w:sz w:val="13"/>
                <w:szCs w:val="13"/>
                <w:color w:val="auto"/>
              </w:rPr>
            </w:pPr>
          </w:p>
        </w:tc>
        <w:tc>
          <w:tcPr>
            <w:tcW w:w="468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6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2022</w:t>
            </w: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1072"/>
              <w:spacing w:after="0"/>
              <w:rPr>
                <w:sz w:val="20"/>
                <w:szCs w:val="20"/>
                <w:color w:val="auto"/>
              </w:rPr>
            </w:pPr>
            <w:r>
              <w:rPr>
                <w:rFonts w:ascii="Arial" w:cs="Arial" w:eastAsia="Arial" w:hAnsi="Arial"/>
                <w:sz w:val="11"/>
                <w:szCs w:val="11"/>
                <w:b w:val="1"/>
                <w:bCs w:val="1"/>
                <w:color w:val="auto"/>
              </w:rPr>
              <w:t>2021</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00" w:type="dxa"/>
            <w:vAlign w:val="bottom"/>
          </w:tcPr>
          <w:p>
            <w:pPr>
              <w:spacing w:after="0"/>
              <w:rPr>
                <w:sz w:val="18"/>
                <w:szCs w:val="18"/>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(in years)</w:t>
            </w:r>
          </w:p>
        </w:tc>
        <w:tc>
          <w:tcPr>
            <w:tcW w:w="20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w:t>
            </w:r>
          </w:p>
        </w:tc>
        <w:tc>
          <w:tcPr>
            <w:tcW w:w="140" w:type="dxa"/>
            <w:vAlign w:val="bottom"/>
            <w:shd w:val="clear" w:color="auto" w:fill="CFF0FC"/>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0" w:type="dxa"/>
            <w:vAlign w:val="bottom"/>
          </w:tcPr>
          <w:p>
            <w:pPr>
              <w:spacing w:after="0"/>
              <w:rPr>
                <w:sz w:val="18"/>
                <w:szCs w:val="18"/>
                <w:color w:val="auto"/>
              </w:rPr>
            </w:pPr>
          </w:p>
        </w:tc>
        <w:tc>
          <w:tcPr>
            <w:tcW w:w="6880" w:type="dxa"/>
            <w:vAlign w:val="bottom"/>
            <w:gridSpan w:val="3"/>
          </w:tcPr>
          <w:p>
            <w:pPr>
              <w:ind w:left="20"/>
              <w:spacing w:after="0"/>
              <w:rPr>
                <w:sz w:val="20"/>
                <w:szCs w:val="20"/>
                <w:color w:val="auto"/>
              </w:rPr>
            </w:pPr>
            <w:r>
              <w:rPr>
                <w:rFonts w:ascii="Arial" w:cs="Arial" w:eastAsia="Arial" w:hAnsi="Arial"/>
                <w:sz w:val="14"/>
                <w:szCs w:val="14"/>
                <w:color w:val="auto"/>
              </w:rPr>
              <w:t>Weighted-average discount rate</w:t>
            </w:r>
          </w:p>
        </w:tc>
        <w:tc>
          <w:tcPr>
            <w:tcW w:w="500" w:type="dxa"/>
            <w:vAlign w:val="bottom"/>
          </w:tcPr>
          <w:p>
            <w:pPr>
              <w:jc w:val="right"/>
              <w:spacing w:after="0"/>
              <w:rPr>
                <w:sz w:val="20"/>
                <w:szCs w:val="20"/>
                <w:color w:val="auto"/>
              </w:rPr>
            </w:pPr>
            <w:r>
              <w:rPr>
                <w:rFonts w:ascii="Arial" w:cs="Arial" w:eastAsia="Arial" w:hAnsi="Arial"/>
                <w:sz w:val="14"/>
                <w:szCs w:val="14"/>
                <w:color w:val="auto"/>
              </w:rPr>
              <w:t>8.20 %</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7.9 %</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0"/>
        </w:trPr>
        <w:tc>
          <w:tcPr>
            <w:tcW w:w="7480" w:type="dxa"/>
            <w:vAlign w:val="bottom"/>
            <w:gridSpan w:val="4"/>
          </w:tcPr>
          <w:p>
            <w:pPr>
              <w:ind w:left="5540"/>
              <w:spacing w:after="0"/>
              <w:rPr>
                <w:sz w:val="20"/>
                <w:szCs w:val="20"/>
                <w:color w:val="auto"/>
              </w:rPr>
            </w:pPr>
            <w:r>
              <w:rPr>
                <w:rFonts w:ascii="Arial" w:cs="Arial" w:eastAsia="Arial" w:hAnsi="Arial"/>
                <w:sz w:val="14"/>
                <w:szCs w:val="14"/>
                <w:color w:val="auto"/>
              </w:rPr>
              <w:t>111</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600" w:type="dxa"/>
            <w:vAlign w:val="bottom"/>
            <w:tcBorders>
              <w:bottom w:val="single" w:sz="8" w:color="9A9A9A"/>
            </w:tcBorders>
          </w:tcPr>
          <w:p>
            <w:pPr>
              <w:spacing w:after="0"/>
              <w:rPr>
                <w:sz w:val="7"/>
                <w:szCs w:val="7"/>
                <w:color w:val="auto"/>
              </w:rPr>
            </w:pPr>
          </w:p>
        </w:tc>
        <w:tc>
          <w:tcPr>
            <w:tcW w:w="46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16.</w:t>
      </w:r>
      <w:r>
        <w:rPr>
          <w:sz w:val="20"/>
          <w:szCs w:val="20"/>
          <w:color w:val="auto"/>
        </w:rPr>
        <w:tab/>
      </w:r>
      <w:r>
        <w:rPr>
          <w:rFonts w:ascii="Arial" w:cs="Arial" w:eastAsia="Arial" w:hAnsi="Arial"/>
          <w:sz w:val="12"/>
          <w:szCs w:val="12"/>
          <w:b w:val="1"/>
          <w:bCs w:val="1"/>
          <w:color w:val="auto"/>
        </w:rPr>
        <w:t>Related Party Transactions</w:t>
      </w:r>
    </w:p>
    <w:p>
      <w:pPr>
        <w:spacing w:after="0" w:line="87" w:lineRule="exact"/>
        <w:rPr>
          <w:sz w:val="20"/>
          <w:szCs w:val="20"/>
          <w:color w:val="auto"/>
        </w:rPr>
      </w:pPr>
    </w:p>
    <w:p>
      <w:pPr>
        <w:ind w:firstLine="509"/>
        <w:spacing w:after="0" w:line="271" w:lineRule="auto"/>
        <w:rPr>
          <w:sz w:val="20"/>
          <w:szCs w:val="20"/>
          <w:color w:val="auto"/>
        </w:rPr>
      </w:pPr>
      <w:r>
        <w:rPr>
          <w:rFonts w:ascii="Arial" w:cs="Arial" w:eastAsia="Arial" w:hAnsi="Arial"/>
          <w:sz w:val="13"/>
          <w:szCs w:val="13"/>
          <w:color w:val="auto"/>
        </w:rPr>
        <w:t>In June 2022 and 2021, the Company granted 15,000 and 26,572 stock options with a grant date fair value of $0.1 million and $0.5 million to partners of Third Rock Ventures who were also serving as non-employee directors on the Company's Board of Directors. Both of the non-employee directors resigned from the Company's Board of Directors in 2022. The shares of common stock subject to these options vest 25% on the first day of each calendar quarter for three quarters with the final vest date being the earlier of (i) the one-year anniversary of the grant date or (ii) the next Annual Meeting of Stockholders. The stock-based compensation expense related to these options was immaterial during the years ended December 31, 2022, and 2021.</w:t>
      </w:r>
    </w:p>
    <w:p>
      <w:pPr>
        <w:spacing w:after="0" w:line="10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17.</w:t>
      </w:r>
      <w:r>
        <w:rPr>
          <w:sz w:val="20"/>
          <w:szCs w:val="20"/>
          <w:color w:val="auto"/>
        </w:rPr>
        <w:tab/>
      </w:r>
      <w:r>
        <w:rPr>
          <w:rFonts w:ascii="Arial" w:cs="Arial" w:eastAsia="Arial" w:hAnsi="Arial"/>
          <w:sz w:val="13"/>
          <w:szCs w:val="13"/>
          <w:b w:val="1"/>
          <w:bCs w:val="1"/>
          <w:color w:val="auto"/>
        </w:rPr>
        <w:t>Defined Contribution Plan</w:t>
      </w:r>
    </w:p>
    <w:p>
      <w:pPr>
        <w:spacing w:after="0" w:line="98" w:lineRule="exact"/>
        <w:rPr>
          <w:sz w:val="20"/>
          <w:szCs w:val="20"/>
          <w:color w:val="auto"/>
        </w:rPr>
      </w:pPr>
    </w:p>
    <w:p>
      <w:pPr>
        <w:ind w:right="160" w:firstLine="509"/>
        <w:spacing w:after="0" w:line="267" w:lineRule="auto"/>
        <w:rPr>
          <w:sz w:val="20"/>
          <w:szCs w:val="20"/>
          <w:color w:val="auto"/>
        </w:rPr>
      </w:pPr>
      <w:r>
        <w:rPr>
          <w:rFonts w:ascii="Arial" w:cs="Arial" w:eastAsia="Arial" w:hAnsi="Arial"/>
          <w:sz w:val="14"/>
          <w:szCs w:val="14"/>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The Company made contributions to the plan of $0.8 million and $0.6 million during the years ended December 31, 2022 and 2021, respectively.</w:t>
      </w:r>
    </w:p>
    <w:p>
      <w:pPr>
        <w:spacing w:after="0" w:line="11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18.</w:t>
      </w:r>
      <w:r>
        <w:rPr>
          <w:sz w:val="20"/>
          <w:szCs w:val="20"/>
          <w:color w:val="auto"/>
        </w:rPr>
        <w:tab/>
      </w:r>
      <w:r>
        <w:rPr>
          <w:rFonts w:ascii="Arial" w:cs="Arial" w:eastAsia="Arial" w:hAnsi="Arial"/>
          <w:sz w:val="12"/>
          <w:szCs w:val="12"/>
          <w:b w:val="1"/>
          <w:bCs w:val="1"/>
          <w:color w:val="auto"/>
        </w:rPr>
        <w:t>Net Loss Per Share Attributable to Common Stockholders</w:t>
      </w:r>
    </w:p>
    <w:p>
      <w:pPr>
        <w:spacing w:after="0" w:line="98" w:lineRule="exact"/>
        <w:rPr>
          <w:sz w:val="20"/>
          <w:szCs w:val="20"/>
          <w:color w:val="auto"/>
        </w:rPr>
      </w:pPr>
    </w:p>
    <w:p>
      <w:pPr>
        <w:ind w:right="20" w:firstLine="509"/>
        <w:spacing w:after="0" w:line="281" w:lineRule="auto"/>
        <w:rPr>
          <w:sz w:val="20"/>
          <w:szCs w:val="20"/>
          <w:color w:val="auto"/>
        </w:rPr>
      </w:pPr>
      <w:r>
        <w:rPr>
          <w:rFonts w:ascii="Arial" w:cs="Arial" w:eastAsia="Arial" w:hAnsi="Arial"/>
          <w:sz w:val="14"/>
          <w:szCs w:val="14"/>
          <w:color w:val="auto"/>
        </w:rPr>
        <w:t>The following common share equivalents were excluded from the computation of diluted net loss per share attributable to common stockholders for the periods presented, because including them would have been antidilutive:</w:t>
      </w:r>
    </w:p>
    <w:p>
      <w:pPr>
        <w:spacing w:after="0" w:line="62" w:lineRule="exact"/>
        <w:rPr>
          <w:sz w:val="20"/>
          <w:szCs w:val="20"/>
          <w:color w:val="auto"/>
        </w:rPr>
      </w:pPr>
    </w:p>
    <w:p>
      <w:pPr>
        <w:ind w:left="8200"/>
        <w:spacing w:after="0"/>
        <w:rPr>
          <w:sz w:val="20"/>
          <w:szCs w:val="20"/>
          <w:color w:val="auto"/>
        </w:rPr>
      </w:pPr>
      <w:r>
        <w:rPr>
          <w:rFonts w:ascii="Arial" w:cs="Arial" w:eastAsia="Arial" w:hAnsi="Arial"/>
          <w:sz w:val="11"/>
          <w:szCs w:val="11"/>
          <w:b w:val="1"/>
          <w:bCs w:val="1"/>
          <w:color w:val="auto"/>
        </w:rPr>
        <w:t>Year Ended December 31,</w:t>
      </w:r>
    </w:p>
    <w:p>
      <w:pPr>
        <w:spacing w:after="0" w:line="30"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tcBorders>
          </w:tcPr>
          <w:p>
            <w:pPr>
              <w:spacing w:after="0"/>
              <w:rPr>
                <w:sz w:val="14"/>
                <w:szCs w:val="14"/>
                <w:color w:val="auto"/>
              </w:rPr>
            </w:pPr>
          </w:p>
        </w:tc>
      </w:tr>
      <w:tr>
        <w:trPr>
          <w:trHeight w:val="30"/>
        </w:trPr>
        <w:tc>
          <w:tcPr>
            <w:tcW w:w="64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183"/>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to purchase common stock</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5,569,567</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3,620,180</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0"/>
        </w:trPr>
        <w:tc>
          <w:tcPr>
            <w:tcW w:w="7320" w:type="dxa"/>
            <w:vAlign w:val="bottom"/>
            <w:gridSpan w:val="2"/>
          </w:tcPr>
          <w:p>
            <w:pPr>
              <w:ind w:left="20"/>
              <w:spacing w:after="0"/>
              <w:rPr>
                <w:sz w:val="20"/>
                <w:szCs w:val="20"/>
                <w:color w:val="auto"/>
              </w:rPr>
            </w:pPr>
            <w:r>
              <w:rPr>
                <w:rFonts w:ascii="Arial" w:cs="Arial" w:eastAsia="Arial" w:hAnsi="Arial"/>
                <w:sz w:val="14"/>
                <w:szCs w:val="14"/>
                <w:color w:val="auto"/>
              </w:rPr>
              <w:t>Restricted stock units</w:t>
            </w:r>
          </w:p>
        </w:tc>
        <w:tc>
          <w:tcPr>
            <w:tcW w:w="620" w:type="dxa"/>
            <w:vAlign w:val="bottom"/>
          </w:tcPr>
          <w:p>
            <w:pPr>
              <w:jc w:val="right"/>
              <w:spacing w:after="0"/>
              <w:rPr>
                <w:sz w:val="20"/>
                <w:szCs w:val="20"/>
                <w:color w:val="auto"/>
              </w:rPr>
            </w:pPr>
            <w:r>
              <w:rPr>
                <w:rFonts w:ascii="Arial" w:cs="Arial" w:eastAsia="Arial" w:hAnsi="Arial"/>
                <w:sz w:val="14"/>
                <w:szCs w:val="14"/>
                <w:color w:val="auto"/>
              </w:rPr>
              <w:t>507,925</w:t>
            </w:r>
          </w:p>
        </w:tc>
        <w:tc>
          <w:tcPr>
            <w:tcW w:w="120" w:type="dxa"/>
            <w:vAlign w:val="bottom"/>
          </w:tcPr>
          <w:p>
            <w:pPr>
              <w:spacing w:after="0"/>
              <w:rPr>
                <w:sz w:val="15"/>
                <w:szCs w:val="15"/>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212"/>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Performance-based restricted stock units*</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354,532</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91"/>
        </w:trPr>
        <w:tc>
          <w:tcPr>
            <w:tcW w:w="7320" w:type="dxa"/>
            <w:vAlign w:val="bottom"/>
            <w:gridSpan w:val="2"/>
          </w:tcPr>
          <w:p>
            <w:pPr>
              <w:ind w:left="20"/>
              <w:spacing w:after="0"/>
              <w:rPr>
                <w:sz w:val="20"/>
                <w:szCs w:val="20"/>
                <w:color w:val="auto"/>
              </w:rPr>
            </w:pPr>
            <w:r>
              <w:rPr>
                <w:rFonts w:ascii="Arial" w:cs="Arial" w:eastAsia="Arial" w:hAnsi="Arial"/>
                <w:sz w:val="14"/>
                <w:szCs w:val="14"/>
                <w:color w:val="auto"/>
              </w:rPr>
              <w:t>Unvested restricted shares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21,841</w:t>
            </w:r>
          </w:p>
        </w:tc>
        <w:tc>
          <w:tcPr>
            <w:tcW w:w="100" w:type="dxa"/>
            <w:vAlign w:val="bottom"/>
          </w:tcPr>
          <w:p>
            <w:pPr>
              <w:spacing w:after="0"/>
              <w:rPr>
                <w:sz w:val="16"/>
                <w:szCs w:val="16"/>
                <w:color w:val="auto"/>
              </w:rPr>
            </w:pPr>
          </w:p>
        </w:tc>
      </w:tr>
      <w:tr>
        <w:trPr>
          <w:trHeight w:val="22"/>
        </w:trPr>
        <w:tc>
          <w:tcPr>
            <w:tcW w:w="6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83"/>
        </w:trPr>
        <w:tc>
          <w:tcPr>
            <w:tcW w:w="6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6,432,024</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3,642,021</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21"/>
        </w:trPr>
        <w:tc>
          <w:tcPr>
            <w:tcW w:w="64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*PSUs outstanding based on target level of achievement of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4624705</wp:posOffset>
            </wp:positionH>
            <wp:positionV relativeFrom="paragraph">
              <wp:posOffset>-76835</wp:posOffset>
            </wp:positionV>
            <wp:extent cx="195389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53895" cy="6985"/>
                    </a:xfrm>
                    <a:prstGeom prst="rect">
                      <a:avLst/>
                    </a:prstGeom>
                    <a:noFill/>
                  </pic:spPr>
                </pic:pic>
              </a:graphicData>
            </a:graphic>
          </wp:anchor>
        </w:drawing>
      </w:r>
    </w:p>
    <w:p>
      <w:pPr>
        <w:spacing w:after="0" w:line="229"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color w:val="auto"/>
        </w:rPr>
        <w:t>A reconciliation of the numerator and denominator used in the calculation of the basic and diluted net loss per share attributable to common stockholders is as follows (in thousands, except share and per share amounts):</w:t>
      </w:r>
    </w:p>
    <w:p>
      <w:pPr>
        <w:spacing w:after="0" w:line="73" w:lineRule="exact"/>
        <w:rPr>
          <w:sz w:val="20"/>
          <w:szCs w:val="20"/>
          <w:color w:val="auto"/>
        </w:rPr>
      </w:pPr>
    </w:p>
    <w:tbl>
      <w:tblPr>
        <w:tblLayout w:type="fixed"/>
        <w:tblInd w:w="840" w:type="dxa"/>
        <w:tblCellMar>
          <w:top w:w="0" w:type="dxa"/>
          <w:left w:w="0" w:type="dxa"/>
          <w:bottom w:w="0" w:type="dxa"/>
          <w:right w:w="0" w:type="dxa"/>
        </w:tblCellMar>
      </w:tblPr>
      <w:tr>
        <w:trPr>
          <w:trHeight w:val="147"/>
        </w:trPr>
        <w:tc>
          <w:tcPr>
            <w:tcW w:w="6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ind w:right="573"/>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jc w:val="right"/>
              <w:ind w:right="571"/>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loss per share:</w:t>
            </w: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440" w:type="dxa"/>
            <w:vAlign w:val="bottom"/>
          </w:tcPr>
          <w:p>
            <w:pPr>
              <w:spacing w:after="0"/>
              <w:rPr>
                <w:sz w:val="20"/>
                <w:szCs w:val="20"/>
                <w:color w:val="auto"/>
              </w:rPr>
            </w:pPr>
            <w:r>
              <w:rPr>
                <w:rFonts w:ascii="Arial" w:cs="Arial" w:eastAsia="Arial" w:hAnsi="Arial"/>
                <w:sz w:val="14"/>
                <w:szCs w:val="14"/>
                <w:i w:val="1"/>
                <w:iCs w:val="1"/>
                <w:color w:val="auto"/>
              </w:rPr>
              <w:t>Numerator</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(123,321)</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(97,263)</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4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(123,321)</w:t>
            </w:r>
          </w:p>
        </w:tc>
        <w:tc>
          <w:tcPr>
            <w:tcW w:w="100" w:type="dxa"/>
            <w:vAlign w:val="bottom"/>
          </w:tcPr>
          <w:p>
            <w:pPr>
              <w:spacing w:after="0"/>
              <w:rPr>
                <w:sz w:val="16"/>
                <w:szCs w:val="16"/>
                <w:color w:val="auto"/>
              </w:rPr>
            </w:pPr>
          </w:p>
        </w:tc>
        <w:tc>
          <w:tcPr>
            <w:tcW w:w="600" w:type="dxa"/>
            <w:vAlign w:val="bottom"/>
          </w:tcPr>
          <w:p>
            <w:pPr>
              <w:jc w:val="right"/>
              <w:ind w:right="44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(97,263)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44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4"/>
                <w:szCs w:val="14"/>
                <w:i w:val="1"/>
                <w:iCs w:val="1"/>
                <w:color w:val="auto"/>
              </w:rPr>
              <w:t>Denominator</w:t>
            </w:r>
          </w:p>
        </w:tc>
        <w:tc>
          <w:tcPr>
            <w:tcW w:w="36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440" w:type="dxa"/>
            <w:vAlign w:val="bottom"/>
          </w:tcPr>
          <w:p>
            <w:pPr>
              <w:spacing w:after="0"/>
              <w:rPr>
                <w:sz w:val="20"/>
                <w:szCs w:val="20"/>
                <w:color w:val="auto"/>
              </w:rPr>
            </w:pPr>
            <w:r>
              <w:rPr>
                <w:rFonts w:ascii="Arial" w:cs="Arial" w:eastAsia="Arial" w:hAnsi="Arial"/>
                <w:sz w:val="14"/>
                <w:szCs w:val="14"/>
                <w:color w:val="auto"/>
                <w:w w:val="96"/>
              </w:rPr>
              <w:t>Weighted-average common shares outstanding used to calculate net loss per share attributable to common</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tcPr>
          <w:p>
            <w:pPr>
              <w:ind w:left="120"/>
              <w:spacing w:after="0"/>
              <w:rPr>
                <w:sz w:val="20"/>
                <w:szCs w:val="20"/>
                <w:color w:val="auto"/>
              </w:rPr>
            </w:pPr>
            <w:r>
              <w:rPr>
                <w:rFonts w:ascii="Arial" w:cs="Arial" w:eastAsia="Arial" w:hAnsi="Arial"/>
                <w:sz w:val="14"/>
                <w:szCs w:val="14"/>
                <w:color w:val="auto"/>
              </w:rPr>
              <w:t>stockholders: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42,015,908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35,846,421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4"/>
                <w:szCs w:val="14"/>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4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Arial" w:cs="Arial" w:eastAsia="Arial" w:hAnsi="Arial"/>
                <w:sz w:val="14"/>
                <w:szCs w:val="14"/>
                <w:color w:val="auto"/>
              </w:rPr>
              <w:t>42,015,908</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spacing w:after="0" w:line="153" w:lineRule="exact"/>
              <w:rPr>
                <w:sz w:val="20"/>
                <w:szCs w:val="20"/>
                <w:color w:val="auto"/>
              </w:rPr>
            </w:pPr>
            <w:r>
              <w:rPr>
                <w:rFonts w:ascii="Arial" w:cs="Arial" w:eastAsia="Arial" w:hAnsi="Arial"/>
                <w:sz w:val="14"/>
                <w:szCs w:val="14"/>
                <w:color w:val="auto"/>
              </w:rPr>
              <w:t>35,846,421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44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4"/>
                <w:szCs w:val="14"/>
                <w:color w:val="auto"/>
              </w:rPr>
              <w:t>Net loss per share attributable to common stockholders:</w:t>
            </w:r>
          </w:p>
        </w:tc>
        <w:tc>
          <w:tcPr>
            <w:tcW w:w="36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440" w:type="dxa"/>
            <w:vAlign w:val="bottom"/>
          </w:tcPr>
          <w:p>
            <w:pPr>
              <w:ind w:left="160"/>
              <w:spacing w:after="0"/>
              <w:rPr>
                <w:sz w:val="20"/>
                <w:szCs w:val="20"/>
                <w:color w:val="auto"/>
              </w:rPr>
            </w:pPr>
            <w:r>
              <w:rPr>
                <w:rFonts w:ascii="Arial" w:cs="Arial" w:eastAsia="Arial" w:hAnsi="Arial"/>
                <w:sz w:val="14"/>
                <w:szCs w:val="14"/>
                <w:color w:val="auto"/>
              </w:rPr>
              <w:t>Basic</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6"/>
                <w:szCs w:val="16"/>
                <w:color w:val="auto"/>
              </w:rPr>
            </w:pPr>
          </w:p>
        </w:tc>
        <w:tc>
          <w:tcPr>
            <w:tcW w:w="600" w:type="dxa"/>
            <w:vAlign w:val="bottom"/>
          </w:tcPr>
          <w:p>
            <w:pPr>
              <w:jc w:val="right"/>
              <w:ind w:right="44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19.</w:t>
      </w:r>
      <w:r>
        <w:rPr>
          <w:sz w:val="20"/>
          <w:szCs w:val="20"/>
          <w:color w:val="auto"/>
        </w:rPr>
        <w:tab/>
      </w:r>
      <w:r>
        <w:rPr>
          <w:rFonts w:ascii="Arial" w:cs="Arial" w:eastAsia="Arial" w:hAnsi="Arial"/>
          <w:sz w:val="12"/>
          <w:szCs w:val="12"/>
          <w:b w:val="1"/>
          <w:bCs w:val="1"/>
          <w:color w:val="auto"/>
        </w:rPr>
        <w:t>Subsequent Events</w:t>
      </w:r>
    </w:p>
    <w:p>
      <w:pPr>
        <w:spacing w:after="0" w:line="151" w:lineRule="exact"/>
        <w:rPr>
          <w:sz w:val="20"/>
          <w:szCs w:val="20"/>
          <w:color w:val="auto"/>
        </w:rPr>
      </w:pPr>
    </w:p>
    <w:p>
      <w:pPr>
        <w:ind w:right="100" w:firstLine="509"/>
        <w:spacing w:after="0" w:line="281" w:lineRule="auto"/>
        <w:rPr>
          <w:sz w:val="20"/>
          <w:szCs w:val="20"/>
          <w:color w:val="auto"/>
        </w:rPr>
      </w:pPr>
      <w:r>
        <w:rPr>
          <w:rFonts w:ascii="Arial" w:cs="Arial" w:eastAsia="Arial" w:hAnsi="Arial"/>
          <w:sz w:val="14"/>
          <w:szCs w:val="14"/>
          <w:color w:val="auto"/>
        </w:rPr>
        <w:t>In January 2023, the Company completed a public offering of 9,583,334 shares of common stock, including the exercise in full of the underwriters' option to purchase 1,250,000 additional shares of common stock. The shares were</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offered at a price of $30.00 per share, resulting in aggregate proceeds of approximately $269.9 million, net of underwriting discounts, commissions and offering expenses.</w:t>
      </w:r>
    </w:p>
    <w:p>
      <w:pPr>
        <w:spacing w:after="0" w:line="157" w:lineRule="exact"/>
        <w:rPr>
          <w:sz w:val="20"/>
          <w:szCs w:val="20"/>
          <w:color w:val="auto"/>
        </w:rPr>
      </w:pPr>
    </w:p>
    <w:p>
      <w:pPr>
        <w:ind w:right="140" w:firstLine="509"/>
        <w:spacing w:after="0" w:line="280" w:lineRule="auto"/>
        <w:rPr>
          <w:sz w:val="20"/>
          <w:szCs w:val="20"/>
          <w:color w:val="auto"/>
        </w:rPr>
      </w:pPr>
      <w:r>
        <w:rPr>
          <w:rFonts w:ascii="Arial" w:cs="Arial" w:eastAsia="Arial" w:hAnsi="Arial"/>
          <w:sz w:val="13"/>
          <w:szCs w:val="13"/>
          <w:color w:val="auto"/>
        </w:rPr>
        <w:t>On February 17, 2023, we received notice from Novartis Institutes for BioMedical Research, Inc. (“Novartis”) that Novartis has elected to exercise its right to terminate the Collaboration and License Agreement by and between the Company and Novartis, dated October 17, 2019 (the “Collaboration Agreement”), as amended by Amendment No. 1 to the Collaboration and License Agreement between the Company and Novartis, dated as of November 15, 2022 (“Amendment No. 1”). Novartis informed the Company of its decision, as part of its new strategy focusing on a limited number of therapeutic areas, to divest clinical NASH assets and, as a result, to discontinue the development of PLN-1474, a small molecule selective inhibitor of integrin αvß1, being developed for the treatment of liver fibrosis associated with NASH. The termination will take effect on April 18, 2023. Effective upon the termination of the Collaboration Agreement, all rights and licenses granted thereunder, including development candidates targeting the validated Research Target, PLN-1474 and the related IND, will revert back to the Company. The payment obligations of Novartis with respect to future milestones, royalties and research and development funding will also terminate.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98" w:lineRule="exact"/>
        <w:rPr>
          <w:sz w:val="20"/>
          <w:szCs w:val="20"/>
          <w:color w:val="auto"/>
        </w:rPr>
      </w:pPr>
    </w:p>
    <w:p>
      <w:pPr>
        <w:ind w:firstLine="509"/>
        <w:spacing w:after="0" w:line="313" w:lineRule="auto"/>
        <w:rPr>
          <w:sz w:val="20"/>
          <w:szCs w:val="20"/>
          <w:color w:val="auto"/>
        </w:rPr>
      </w:pPr>
      <w:r>
        <w:rPr>
          <w:rFonts w:ascii="Arial" w:cs="Arial" w:eastAsia="Arial" w:hAnsi="Arial"/>
          <w:sz w:val="12"/>
          <w:szCs w:val="12"/>
          <w:color w:val="auto"/>
        </w:rPr>
        <w:t>We maintain disclosure controls and procedures that are designed to ensure that information required to be disclosed in our reports under the Securities Exchange Act of 1934, as amended, or the Exchange Act, and the rules and regulations thereunder,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34" w:lineRule="exact"/>
        <w:rPr>
          <w:sz w:val="20"/>
          <w:szCs w:val="20"/>
          <w:color w:val="auto"/>
        </w:rPr>
      </w:pPr>
    </w:p>
    <w:p>
      <w:pPr>
        <w:ind w:right="200" w:firstLine="509"/>
        <w:spacing w:after="0" w:line="262" w:lineRule="auto"/>
        <w:rPr>
          <w:sz w:val="20"/>
          <w:szCs w:val="20"/>
          <w:color w:val="auto"/>
        </w:rPr>
      </w:pPr>
      <w:r>
        <w:rPr>
          <w:rFonts w:ascii="Arial" w:cs="Arial" w:eastAsia="Arial" w:hAnsi="Arial"/>
          <w:sz w:val="14"/>
          <w:szCs w:val="14"/>
          <w:color w:val="auto"/>
        </w:rPr>
        <w:t>As required by Rule 13a-15(b) under the Exchange Act, our management, under the supervision and with the participation of our principal executive officer and principal financial officer, has evaluated the effectiveness of the design and operation of our disclosure controls and procedures (as such term is defined in Rules 13a-15(e) and 15d-15(e) under the Exchange Act) as of December 31, 2021. Based on such evaluation, our Chief Executive Officer and Chief Financial Officer have concluded that, as of December 31, 2022, our disclosure controls and procedures were effective at the reasonable assurance level.</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Management's Annual Report on Internal Control Over Financial Reporting</w:t>
      </w:r>
    </w:p>
    <w:p>
      <w:pPr>
        <w:spacing w:after="0" w:line="98" w:lineRule="exact"/>
        <w:rPr>
          <w:sz w:val="20"/>
          <w:szCs w:val="20"/>
          <w:color w:val="auto"/>
        </w:rPr>
      </w:pPr>
    </w:p>
    <w:p>
      <w:pPr>
        <w:ind w:right="40" w:firstLine="509"/>
        <w:spacing w:after="0" w:line="309"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37" w:lineRule="exact"/>
        <w:rPr>
          <w:sz w:val="20"/>
          <w:szCs w:val="20"/>
          <w:color w:val="auto"/>
        </w:rPr>
      </w:pPr>
    </w:p>
    <w:p>
      <w:pPr>
        <w:jc w:val="both"/>
        <w:ind w:right="100" w:firstLine="509"/>
        <w:spacing w:after="0" w:line="267" w:lineRule="auto"/>
        <w:rPr>
          <w:sz w:val="20"/>
          <w:szCs w:val="20"/>
          <w:color w:val="auto"/>
        </w:rPr>
      </w:pPr>
      <w:r>
        <w:rPr>
          <w:rFonts w:ascii="Arial" w:cs="Arial" w:eastAsia="Arial" w:hAnsi="Arial"/>
          <w:sz w:val="14"/>
          <w:szCs w:val="14"/>
          <w:color w:val="auto"/>
        </w:rPr>
        <w:t>Under the supervision and with the participation of our management, including our Chief Executive Officer and Chief Financial Officer, we conducted an evaluation of the effectiveness of our internal control over financial reporting based on criteria established in “Internal Control—Integrated Framework (2013)” issued by the Committee of Sponsoring Organizations of the Treadway Commission (COSO). Our management concluded that our internal control over financial reporting was effective as of December 31, 2022.</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Limitations on Effectiveness of Controls and Procedures and Internal Control over Financial Reporting</w:t>
      </w:r>
    </w:p>
    <w:p>
      <w:pPr>
        <w:spacing w:after="0" w:line="98" w:lineRule="exact"/>
        <w:rPr>
          <w:sz w:val="20"/>
          <w:szCs w:val="20"/>
          <w:color w:val="auto"/>
        </w:rPr>
      </w:pPr>
    </w:p>
    <w:p>
      <w:pPr>
        <w:ind w:right="20" w:firstLine="509"/>
        <w:spacing w:after="0" w:line="281" w:lineRule="auto"/>
        <w:rPr>
          <w:sz w:val="20"/>
          <w:szCs w:val="20"/>
          <w:color w:val="auto"/>
        </w:rPr>
      </w:pPr>
      <w:r>
        <w:rPr>
          <w:rFonts w:ascii="Arial" w:cs="Arial" w:eastAsia="Arial" w:hAnsi="Arial"/>
          <w:sz w:val="14"/>
          <w:szCs w:val="14"/>
          <w:color w:val="auto"/>
        </w:rPr>
        <w:t>In designing and evaluating the disclosure controls and procedures and internal control over financial reporting, management recognizes that any controls and procedures, no matter how well designed and operated, can provide only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98" w:lineRule="exact"/>
        <w:rPr>
          <w:sz w:val="20"/>
          <w:szCs w:val="20"/>
          <w:color w:val="auto"/>
        </w:rPr>
      </w:pPr>
    </w:p>
    <w:p>
      <w:pPr>
        <w:jc w:val="both"/>
        <w:ind w:right="120" w:firstLine="509"/>
        <w:spacing w:after="0" w:line="262" w:lineRule="auto"/>
        <w:rPr>
          <w:sz w:val="20"/>
          <w:szCs w:val="20"/>
          <w:color w:val="auto"/>
        </w:rPr>
      </w:pPr>
      <w:r>
        <w:rPr>
          <w:rFonts w:ascii="Arial" w:cs="Arial" w:eastAsia="Arial" w:hAnsi="Arial"/>
          <w:sz w:val="14"/>
          <w:szCs w:val="14"/>
          <w:color w:val="auto"/>
        </w:rPr>
        <w:t>There were no changes in our internal controls over financial reporting identified in connection with the evaluation required by Rule 13a-15(d) and 15d-15(d) of the Exchange Act that occurred during the quarter ended December 31, 2022 that have materially affected, or are reasonably likely to materially affect, our internal control over financial reporting. We considered our internal controls over financial reporting in regards to the impact of COVID-19 and concluded that our controls continue to operate without material effect on our internal controls over financial reporting.</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129" w:right="55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380"/>
        <w:spacing w:after="0"/>
        <w:rPr>
          <w:sz w:val="20"/>
          <w:szCs w:val="20"/>
          <w:color w:val="auto"/>
        </w:rPr>
      </w:pPr>
      <w:r>
        <w:rPr>
          <w:rFonts w:ascii="Arial" w:cs="Arial" w:eastAsia="Arial" w:hAnsi="Arial"/>
          <w:sz w:val="14"/>
          <w:szCs w:val="14"/>
          <w:b w:val="1"/>
          <w:bCs w:val="1"/>
          <w:color w:val="auto"/>
        </w:rPr>
        <w:t>PART III</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5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Information required by this item regarding directors and director nominees, executive officers, the board of directors and its committees, and certain corporate governance matters will be set forth uin our Proxy Statement for our 2023 Annual Meeting of Stockholders and is incorporated herein by reference. Information required by this item regarding compliance with Section 16(a) of the Exchange Act will be set forth in our Proxy Statement and is incorporated herein by reference.</w:t>
      </w:r>
    </w:p>
    <w:p>
      <w:pPr>
        <w:spacing w:after="0" w:line="110" w:lineRule="exact"/>
        <w:rPr>
          <w:sz w:val="20"/>
          <w:szCs w:val="20"/>
          <w:color w:val="auto"/>
        </w:rPr>
      </w:pPr>
    </w:p>
    <w:p>
      <w:pPr>
        <w:ind w:right="120" w:firstLine="509"/>
        <w:spacing w:after="0" w:line="262" w:lineRule="auto"/>
        <w:rPr>
          <w:sz w:val="20"/>
          <w:szCs w:val="20"/>
          <w:color w:val="auto"/>
        </w:rPr>
      </w:pPr>
      <w:r>
        <w:rPr>
          <w:rFonts w:ascii="Arial" w:cs="Arial" w:eastAsia="Arial" w:hAnsi="Arial"/>
          <w:sz w:val="14"/>
          <w:szCs w:val="14"/>
          <w:color w:val="auto"/>
        </w:rPr>
        <w:t>Our written code of business conduct and ethics (the “Code of Conduct”) applies to all of our employees, officers and directors, including our principal executive officer, principal financial officer and principal accounting officer or controller. The Code of Conduct is available on our corporate website at https://pliantrx.com. If we make any substantive amendments to our Code of Conduct or grant any of our directors or executive officers any waiver, including any implicit waiver, from a provision of our Code of Conduct, we will disclose the nature of the amendment or waiver on our website or in a Current Report on Form 8-K.</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Information required by this item regarding executive compensation will be set forth in our Proxy Statement and is incorporated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Information required by this item regarding security ownership of certain beneficial owners and management will be set forth in our Proxy Statement and is incorporated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Information required by this item regarding certain relationships, related transactions and director independence will be set forth in our Proxy Statement and is incorporated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Accounting Fees and Services.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Information required by this item regarding principal accounting fees and services will be set forth in our Proxy Statement and is incorporated by reference.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IV</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 Schedules.</w:t>
      </w:r>
    </w:p>
    <w:p>
      <w:pPr>
        <w:spacing w:after="0" w:line="151" w:lineRule="exact"/>
        <w:rPr>
          <w:sz w:val="20"/>
          <w:szCs w:val="20"/>
          <w:color w:val="auto"/>
        </w:rPr>
      </w:pPr>
    </w:p>
    <w:p>
      <w:pPr>
        <w:ind w:left="520" w:hanging="515"/>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following documents are filed as part of this Annual Report:</w:t>
      </w:r>
    </w:p>
    <w:p>
      <w:pPr>
        <w:spacing w:after="0" w:line="147" w:lineRule="exact"/>
        <w:rPr>
          <w:sz w:val="20"/>
          <w:szCs w:val="20"/>
          <w:color w:val="auto"/>
        </w:rPr>
      </w:pPr>
    </w:p>
    <w:p>
      <w:pPr>
        <w:ind w:left="520" w:hanging="515"/>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 xml:space="preserve">Financial Statements. </w:t>
      </w:r>
      <w:r>
        <w:rPr>
          <w:rFonts w:ascii="Arial" w:cs="Arial" w:eastAsia="Arial" w:hAnsi="Arial"/>
          <w:sz w:val="14"/>
          <w:szCs w:val="14"/>
          <w:color w:val="auto"/>
        </w:rPr>
        <w:t>See Index to Financial Statements in Part II Item 8 of this Annual Report on Form 10-K.</w:t>
      </w:r>
    </w:p>
    <w:p>
      <w:pPr>
        <w:spacing w:after="0" w:line="157" w:lineRule="exact"/>
        <w:rPr>
          <w:rFonts w:ascii="Arial" w:cs="Arial" w:eastAsia="Arial" w:hAnsi="Arial"/>
          <w:sz w:val="14"/>
          <w:szCs w:val="14"/>
          <w:color w:val="auto"/>
        </w:rPr>
      </w:pPr>
    </w:p>
    <w:p>
      <w:pPr>
        <w:ind w:left="520" w:right="400" w:hanging="515"/>
        <w:spacing w:after="0" w:line="281" w:lineRule="auto"/>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Financial Statement Schedules</w:t>
      </w:r>
      <w:r>
        <w:rPr>
          <w:rFonts w:ascii="Arial" w:cs="Arial" w:eastAsia="Arial" w:hAnsi="Arial"/>
          <w:sz w:val="14"/>
          <w:szCs w:val="14"/>
          <w:color w:val="auto"/>
        </w:rPr>
        <w:t>. None. All financial statement schedules are omitted because they are not applicable, not required under the instructions, or the requested information is</w:t>
      </w:r>
      <w:r>
        <w:rPr>
          <w:rFonts w:ascii="Arial" w:cs="Arial" w:eastAsia="Arial" w:hAnsi="Arial"/>
          <w:sz w:val="14"/>
          <w:szCs w:val="14"/>
          <w:i w:val="1"/>
          <w:iCs w:val="1"/>
          <w:color w:val="auto"/>
        </w:rPr>
        <w:t xml:space="preserve"> </w:t>
      </w:r>
      <w:r>
        <w:rPr>
          <w:rFonts w:ascii="Arial" w:cs="Arial" w:eastAsia="Arial" w:hAnsi="Arial"/>
          <w:sz w:val="14"/>
          <w:szCs w:val="14"/>
          <w:color w:val="auto"/>
        </w:rPr>
        <w:t>included in the financial statements or notes thereto.</w:t>
      </w:r>
    </w:p>
    <w:p>
      <w:pPr>
        <w:spacing w:after="0" w:line="100" w:lineRule="exact"/>
        <w:rPr>
          <w:rFonts w:ascii="Arial" w:cs="Arial" w:eastAsia="Arial" w:hAnsi="Arial"/>
          <w:sz w:val="14"/>
          <w:szCs w:val="14"/>
          <w:color w:val="auto"/>
        </w:rPr>
      </w:pPr>
    </w:p>
    <w:p>
      <w:pPr>
        <w:ind w:left="520" w:hanging="515"/>
        <w:spacing w:after="0"/>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Exhibits</w:t>
      </w:r>
      <w:r>
        <w:rPr>
          <w:rFonts w:ascii="Arial" w:cs="Arial" w:eastAsia="Arial" w:hAnsi="Arial"/>
          <w:sz w:val="14"/>
          <w:szCs w:val="14"/>
          <w:color w:val="auto"/>
        </w:rPr>
        <w:t>. The following is a list of exhibits filed with this Annual Report or incorporated herein by reference: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gridSpan w:val="4"/>
          </w:tcPr>
          <w:p>
            <w:pPr>
              <w:ind w:left="180"/>
              <w:spacing w:after="0"/>
              <w:rPr>
                <w:sz w:val="20"/>
                <w:szCs w:val="20"/>
                <w:color w:val="auto"/>
              </w:rPr>
            </w:pPr>
            <w:r>
              <w:rPr>
                <w:rFonts w:ascii="Arial" w:cs="Arial" w:eastAsia="Arial" w:hAnsi="Arial"/>
                <w:sz w:val="11"/>
                <w:szCs w:val="11"/>
                <w:b w:val="1"/>
                <w:bCs w:val="1"/>
                <w:color w:val="auto"/>
              </w:rPr>
              <w:t>Incorporated by Reference</w:t>
            </w: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18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Exhibit</w:t>
            </w: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1180" w:type="dxa"/>
            <w:vAlign w:val="bottom"/>
            <w:gridSpan w:val="2"/>
            <w:vMerge w:val="continue"/>
          </w:tcPr>
          <w:p>
            <w:pPr>
              <w:spacing w:after="0"/>
              <w:rPr>
                <w:sz w:val="9"/>
                <w:szCs w:val="9"/>
                <w:color w:val="auto"/>
              </w:rPr>
            </w:pPr>
          </w:p>
        </w:tc>
        <w:tc>
          <w:tcPr>
            <w:tcW w:w="3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80" w:type="dxa"/>
            <w:vAlign w:val="bottom"/>
            <w:gridSpan w:val="2"/>
          </w:tcPr>
          <w:p>
            <w:pPr>
              <w:jc w:val="center"/>
              <w:ind w:right="100"/>
              <w:spacing w:after="0" w:line="112" w:lineRule="exact"/>
              <w:rPr>
                <w:sz w:val="20"/>
                <w:szCs w:val="20"/>
                <w:color w:val="auto"/>
              </w:rPr>
            </w:pPr>
            <w:r>
              <w:rPr>
                <w:rFonts w:ascii="Arial" w:cs="Arial" w:eastAsia="Arial" w:hAnsi="Arial"/>
                <w:sz w:val="11"/>
                <w:szCs w:val="11"/>
                <w:b w:val="1"/>
                <w:bCs w:val="1"/>
                <w:color w:val="auto"/>
              </w:rPr>
              <w:t>Filing</w:t>
            </w:r>
          </w:p>
        </w:tc>
        <w:tc>
          <w:tcPr>
            <w:tcW w:w="980" w:type="dxa"/>
            <w:vAlign w:val="bottom"/>
            <w:gridSpan w:val="2"/>
          </w:tcPr>
          <w:p>
            <w:pPr>
              <w:jc w:val="center"/>
              <w:ind w:right="40"/>
              <w:spacing w:after="0" w:line="112" w:lineRule="exact"/>
              <w:rPr>
                <w:sz w:val="20"/>
                <w:szCs w:val="20"/>
                <w:color w:val="auto"/>
              </w:rPr>
            </w:pPr>
            <w:r>
              <w:rPr>
                <w:rFonts w:ascii="Arial" w:cs="Arial" w:eastAsia="Arial" w:hAnsi="Arial"/>
                <w:sz w:val="11"/>
                <w:szCs w:val="11"/>
                <w:b w:val="1"/>
                <w:bCs w:val="1"/>
                <w:color w:val="auto"/>
                <w:w w:val="94"/>
              </w:rPr>
              <w:t>File</w:t>
            </w:r>
          </w:p>
        </w:tc>
        <w:tc>
          <w:tcPr>
            <w:tcW w:w="0" w:type="dxa"/>
            <w:vAlign w:val="bottom"/>
          </w:tcPr>
          <w:p>
            <w:pPr>
              <w:spacing w:after="0"/>
              <w:rPr>
                <w:sz w:val="1"/>
                <w:szCs w:val="1"/>
                <w:color w:val="auto"/>
              </w:rPr>
            </w:pPr>
          </w:p>
        </w:tc>
      </w:tr>
      <w:tr>
        <w:trPr>
          <w:trHeight w:val="168"/>
        </w:trPr>
        <w:tc>
          <w:tcPr>
            <w:tcW w:w="1180" w:type="dxa"/>
            <w:vAlign w:val="bottom"/>
            <w:gridSpan w:val="2"/>
          </w:tcPr>
          <w:p>
            <w:pPr>
              <w:ind w:left="340"/>
              <w:spacing w:after="0"/>
              <w:rPr>
                <w:sz w:val="20"/>
                <w:szCs w:val="20"/>
                <w:color w:val="auto"/>
              </w:rPr>
            </w:pPr>
            <w:r>
              <w:rPr>
                <w:rFonts w:ascii="Arial" w:cs="Arial" w:eastAsia="Arial" w:hAnsi="Arial"/>
                <w:sz w:val="11"/>
                <w:szCs w:val="11"/>
                <w:b w:val="1"/>
                <w:bCs w:val="1"/>
                <w:color w:val="auto"/>
              </w:rPr>
              <w:t>Number</w:t>
            </w:r>
          </w:p>
        </w:tc>
        <w:tc>
          <w:tcPr>
            <w:tcW w:w="3700" w:type="dxa"/>
            <w:vAlign w:val="bottom"/>
            <w:gridSpan w:val="2"/>
          </w:tcPr>
          <w:p>
            <w:pPr>
              <w:ind w:left="1340"/>
              <w:spacing w:after="0"/>
              <w:rPr>
                <w:sz w:val="20"/>
                <w:szCs w:val="20"/>
                <w:color w:val="auto"/>
              </w:rPr>
            </w:pPr>
            <w:r>
              <w:rPr>
                <w:rFonts w:ascii="Arial" w:cs="Arial" w:eastAsia="Arial" w:hAnsi="Arial"/>
                <w:sz w:val="11"/>
                <w:szCs w:val="11"/>
                <w:b w:val="1"/>
                <w:bCs w:val="1"/>
                <w:color w:val="auto"/>
              </w:rPr>
              <w:t>Exhibit Description</w:t>
            </w:r>
          </w:p>
        </w:tc>
        <w:tc>
          <w:tcPr>
            <w:tcW w:w="640" w:type="dxa"/>
            <w:vAlign w:val="bottom"/>
          </w:tcPr>
          <w:p>
            <w:pPr>
              <w:jc w:val="center"/>
              <w:ind w:left="21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ind w:left="440"/>
              <w:spacing w:after="0"/>
              <w:rPr>
                <w:sz w:val="20"/>
                <w:szCs w:val="20"/>
                <w:color w:val="auto"/>
              </w:rPr>
            </w:pPr>
            <w:r>
              <w:rPr>
                <w:rFonts w:ascii="Arial" w:cs="Arial" w:eastAsia="Arial" w:hAnsi="Arial"/>
                <w:sz w:val="11"/>
                <w:szCs w:val="11"/>
                <w:b w:val="1"/>
                <w:bCs w:val="1"/>
                <w:color w:val="auto"/>
              </w:rPr>
              <w:t>File No.</w:t>
            </w:r>
          </w:p>
        </w:tc>
        <w:tc>
          <w:tcPr>
            <w:tcW w:w="1000" w:type="dxa"/>
            <w:vAlign w:val="bottom"/>
            <w:gridSpan w:val="2"/>
          </w:tcPr>
          <w:p>
            <w:pPr>
              <w:ind w:left="280"/>
              <w:spacing w:after="0"/>
              <w:rPr>
                <w:sz w:val="20"/>
                <w:szCs w:val="20"/>
                <w:color w:val="auto"/>
              </w:rPr>
            </w:pPr>
            <w:r>
              <w:rPr>
                <w:rFonts w:ascii="Arial" w:cs="Arial" w:eastAsia="Arial" w:hAnsi="Arial"/>
                <w:sz w:val="11"/>
                <w:szCs w:val="11"/>
                <w:b w:val="1"/>
                <w:bCs w:val="1"/>
                <w:color w:val="auto"/>
              </w:rPr>
              <w:t>Exhibit</w:t>
            </w:r>
          </w:p>
        </w:tc>
        <w:tc>
          <w:tcPr>
            <w:tcW w:w="20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Date</w:t>
            </w:r>
          </w:p>
        </w:tc>
        <w:tc>
          <w:tcPr>
            <w:tcW w:w="9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4"/>
              </w:rPr>
              <w:t>Herewith</w:t>
            </w:r>
          </w:p>
        </w:tc>
        <w:tc>
          <w:tcPr>
            <w:tcW w:w="0" w:type="dxa"/>
            <w:vAlign w:val="bottom"/>
          </w:tcPr>
          <w:p>
            <w:pPr>
              <w:spacing w:after="0"/>
              <w:rPr>
                <w:sz w:val="1"/>
                <w:szCs w:val="1"/>
                <w:color w:val="auto"/>
              </w:rPr>
            </w:pPr>
          </w:p>
        </w:tc>
      </w:tr>
      <w:tr>
        <w:trPr>
          <w:trHeight w:val="30"/>
        </w:trPr>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2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Amended and Restated Certificate of Incorporation of the</w:t>
            </w:r>
          </w:p>
        </w:tc>
        <w:tc>
          <w:tcPr>
            <w:tcW w:w="640" w:type="dxa"/>
            <w:vAlign w:val="bottom"/>
          </w:tcPr>
          <w:p>
            <w:pPr>
              <w:jc w:val="center"/>
              <w:ind w:left="210"/>
              <w:spacing w:after="0"/>
              <w:rPr>
                <w:sz w:val="20"/>
                <w:szCs w:val="20"/>
                <w:color w:val="auto"/>
              </w:rPr>
            </w:pPr>
            <w:r>
              <w:rPr>
                <w:rFonts w:ascii="Arial" w:cs="Arial" w:eastAsia="Arial" w:hAnsi="Arial"/>
                <w:sz w:val="14"/>
                <w:szCs w:val="14"/>
                <w:color w:val="auto"/>
                <w:w w:val="89"/>
              </w:rPr>
              <w:t>10-Q</w:t>
            </w:r>
          </w:p>
        </w:tc>
        <w:tc>
          <w:tcPr>
            <w:tcW w:w="1600" w:type="dxa"/>
            <w:vAlign w:val="bottom"/>
            <w:gridSpan w:val="3"/>
          </w:tcPr>
          <w:p>
            <w:pPr>
              <w:jc w:val="center"/>
              <w:ind w:left="289"/>
              <w:spacing w:after="0"/>
              <w:rPr>
                <w:sz w:val="20"/>
                <w:szCs w:val="20"/>
                <w:color w:val="auto"/>
              </w:rPr>
            </w:pPr>
            <w:r>
              <w:rPr>
                <w:rFonts w:ascii="Arial" w:cs="Arial" w:eastAsia="Arial" w:hAnsi="Arial"/>
                <w:sz w:val="14"/>
                <w:szCs w:val="14"/>
                <w:color w:val="auto"/>
                <w:w w:val="89"/>
              </w:rPr>
              <w:t>001-39303</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August 11, 2020</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Registrant, as currently in effect.</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80" w:type="dxa"/>
            <w:vAlign w:val="bottom"/>
          </w:tcPr>
          <w:p>
            <w:pPr>
              <w:ind w:left="20"/>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w w:val="95"/>
              </w:rPr>
              <w:t>Amended and Restated Bylaws of the Registrant, as currently</w:t>
            </w:r>
          </w:p>
        </w:tc>
        <w:tc>
          <w:tcPr>
            <w:tcW w:w="640" w:type="dxa"/>
            <w:vAlign w:val="bottom"/>
          </w:tcPr>
          <w:p>
            <w:pPr>
              <w:jc w:val="center"/>
              <w:ind w:left="190"/>
              <w:spacing w:after="0"/>
              <w:rPr>
                <w:sz w:val="20"/>
                <w:szCs w:val="20"/>
                <w:color w:val="auto"/>
              </w:rPr>
            </w:pPr>
            <w:r>
              <w:rPr>
                <w:rFonts w:ascii="Arial" w:cs="Arial" w:eastAsia="Arial" w:hAnsi="Arial"/>
                <w:sz w:val="14"/>
                <w:szCs w:val="14"/>
                <w:color w:val="auto"/>
              </w:rPr>
              <w:t>8-K</w:t>
            </w:r>
          </w:p>
        </w:tc>
        <w:tc>
          <w:tcPr>
            <w:tcW w:w="1600" w:type="dxa"/>
            <w:vAlign w:val="bottom"/>
            <w:gridSpan w:val="3"/>
          </w:tcPr>
          <w:p>
            <w:pPr>
              <w:jc w:val="center"/>
              <w:ind w:left="289"/>
              <w:spacing w:after="0"/>
              <w:rPr>
                <w:sz w:val="20"/>
                <w:szCs w:val="20"/>
                <w:color w:val="auto"/>
              </w:rPr>
            </w:pPr>
            <w:r>
              <w:rPr>
                <w:rFonts w:ascii="Arial" w:cs="Arial" w:eastAsia="Arial" w:hAnsi="Arial"/>
                <w:sz w:val="14"/>
                <w:szCs w:val="14"/>
                <w:color w:val="auto"/>
                <w:w w:val="89"/>
              </w:rPr>
              <w:t>001-39303</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September 16, 2022</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in effect.</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080" w:type="dxa"/>
            <w:vAlign w:val="bottom"/>
          </w:tcPr>
          <w:p>
            <w:pPr>
              <w:ind w:left="20"/>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Specimen Common Stock Certificate of the Registrant.</w:t>
            </w:r>
          </w:p>
        </w:tc>
        <w:tc>
          <w:tcPr>
            <w:tcW w:w="640" w:type="dxa"/>
            <w:vAlign w:val="bottom"/>
          </w:tcPr>
          <w:p>
            <w:pPr>
              <w:jc w:val="center"/>
              <w:ind w:left="190"/>
              <w:spacing w:after="0"/>
              <w:rPr>
                <w:sz w:val="20"/>
                <w:szCs w:val="20"/>
                <w:color w:val="auto"/>
              </w:rPr>
            </w:pPr>
            <w:r>
              <w:rPr>
                <w:rFonts w:ascii="Arial" w:cs="Arial" w:eastAsia="Arial" w:hAnsi="Arial"/>
                <w:sz w:val="14"/>
                <w:szCs w:val="14"/>
                <w:color w:val="auto"/>
                <w:w w:val="96"/>
              </w:rPr>
              <w:t>S-1/A</w:t>
            </w:r>
          </w:p>
        </w:tc>
        <w:tc>
          <w:tcPr>
            <w:tcW w:w="1600" w:type="dxa"/>
            <w:vAlign w:val="bottom"/>
            <w:gridSpan w:val="3"/>
          </w:tcPr>
          <w:p>
            <w:pPr>
              <w:jc w:val="center"/>
              <w:ind w:left="289"/>
              <w:spacing w:after="0"/>
              <w:rPr>
                <w:sz w:val="20"/>
                <w:szCs w:val="20"/>
                <w:color w:val="auto"/>
              </w:rPr>
            </w:pPr>
            <w:r>
              <w:rPr>
                <w:rFonts w:ascii="Arial" w:cs="Arial" w:eastAsia="Arial" w:hAnsi="Arial"/>
                <w:sz w:val="14"/>
                <w:szCs w:val="14"/>
                <w:color w:val="auto"/>
                <w:w w:val="90"/>
              </w:rPr>
              <w:t>333-238146</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May 26, 2020</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80" w:type="dxa"/>
            <w:vAlign w:val="bottom"/>
          </w:tcPr>
          <w:p>
            <w:pPr>
              <w:ind w:left="2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Amended and Restated Investors’ Right Agreement by and</w:t>
            </w:r>
          </w:p>
        </w:tc>
        <w:tc>
          <w:tcPr>
            <w:tcW w:w="640" w:type="dxa"/>
            <w:vAlign w:val="bottom"/>
          </w:tcPr>
          <w:p>
            <w:pPr>
              <w:jc w:val="center"/>
              <w:ind w:left="190"/>
              <w:spacing w:after="0"/>
              <w:rPr>
                <w:sz w:val="20"/>
                <w:szCs w:val="20"/>
                <w:color w:val="auto"/>
              </w:rPr>
            </w:pPr>
            <w:r>
              <w:rPr>
                <w:rFonts w:ascii="Arial" w:cs="Arial" w:eastAsia="Arial" w:hAnsi="Arial"/>
                <w:sz w:val="14"/>
                <w:szCs w:val="14"/>
                <w:color w:val="auto"/>
                <w:w w:val="96"/>
              </w:rPr>
              <w:t>S-1/A</w:t>
            </w:r>
          </w:p>
        </w:tc>
        <w:tc>
          <w:tcPr>
            <w:tcW w:w="1600" w:type="dxa"/>
            <w:vAlign w:val="bottom"/>
            <w:gridSpan w:val="3"/>
          </w:tcPr>
          <w:p>
            <w:pPr>
              <w:jc w:val="center"/>
              <w:ind w:left="289"/>
              <w:spacing w:after="0"/>
              <w:rPr>
                <w:sz w:val="20"/>
                <w:szCs w:val="20"/>
                <w:color w:val="auto"/>
              </w:rPr>
            </w:pPr>
            <w:r>
              <w:rPr>
                <w:rFonts w:ascii="Arial" w:cs="Arial" w:eastAsia="Arial" w:hAnsi="Arial"/>
                <w:sz w:val="14"/>
                <w:szCs w:val="14"/>
                <w:color w:val="auto"/>
                <w:w w:val="90"/>
              </w:rPr>
              <w:t>333-238146</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May 26, 2020</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among the Registrant and certain of its stockholders, dated</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December 19, 2010.</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080" w:type="dxa"/>
            <w:vAlign w:val="bottom"/>
          </w:tcPr>
          <w:p>
            <w:pPr>
              <w:ind w:left="20"/>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Description of the Registrant’s Securities</w:t>
            </w:r>
          </w:p>
        </w:tc>
        <w:tc>
          <w:tcPr>
            <w:tcW w:w="640" w:type="dxa"/>
            <w:vAlign w:val="bottom"/>
          </w:tcPr>
          <w:p>
            <w:pPr>
              <w:jc w:val="center"/>
              <w:ind w:left="210"/>
              <w:spacing w:after="0"/>
              <w:rPr>
                <w:sz w:val="20"/>
                <w:szCs w:val="20"/>
                <w:color w:val="auto"/>
              </w:rPr>
            </w:pPr>
            <w:r>
              <w:rPr>
                <w:rFonts w:ascii="Arial" w:cs="Arial" w:eastAsia="Arial" w:hAnsi="Arial"/>
                <w:sz w:val="14"/>
                <w:szCs w:val="14"/>
                <w:color w:val="auto"/>
                <w:w w:val="94"/>
              </w:rPr>
              <w:t>10-K</w:t>
            </w:r>
          </w:p>
        </w:tc>
        <w:tc>
          <w:tcPr>
            <w:tcW w:w="1600" w:type="dxa"/>
            <w:vAlign w:val="bottom"/>
            <w:gridSpan w:val="3"/>
          </w:tcPr>
          <w:p>
            <w:pPr>
              <w:jc w:val="center"/>
              <w:ind w:left="289"/>
              <w:spacing w:after="0"/>
              <w:rPr>
                <w:sz w:val="20"/>
                <w:szCs w:val="20"/>
                <w:color w:val="auto"/>
              </w:rPr>
            </w:pPr>
            <w:r>
              <w:rPr>
                <w:rFonts w:ascii="Arial" w:cs="Arial" w:eastAsia="Arial" w:hAnsi="Arial"/>
                <w:sz w:val="14"/>
                <w:szCs w:val="14"/>
                <w:color w:val="auto"/>
                <w:w w:val="89"/>
              </w:rPr>
              <w:t>001-39303</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March 16, 2021</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80" w:type="dxa"/>
            <w:vAlign w:val="bottom"/>
          </w:tcPr>
          <w:p>
            <w:pPr>
              <w:ind w:left="2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2020 Stock Option and Incentive Plan and forms of award</w:t>
            </w:r>
          </w:p>
        </w:tc>
        <w:tc>
          <w:tcPr>
            <w:tcW w:w="640" w:type="dxa"/>
            <w:vAlign w:val="bottom"/>
          </w:tcPr>
          <w:p>
            <w:pPr>
              <w:jc w:val="center"/>
              <w:ind w:left="190"/>
              <w:spacing w:after="0"/>
              <w:rPr>
                <w:sz w:val="20"/>
                <w:szCs w:val="20"/>
                <w:color w:val="auto"/>
              </w:rPr>
            </w:pPr>
            <w:r>
              <w:rPr>
                <w:rFonts w:ascii="Arial" w:cs="Arial" w:eastAsia="Arial" w:hAnsi="Arial"/>
                <w:sz w:val="14"/>
                <w:szCs w:val="14"/>
                <w:color w:val="auto"/>
                <w:w w:val="96"/>
              </w:rPr>
              <w:t>S-1/A</w:t>
            </w:r>
          </w:p>
        </w:tc>
        <w:tc>
          <w:tcPr>
            <w:tcW w:w="1600" w:type="dxa"/>
            <w:vAlign w:val="bottom"/>
            <w:gridSpan w:val="3"/>
          </w:tcPr>
          <w:p>
            <w:pPr>
              <w:jc w:val="center"/>
              <w:ind w:left="289"/>
              <w:spacing w:after="0"/>
              <w:rPr>
                <w:sz w:val="20"/>
                <w:szCs w:val="20"/>
                <w:color w:val="auto"/>
              </w:rPr>
            </w:pPr>
            <w:r>
              <w:rPr>
                <w:rFonts w:ascii="Arial" w:cs="Arial" w:eastAsia="Arial" w:hAnsi="Arial"/>
                <w:sz w:val="14"/>
                <w:szCs w:val="14"/>
                <w:color w:val="auto"/>
                <w:w w:val="90"/>
              </w:rPr>
              <w:t>333-238146</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10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May 26, 2020</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agreement.</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80" w:type="dxa"/>
            <w:vAlign w:val="bottom"/>
          </w:tcPr>
          <w:p>
            <w:pPr>
              <w:ind w:left="20"/>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w w:val="99"/>
              </w:rPr>
              <w:t>2015 Equity Incentive Plan and forms of award agreements</w:t>
            </w:r>
          </w:p>
        </w:tc>
        <w:tc>
          <w:tcPr>
            <w:tcW w:w="640" w:type="dxa"/>
            <w:vAlign w:val="bottom"/>
          </w:tcPr>
          <w:p>
            <w:pPr>
              <w:jc w:val="center"/>
              <w:ind w:left="210"/>
              <w:spacing w:after="0"/>
              <w:rPr>
                <w:sz w:val="20"/>
                <w:szCs w:val="20"/>
                <w:color w:val="auto"/>
              </w:rPr>
            </w:pPr>
            <w:r>
              <w:rPr>
                <w:rFonts w:ascii="Arial" w:cs="Arial" w:eastAsia="Arial" w:hAnsi="Arial"/>
                <w:sz w:val="14"/>
                <w:szCs w:val="14"/>
                <w:color w:val="auto"/>
                <w:w w:val="91"/>
              </w:rPr>
              <w:t>S-1</w:t>
            </w:r>
          </w:p>
        </w:tc>
        <w:tc>
          <w:tcPr>
            <w:tcW w:w="1600" w:type="dxa"/>
            <w:vAlign w:val="bottom"/>
            <w:gridSpan w:val="3"/>
          </w:tcPr>
          <w:p>
            <w:pPr>
              <w:jc w:val="center"/>
              <w:ind w:left="289"/>
              <w:spacing w:after="0"/>
              <w:rPr>
                <w:sz w:val="20"/>
                <w:szCs w:val="20"/>
                <w:color w:val="auto"/>
              </w:rPr>
            </w:pPr>
            <w:r>
              <w:rPr>
                <w:rFonts w:ascii="Arial" w:cs="Arial" w:eastAsia="Arial" w:hAnsi="Arial"/>
                <w:sz w:val="14"/>
                <w:szCs w:val="14"/>
                <w:color w:val="auto"/>
                <w:w w:val="90"/>
              </w:rPr>
              <w:t>333-238146</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May 11, 2020</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thereunder.</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080" w:type="dxa"/>
            <w:vAlign w:val="bottom"/>
          </w:tcPr>
          <w:p>
            <w:pPr>
              <w:ind w:left="20"/>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2020 Employee Stock Purchase Plan.</w:t>
            </w:r>
          </w:p>
        </w:tc>
        <w:tc>
          <w:tcPr>
            <w:tcW w:w="640" w:type="dxa"/>
            <w:vAlign w:val="bottom"/>
          </w:tcPr>
          <w:p>
            <w:pPr>
              <w:jc w:val="center"/>
              <w:ind w:left="190"/>
              <w:spacing w:after="0"/>
              <w:rPr>
                <w:sz w:val="20"/>
                <w:szCs w:val="20"/>
                <w:color w:val="auto"/>
              </w:rPr>
            </w:pPr>
            <w:r>
              <w:rPr>
                <w:rFonts w:ascii="Arial" w:cs="Arial" w:eastAsia="Arial" w:hAnsi="Arial"/>
                <w:sz w:val="14"/>
                <w:szCs w:val="14"/>
                <w:color w:val="auto"/>
                <w:w w:val="96"/>
              </w:rPr>
              <w:t>S-1/A</w:t>
            </w:r>
          </w:p>
        </w:tc>
        <w:tc>
          <w:tcPr>
            <w:tcW w:w="1600" w:type="dxa"/>
            <w:vAlign w:val="bottom"/>
            <w:gridSpan w:val="3"/>
          </w:tcPr>
          <w:p>
            <w:pPr>
              <w:jc w:val="center"/>
              <w:ind w:left="289"/>
              <w:spacing w:after="0"/>
              <w:rPr>
                <w:sz w:val="20"/>
                <w:szCs w:val="20"/>
                <w:color w:val="auto"/>
              </w:rPr>
            </w:pPr>
            <w:r>
              <w:rPr>
                <w:rFonts w:ascii="Arial" w:cs="Arial" w:eastAsia="Arial" w:hAnsi="Arial"/>
                <w:sz w:val="14"/>
                <w:szCs w:val="14"/>
                <w:color w:val="auto"/>
                <w:w w:val="90"/>
              </w:rPr>
              <w:t>333-238146</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10.3</w:t>
            </w:r>
          </w:p>
        </w:tc>
        <w:tc>
          <w:tcPr>
            <w:tcW w:w="10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May 26, 2020</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Pr>
          <w:p>
            <w:pPr>
              <w:ind w:left="20"/>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Senior Executive Cash Incentive Bonus Plan.</w:t>
            </w:r>
          </w:p>
        </w:tc>
        <w:tc>
          <w:tcPr>
            <w:tcW w:w="640" w:type="dxa"/>
            <w:vAlign w:val="bottom"/>
          </w:tcPr>
          <w:p>
            <w:pPr>
              <w:jc w:val="center"/>
              <w:ind w:left="210"/>
              <w:spacing w:after="0"/>
              <w:rPr>
                <w:sz w:val="20"/>
                <w:szCs w:val="20"/>
                <w:color w:val="auto"/>
              </w:rPr>
            </w:pPr>
            <w:r>
              <w:rPr>
                <w:rFonts w:ascii="Arial" w:cs="Arial" w:eastAsia="Arial" w:hAnsi="Arial"/>
                <w:sz w:val="14"/>
                <w:szCs w:val="14"/>
                <w:color w:val="auto"/>
                <w:w w:val="91"/>
              </w:rPr>
              <w:t>S-1</w:t>
            </w:r>
          </w:p>
        </w:tc>
        <w:tc>
          <w:tcPr>
            <w:tcW w:w="1600" w:type="dxa"/>
            <w:vAlign w:val="bottom"/>
            <w:gridSpan w:val="3"/>
          </w:tcPr>
          <w:p>
            <w:pPr>
              <w:jc w:val="center"/>
              <w:ind w:left="289"/>
              <w:spacing w:after="0"/>
              <w:rPr>
                <w:sz w:val="20"/>
                <w:szCs w:val="20"/>
                <w:color w:val="auto"/>
              </w:rPr>
            </w:pPr>
            <w:r>
              <w:rPr>
                <w:rFonts w:ascii="Arial" w:cs="Arial" w:eastAsia="Arial" w:hAnsi="Arial"/>
                <w:sz w:val="14"/>
                <w:szCs w:val="14"/>
                <w:color w:val="auto"/>
                <w:w w:val="90"/>
              </w:rPr>
              <w:t>333-238146</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10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May 11, 2020</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Pr>
          <w:p>
            <w:pPr>
              <w:ind w:left="2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Non-Employee Director Compensation Policy.</w:t>
            </w:r>
          </w:p>
        </w:tc>
        <w:tc>
          <w:tcPr>
            <w:tcW w:w="640" w:type="dxa"/>
            <w:vAlign w:val="bottom"/>
          </w:tcPr>
          <w:p>
            <w:pPr>
              <w:jc w:val="center"/>
              <w:ind w:left="190"/>
              <w:spacing w:after="0"/>
              <w:rPr>
                <w:sz w:val="20"/>
                <w:szCs w:val="20"/>
                <w:color w:val="auto"/>
              </w:rPr>
            </w:pPr>
            <w:r>
              <w:rPr>
                <w:rFonts w:ascii="Arial" w:cs="Arial" w:eastAsia="Arial" w:hAnsi="Arial"/>
                <w:sz w:val="14"/>
                <w:szCs w:val="14"/>
                <w:color w:val="auto"/>
                <w:w w:val="96"/>
              </w:rPr>
              <w:t>S-1/A</w:t>
            </w:r>
          </w:p>
        </w:tc>
        <w:tc>
          <w:tcPr>
            <w:tcW w:w="1600" w:type="dxa"/>
            <w:vAlign w:val="bottom"/>
            <w:gridSpan w:val="3"/>
          </w:tcPr>
          <w:p>
            <w:pPr>
              <w:jc w:val="center"/>
              <w:ind w:left="289"/>
              <w:spacing w:after="0"/>
              <w:rPr>
                <w:sz w:val="20"/>
                <w:szCs w:val="20"/>
                <w:color w:val="auto"/>
              </w:rPr>
            </w:pPr>
            <w:r>
              <w:rPr>
                <w:rFonts w:ascii="Arial" w:cs="Arial" w:eastAsia="Arial" w:hAnsi="Arial"/>
                <w:sz w:val="14"/>
                <w:szCs w:val="14"/>
                <w:color w:val="auto"/>
                <w:w w:val="90"/>
              </w:rPr>
              <w:t>333-238146</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10.6</w:t>
            </w:r>
          </w:p>
        </w:tc>
        <w:tc>
          <w:tcPr>
            <w:tcW w:w="10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May 26, 2020</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Pr>
          <w:p>
            <w:pPr>
              <w:ind w:left="20"/>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Executive Severance Plan.</w:t>
            </w:r>
          </w:p>
        </w:tc>
        <w:tc>
          <w:tcPr>
            <w:tcW w:w="640" w:type="dxa"/>
            <w:vAlign w:val="bottom"/>
          </w:tcPr>
          <w:p>
            <w:pPr>
              <w:jc w:val="center"/>
              <w:ind w:left="210"/>
              <w:spacing w:after="0"/>
              <w:rPr>
                <w:sz w:val="20"/>
                <w:szCs w:val="20"/>
                <w:color w:val="auto"/>
              </w:rPr>
            </w:pPr>
            <w:r>
              <w:rPr>
                <w:rFonts w:ascii="Arial" w:cs="Arial" w:eastAsia="Arial" w:hAnsi="Arial"/>
                <w:sz w:val="14"/>
                <w:szCs w:val="14"/>
                <w:color w:val="auto"/>
                <w:w w:val="91"/>
              </w:rPr>
              <w:t>S-1</w:t>
            </w:r>
          </w:p>
        </w:tc>
        <w:tc>
          <w:tcPr>
            <w:tcW w:w="1600" w:type="dxa"/>
            <w:vAlign w:val="bottom"/>
            <w:gridSpan w:val="3"/>
          </w:tcPr>
          <w:p>
            <w:pPr>
              <w:jc w:val="center"/>
              <w:ind w:left="289"/>
              <w:spacing w:after="0"/>
              <w:rPr>
                <w:sz w:val="20"/>
                <w:szCs w:val="20"/>
                <w:color w:val="auto"/>
              </w:rPr>
            </w:pPr>
            <w:r>
              <w:rPr>
                <w:rFonts w:ascii="Arial" w:cs="Arial" w:eastAsia="Arial" w:hAnsi="Arial"/>
                <w:sz w:val="14"/>
                <w:szCs w:val="14"/>
                <w:color w:val="auto"/>
                <w:w w:val="90"/>
              </w:rPr>
              <w:t>333-238146</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10.7</w:t>
            </w:r>
          </w:p>
        </w:tc>
        <w:tc>
          <w:tcPr>
            <w:tcW w:w="10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May 11, 2020</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80" w:type="dxa"/>
            <w:vAlign w:val="bottom"/>
          </w:tcPr>
          <w:p>
            <w:pPr>
              <w:ind w:left="20"/>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Offer Letter, by and between the Registrant and Mike</w:t>
            </w:r>
          </w:p>
        </w:tc>
        <w:tc>
          <w:tcPr>
            <w:tcW w:w="640" w:type="dxa"/>
            <w:vAlign w:val="bottom"/>
          </w:tcPr>
          <w:p>
            <w:pPr>
              <w:jc w:val="center"/>
              <w:ind w:left="210"/>
              <w:spacing w:after="0"/>
              <w:rPr>
                <w:sz w:val="20"/>
                <w:szCs w:val="20"/>
                <w:color w:val="auto"/>
              </w:rPr>
            </w:pPr>
            <w:r>
              <w:rPr>
                <w:rFonts w:ascii="Arial" w:cs="Arial" w:eastAsia="Arial" w:hAnsi="Arial"/>
                <w:sz w:val="14"/>
                <w:szCs w:val="14"/>
                <w:color w:val="auto"/>
                <w:w w:val="89"/>
              </w:rPr>
              <w:t>10-Q</w:t>
            </w:r>
          </w:p>
        </w:tc>
        <w:tc>
          <w:tcPr>
            <w:tcW w:w="1600" w:type="dxa"/>
            <w:vAlign w:val="bottom"/>
            <w:gridSpan w:val="3"/>
          </w:tcPr>
          <w:p>
            <w:pPr>
              <w:jc w:val="center"/>
              <w:ind w:left="289"/>
              <w:spacing w:after="0"/>
              <w:rPr>
                <w:sz w:val="20"/>
                <w:szCs w:val="20"/>
                <w:color w:val="auto"/>
              </w:rPr>
            </w:pPr>
            <w:r>
              <w:rPr>
                <w:rFonts w:ascii="Arial" w:cs="Arial" w:eastAsia="Arial" w:hAnsi="Arial"/>
                <w:sz w:val="14"/>
                <w:szCs w:val="14"/>
                <w:color w:val="auto"/>
                <w:w w:val="89"/>
              </w:rPr>
              <w:t>001-39303</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November 10. 2020</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Ouimette, dated August 17, 2020.</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80" w:type="dxa"/>
            <w:vAlign w:val="bottom"/>
          </w:tcPr>
          <w:p>
            <w:pPr>
              <w:ind w:left="20"/>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w w:val="94"/>
              </w:rPr>
              <w:t>Offer Letter, by and between the Registrant and Éric Lefebvre,</w:t>
            </w:r>
          </w:p>
        </w:tc>
        <w:tc>
          <w:tcPr>
            <w:tcW w:w="640" w:type="dxa"/>
            <w:vAlign w:val="bottom"/>
          </w:tcPr>
          <w:p>
            <w:pPr>
              <w:jc w:val="center"/>
              <w:ind w:left="210"/>
              <w:spacing w:after="0"/>
              <w:rPr>
                <w:sz w:val="20"/>
                <w:szCs w:val="20"/>
                <w:color w:val="auto"/>
              </w:rPr>
            </w:pPr>
            <w:r>
              <w:rPr>
                <w:rFonts w:ascii="Arial" w:cs="Arial" w:eastAsia="Arial" w:hAnsi="Arial"/>
                <w:sz w:val="14"/>
                <w:szCs w:val="14"/>
                <w:color w:val="auto"/>
                <w:w w:val="91"/>
              </w:rPr>
              <w:t>S-1</w:t>
            </w:r>
          </w:p>
        </w:tc>
        <w:tc>
          <w:tcPr>
            <w:tcW w:w="1600" w:type="dxa"/>
            <w:vAlign w:val="bottom"/>
            <w:gridSpan w:val="3"/>
          </w:tcPr>
          <w:p>
            <w:pPr>
              <w:jc w:val="center"/>
              <w:ind w:left="289"/>
              <w:spacing w:after="0"/>
              <w:rPr>
                <w:sz w:val="20"/>
                <w:szCs w:val="20"/>
                <w:color w:val="auto"/>
              </w:rPr>
            </w:pPr>
            <w:r>
              <w:rPr>
                <w:rFonts w:ascii="Arial" w:cs="Arial" w:eastAsia="Arial" w:hAnsi="Arial"/>
                <w:sz w:val="14"/>
                <w:szCs w:val="14"/>
                <w:color w:val="auto"/>
                <w:w w:val="90"/>
              </w:rPr>
              <w:t>333-238146</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5"/>
              </w:rPr>
              <w:t>10.11</w:t>
            </w:r>
          </w:p>
        </w:tc>
        <w:tc>
          <w:tcPr>
            <w:tcW w:w="10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May 11, 2020</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M.D., dated February 28, 2018.</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80" w:type="dxa"/>
            <w:vAlign w:val="bottom"/>
          </w:tcPr>
          <w:p>
            <w:pPr>
              <w:ind w:left="20"/>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Offer Letter, by and between the Registrant and Keith</w:t>
            </w:r>
          </w:p>
        </w:tc>
        <w:tc>
          <w:tcPr>
            <w:tcW w:w="640" w:type="dxa"/>
            <w:vAlign w:val="bottom"/>
          </w:tcPr>
          <w:p>
            <w:pPr>
              <w:jc w:val="center"/>
              <w:ind w:left="210"/>
              <w:spacing w:after="0"/>
              <w:rPr>
                <w:sz w:val="20"/>
                <w:szCs w:val="20"/>
                <w:color w:val="auto"/>
              </w:rPr>
            </w:pPr>
            <w:r>
              <w:rPr>
                <w:rFonts w:ascii="Arial" w:cs="Arial" w:eastAsia="Arial" w:hAnsi="Arial"/>
                <w:sz w:val="14"/>
                <w:szCs w:val="14"/>
                <w:color w:val="auto"/>
                <w:w w:val="91"/>
              </w:rPr>
              <w:t>S-1</w:t>
            </w:r>
          </w:p>
        </w:tc>
        <w:tc>
          <w:tcPr>
            <w:tcW w:w="1600" w:type="dxa"/>
            <w:vAlign w:val="bottom"/>
            <w:gridSpan w:val="3"/>
          </w:tcPr>
          <w:p>
            <w:pPr>
              <w:jc w:val="center"/>
              <w:ind w:left="289"/>
              <w:spacing w:after="0"/>
              <w:rPr>
                <w:sz w:val="20"/>
                <w:szCs w:val="20"/>
                <w:color w:val="auto"/>
              </w:rPr>
            </w:pPr>
            <w:r>
              <w:rPr>
                <w:rFonts w:ascii="Arial" w:cs="Arial" w:eastAsia="Arial" w:hAnsi="Arial"/>
                <w:sz w:val="14"/>
                <w:szCs w:val="14"/>
                <w:color w:val="auto"/>
                <w:w w:val="90"/>
              </w:rPr>
              <w:t>333-238146</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5"/>
              </w:rPr>
              <w:t>10.10</w:t>
            </w:r>
          </w:p>
        </w:tc>
        <w:tc>
          <w:tcPr>
            <w:tcW w:w="10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May 11, 2020</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Cummings, M.D., MBA, dated November 29, 2018.</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80" w:type="dxa"/>
            <w:vAlign w:val="bottom"/>
          </w:tcPr>
          <w:p>
            <w:pPr>
              <w:ind w:left="20"/>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Offer Letter, by and between the Registrant and Hans Hull,</w:t>
            </w:r>
          </w:p>
        </w:tc>
        <w:tc>
          <w:tcPr>
            <w:tcW w:w="640" w:type="dxa"/>
            <w:vAlign w:val="bottom"/>
          </w:tcPr>
          <w:p>
            <w:pPr>
              <w:jc w:val="center"/>
              <w:ind w:left="210"/>
              <w:spacing w:after="0"/>
              <w:rPr>
                <w:sz w:val="20"/>
                <w:szCs w:val="20"/>
                <w:color w:val="auto"/>
              </w:rPr>
            </w:pPr>
            <w:r>
              <w:rPr>
                <w:rFonts w:ascii="Arial" w:cs="Arial" w:eastAsia="Arial" w:hAnsi="Arial"/>
                <w:sz w:val="14"/>
                <w:szCs w:val="14"/>
                <w:color w:val="auto"/>
                <w:w w:val="91"/>
              </w:rPr>
              <w:t>S-1</w:t>
            </w:r>
          </w:p>
        </w:tc>
        <w:tc>
          <w:tcPr>
            <w:tcW w:w="1600" w:type="dxa"/>
            <w:vAlign w:val="bottom"/>
            <w:gridSpan w:val="3"/>
          </w:tcPr>
          <w:p>
            <w:pPr>
              <w:jc w:val="center"/>
              <w:ind w:left="289"/>
              <w:spacing w:after="0"/>
              <w:rPr>
                <w:sz w:val="20"/>
                <w:szCs w:val="20"/>
                <w:color w:val="auto"/>
              </w:rPr>
            </w:pPr>
            <w:r>
              <w:rPr>
                <w:rFonts w:ascii="Arial" w:cs="Arial" w:eastAsia="Arial" w:hAnsi="Arial"/>
                <w:sz w:val="14"/>
                <w:szCs w:val="14"/>
                <w:color w:val="auto"/>
                <w:w w:val="90"/>
              </w:rPr>
              <w:t>333-238146</w:t>
            </w: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10.9</w:t>
            </w:r>
          </w:p>
        </w:tc>
        <w:tc>
          <w:tcPr>
            <w:tcW w:w="100" w:type="dxa"/>
            <w:vAlign w:val="bottom"/>
          </w:tcPr>
          <w:p>
            <w:pPr>
              <w:spacing w:after="0"/>
              <w:rPr>
                <w:sz w:val="17"/>
                <w:szCs w:val="17"/>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May 11, 2020</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gridSpan w:val="2"/>
          </w:tcPr>
          <w:p>
            <w:pPr>
              <w:ind w:left="20"/>
              <w:spacing w:after="0"/>
              <w:rPr>
                <w:sz w:val="20"/>
                <w:szCs w:val="20"/>
                <w:color w:val="auto"/>
              </w:rPr>
            </w:pPr>
            <w:r>
              <w:rPr>
                <w:rFonts w:ascii="Arial" w:cs="Arial" w:eastAsia="Arial" w:hAnsi="Arial"/>
                <w:sz w:val="14"/>
                <w:szCs w:val="14"/>
                <w:color w:val="auto"/>
              </w:rPr>
              <w:t>J.D., dated February 10, 2016.</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1"/>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85"/>
              </w:rPr>
              <w:t>116</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147"/>
        </w:trPr>
        <w:tc>
          <w:tcPr>
            <w:tcW w:w="1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20" w:type="dxa"/>
            <w:vAlign w:val="bottom"/>
          </w:tcPr>
          <w:p>
            <w:pPr>
              <w:ind w:left="340"/>
              <w:spacing w:after="0"/>
              <w:rPr>
                <w:sz w:val="20"/>
                <w:szCs w:val="20"/>
                <w:color w:val="auto"/>
              </w:rPr>
            </w:pPr>
            <w:r>
              <w:rPr>
                <w:rFonts w:ascii="Arial" w:cs="Arial" w:eastAsia="Arial" w:hAnsi="Arial"/>
                <w:sz w:val="11"/>
                <w:szCs w:val="11"/>
                <w:b w:val="1"/>
                <w:bCs w:val="1"/>
                <w:color w:val="auto"/>
              </w:rPr>
              <w:t>Incorporated by Reference</w:t>
            </w:r>
          </w:p>
        </w:tc>
        <w:tc>
          <w:tcPr>
            <w:tcW w:w="1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300" w:type="dxa"/>
            <w:vAlign w:val="bottom"/>
            <w:vMerge w:val="restart"/>
          </w:tcPr>
          <w:p>
            <w:pPr>
              <w:jc w:val="center"/>
              <w:ind w:right="843"/>
              <w:spacing w:after="0"/>
              <w:rPr>
                <w:sz w:val="20"/>
                <w:szCs w:val="20"/>
                <w:color w:val="auto"/>
              </w:rPr>
            </w:pPr>
            <w:r>
              <w:rPr>
                <w:rFonts w:ascii="Arial" w:cs="Arial" w:eastAsia="Arial" w:hAnsi="Arial"/>
                <w:sz w:val="11"/>
                <w:szCs w:val="11"/>
                <w:b w:val="1"/>
                <w:bCs w:val="1"/>
                <w:color w:val="auto"/>
                <w:w w:val="98"/>
              </w:rPr>
              <w:t>Exhibit</w:t>
            </w:r>
          </w:p>
        </w:tc>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1300" w:type="dxa"/>
            <w:vAlign w:val="bottom"/>
            <w:vMerge w:val="continue"/>
          </w:tcPr>
          <w:p>
            <w:pPr>
              <w:spacing w:after="0"/>
              <w:rPr>
                <w:sz w:val="9"/>
                <w:szCs w:val="9"/>
                <w:color w:val="auto"/>
              </w:rPr>
            </w:pPr>
          </w:p>
        </w:tc>
        <w:tc>
          <w:tcPr>
            <w:tcW w:w="3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60" w:type="dxa"/>
            <w:vAlign w:val="bottom"/>
          </w:tcPr>
          <w:p>
            <w:pPr>
              <w:jc w:val="center"/>
              <w:ind w:right="343"/>
              <w:spacing w:after="0" w:line="112" w:lineRule="exact"/>
              <w:rPr>
                <w:sz w:val="20"/>
                <w:szCs w:val="20"/>
                <w:color w:val="auto"/>
              </w:rPr>
            </w:pPr>
            <w:r>
              <w:rPr>
                <w:rFonts w:ascii="Arial" w:cs="Arial" w:eastAsia="Arial" w:hAnsi="Arial"/>
                <w:sz w:val="11"/>
                <w:szCs w:val="11"/>
                <w:b w:val="1"/>
                <w:bCs w:val="1"/>
                <w:color w:val="auto"/>
              </w:rPr>
              <w:t>Filing</w:t>
            </w:r>
          </w:p>
        </w:tc>
        <w:tc>
          <w:tcPr>
            <w:tcW w:w="1300" w:type="dxa"/>
            <w:vAlign w:val="bottom"/>
          </w:tcPr>
          <w:p>
            <w:pPr>
              <w:jc w:val="center"/>
              <w:ind w:left="303"/>
              <w:spacing w:after="0" w:line="112" w:lineRule="exact"/>
              <w:rPr>
                <w:sz w:val="20"/>
                <w:szCs w:val="20"/>
                <w:color w:val="auto"/>
              </w:rPr>
            </w:pPr>
            <w:r>
              <w:rPr>
                <w:rFonts w:ascii="Arial" w:cs="Arial" w:eastAsia="Arial" w:hAnsi="Arial"/>
                <w:sz w:val="11"/>
                <w:szCs w:val="11"/>
                <w:b w:val="1"/>
                <w:bCs w:val="1"/>
                <w:color w:val="auto"/>
                <w:w w:val="94"/>
              </w:rPr>
              <w:t>File</w:t>
            </w:r>
          </w:p>
        </w:tc>
        <w:tc>
          <w:tcPr>
            <w:tcW w:w="0" w:type="dxa"/>
            <w:vAlign w:val="bottom"/>
          </w:tcPr>
          <w:p>
            <w:pPr>
              <w:spacing w:after="0"/>
              <w:rPr>
                <w:sz w:val="1"/>
                <w:szCs w:val="1"/>
                <w:color w:val="auto"/>
              </w:rPr>
            </w:pPr>
          </w:p>
        </w:tc>
      </w:tr>
      <w:tr>
        <w:trPr>
          <w:trHeight w:val="168"/>
        </w:trPr>
        <w:tc>
          <w:tcPr>
            <w:tcW w:w="1300" w:type="dxa"/>
            <w:vAlign w:val="bottom"/>
          </w:tcPr>
          <w:p>
            <w:pPr>
              <w:jc w:val="center"/>
              <w:ind w:right="843"/>
              <w:spacing w:after="0"/>
              <w:rPr>
                <w:sz w:val="20"/>
                <w:szCs w:val="20"/>
                <w:color w:val="auto"/>
              </w:rPr>
            </w:pPr>
            <w:r>
              <w:rPr>
                <w:rFonts w:ascii="Arial" w:cs="Arial" w:eastAsia="Arial" w:hAnsi="Arial"/>
                <w:sz w:val="11"/>
                <w:szCs w:val="11"/>
                <w:b w:val="1"/>
                <w:bCs w:val="1"/>
                <w:color w:val="auto"/>
                <w:w w:val="96"/>
              </w:rPr>
              <w:t>Number</w:t>
            </w:r>
          </w:p>
        </w:tc>
        <w:tc>
          <w:tcPr>
            <w:tcW w:w="3240" w:type="dxa"/>
            <w:vAlign w:val="bottom"/>
          </w:tcPr>
          <w:p>
            <w:pPr>
              <w:ind w:left="880"/>
              <w:spacing w:after="0"/>
              <w:rPr>
                <w:sz w:val="20"/>
                <w:szCs w:val="20"/>
                <w:color w:val="auto"/>
              </w:rPr>
            </w:pPr>
            <w:r>
              <w:rPr>
                <w:rFonts w:ascii="Arial" w:cs="Arial" w:eastAsia="Arial" w:hAnsi="Arial"/>
                <w:sz w:val="11"/>
                <w:szCs w:val="11"/>
                <w:b w:val="1"/>
                <w:bCs w:val="1"/>
                <w:color w:val="auto"/>
              </w:rPr>
              <w:t>Exhibit Description</w:t>
            </w:r>
          </w:p>
        </w:tc>
        <w:tc>
          <w:tcPr>
            <w:tcW w:w="1020" w:type="dxa"/>
            <w:vAlign w:val="bottom"/>
          </w:tcPr>
          <w:p>
            <w:pPr>
              <w:ind w:left="320"/>
              <w:spacing w:after="0"/>
              <w:rPr>
                <w:sz w:val="20"/>
                <w:szCs w:val="20"/>
                <w:color w:val="auto"/>
              </w:rPr>
            </w:pPr>
            <w:r>
              <w:rPr>
                <w:rFonts w:ascii="Arial" w:cs="Arial" w:eastAsia="Arial" w:hAnsi="Arial"/>
                <w:sz w:val="11"/>
                <w:szCs w:val="11"/>
                <w:b w:val="1"/>
                <w:bCs w:val="1"/>
                <w:color w:val="auto"/>
              </w:rPr>
              <w:t>Form</w:t>
            </w:r>
          </w:p>
        </w:tc>
        <w:tc>
          <w:tcPr>
            <w:tcW w:w="1160" w:type="dxa"/>
            <w:vAlign w:val="bottom"/>
          </w:tcPr>
          <w:p>
            <w:pPr>
              <w:ind w:left="420"/>
              <w:spacing w:after="0"/>
              <w:rPr>
                <w:sz w:val="20"/>
                <w:szCs w:val="20"/>
                <w:color w:val="auto"/>
              </w:rPr>
            </w:pPr>
            <w:r>
              <w:rPr>
                <w:rFonts w:ascii="Arial" w:cs="Arial" w:eastAsia="Arial" w:hAnsi="Arial"/>
                <w:sz w:val="11"/>
                <w:szCs w:val="11"/>
                <w:b w:val="1"/>
                <w:bCs w:val="1"/>
                <w:color w:val="auto"/>
              </w:rPr>
              <w:t>File No.</w:t>
            </w:r>
          </w:p>
        </w:tc>
        <w:tc>
          <w:tcPr>
            <w:tcW w:w="1820" w:type="dxa"/>
            <w:vAlign w:val="bottom"/>
          </w:tcPr>
          <w:p>
            <w:pPr>
              <w:ind w:left="440"/>
              <w:spacing w:after="0"/>
              <w:rPr>
                <w:sz w:val="20"/>
                <w:szCs w:val="20"/>
                <w:color w:val="auto"/>
              </w:rPr>
            </w:pPr>
            <w:r>
              <w:rPr>
                <w:rFonts w:ascii="Arial" w:cs="Arial" w:eastAsia="Arial" w:hAnsi="Arial"/>
                <w:sz w:val="11"/>
                <w:szCs w:val="11"/>
                <w:b w:val="1"/>
                <w:bCs w:val="1"/>
                <w:color w:val="auto"/>
              </w:rPr>
              <w:t>Exhibit</w:t>
            </w:r>
          </w:p>
        </w:tc>
        <w:tc>
          <w:tcPr>
            <w:tcW w:w="1060" w:type="dxa"/>
            <w:vAlign w:val="bottom"/>
          </w:tcPr>
          <w:p>
            <w:pPr>
              <w:jc w:val="center"/>
              <w:ind w:right="343"/>
              <w:spacing w:after="0"/>
              <w:rPr>
                <w:sz w:val="20"/>
                <w:szCs w:val="20"/>
                <w:color w:val="auto"/>
              </w:rPr>
            </w:pPr>
            <w:r>
              <w:rPr>
                <w:rFonts w:ascii="Arial" w:cs="Arial" w:eastAsia="Arial" w:hAnsi="Arial"/>
                <w:sz w:val="11"/>
                <w:szCs w:val="11"/>
                <w:b w:val="1"/>
                <w:bCs w:val="1"/>
                <w:color w:val="auto"/>
                <w:w w:val="92"/>
              </w:rPr>
              <w:t>Date</w:t>
            </w:r>
          </w:p>
        </w:tc>
        <w:tc>
          <w:tcPr>
            <w:tcW w:w="1300" w:type="dxa"/>
            <w:vAlign w:val="bottom"/>
          </w:tcPr>
          <w:p>
            <w:pPr>
              <w:jc w:val="center"/>
              <w:ind w:left="283"/>
              <w:spacing w:after="0"/>
              <w:rPr>
                <w:sz w:val="20"/>
                <w:szCs w:val="20"/>
                <w:color w:val="auto"/>
              </w:rPr>
            </w:pPr>
            <w:r>
              <w:rPr>
                <w:rFonts w:ascii="Arial" w:cs="Arial" w:eastAsia="Arial" w:hAnsi="Arial"/>
                <w:sz w:val="11"/>
                <w:szCs w:val="11"/>
                <w:b w:val="1"/>
                <w:bCs w:val="1"/>
                <w:color w:val="auto"/>
                <w:w w:val="94"/>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3101975</wp:posOffset>
            </wp:positionH>
            <wp:positionV relativeFrom="paragraph">
              <wp:posOffset>19050</wp:posOffset>
            </wp:positionV>
            <wp:extent cx="402907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029075" cy="698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80" w:type="dxa"/>
            <w:vAlign w:val="bottom"/>
            <w:tcBorders>
              <w:top w:val="single" w:sz="8" w:color="auto"/>
            </w:tcBorders>
          </w:tcPr>
          <w:p>
            <w:pPr>
              <w:ind w:left="20"/>
              <w:spacing w:after="0" w:line="159" w:lineRule="exact"/>
              <w:rPr>
                <w:sz w:val="20"/>
                <w:szCs w:val="20"/>
                <w:color w:val="auto"/>
              </w:rPr>
            </w:pPr>
            <w:r>
              <w:rPr>
                <w:rFonts w:ascii="Arial" w:cs="Arial" w:eastAsia="Arial" w:hAnsi="Arial"/>
                <w:sz w:val="14"/>
                <w:szCs w:val="14"/>
                <w:color w:val="auto"/>
              </w:rPr>
              <w:t>10.11#</w:t>
            </w:r>
          </w:p>
        </w:tc>
        <w:tc>
          <w:tcPr>
            <w:tcW w:w="100" w:type="dxa"/>
            <w:vAlign w:val="bottom"/>
          </w:tcPr>
          <w:p>
            <w:pPr>
              <w:spacing w:after="0"/>
              <w:rPr>
                <w:sz w:val="13"/>
                <w:szCs w:val="13"/>
                <w:color w:val="auto"/>
              </w:rPr>
            </w:pPr>
          </w:p>
        </w:tc>
        <w:tc>
          <w:tcPr>
            <w:tcW w:w="3600" w:type="dxa"/>
            <w:vAlign w:val="bottom"/>
            <w:tcBorders>
              <w:top w:val="single" w:sz="8" w:color="auto"/>
            </w:tcBorders>
          </w:tcPr>
          <w:p>
            <w:pPr>
              <w:ind w:left="20"/>
              <w:spacing w:after="0" w:line="159" w:lineRule="exact"/>
              <w:rPr>
                <w:sz w:val="20"/>
                <w:szCs w:val="20"/>
                <w:color w:val="auto"/>
              </w:rPr>
            </w:pPr>
            <w:r>
              <w:rPr>
                <w:rFonts w:ascii="Arial" w:cs="Arial" w:eastAsia="Arial" w:hAnsi="Arial"/>
                <w:sz w:val="14"/>
                <w:szCs w:val="14"/>
                <w:color w:val="auto"/>
              </w:rPr>
              <w:t>Offer Letter, by and between the Registrant and Bernard</w:t>
            </w:r>
          </w:p>
        </w:tc>
      </w:tr>
      <w:tr>
        <w:trPr>
          <w:trHeight w:val="180"/>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ind w:left="20"/>
              <w:spacing w:after="0"/>
              <w:rPr>
                <w:sz w:val="20"/>
                <w:szCs w:val="20"/>
                <w:color w:val="auto"/>
              </w:rPr>
            </w:pPr>
            <w:r>
              <w:rPr>
                <w:rFonts w:ascii="Arial" w:cs="Arial" w:eastAsia="Arial" w:hAnsi="Arial"/>
                <w:sz w:val="14"/>
                <w:szCs w:val="14"/>
                <w:color w:val="auto"/>
              </w:rPr>
              <w:t>Coulie, M.D., Ph.D., dated October 12, 2015.</w:t>
            </w:r>
          </w:p>
        </w:tc>
      </w:tr>
      <w:tr>
        <w:trPr>
          <w:trHeight w:val="181"/>
        </w:trPr>
        <w:tc>
          <w:tcPr>
            <w:tcW w:w="1080" w:type="dxa"/>
            <w:vAlign w:val="bottom"/>
          </w:tcPr>
          <w:p>
            <w:pPr>
              <w:ind w:left="20"/>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15"/>
                <w:szCs w:val="15"/>
                <w:color w:val="auto"/>
              </w:rPr>
            </w:pPr>
          </w:p>
        </w:tc>
        <w:tc>
          <w:tcPr>
            <w:tcW w:w="3600" w:type="dxa"/>
            <w:vAlign w:val="bottom"/>
          </w:tcPr>
          <w:p>
            <w:pPr>
              <w:ind w:left="20"/>
              <w:spacing w:after="0"/>
              <w:rPr>
                <w:sz w:val="20"/>
                <w:szCs w:val="20"/>
                <w:color w:val="auto"/>
              </w:rPr>
            </w:pPr>
            <w:r>
              <w:rPr>
                <w:rFonts w:ascii="Arial" w:cs="Arial" w:eastAsia="Arial" w:hAnsi="Arial"/>
                <w:sz w:val="14"/>
                <w:szCs w:val="14"/>
                <w:color w:val="auto"/>
              </w:rPr>
              <w:t>Form of Indemnification Agreement, by and between the</w:t>
            </w:r>
          </w:p>
        </w:tc>
      </w:tr>
      <w:tr>
        <w:trPr>
          <w:trHeight w:val="180"/>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ind w:left="20"/>
              <w:spacing w:after="0"/>
              <w:rPr>
                <w:sz w:val="20"/>
                <w:szCs w:val="20"/>
                <w:color w:val="auto"/>
              </w:rPr>
            </w:pPr>
            <w:r>
              <w:rPr>
                <w:rFonts w:ascii="Arial" w:cs="Arial" w:eastAsia="Arial" w:hAnsi="Arial"/>
                <w:sz w:val="14"/>
                <w:szCs w:val="14"/>
                <w:color w:val="auto"/>
              </w:rPr>
              <w:t>Registrant and each of its directors and certain officers.</w:t>
            </w:r>
          </w:p>
        </w:tc>
      </w:tr>
      <w:tr>
        <w:trPr>
          <w:trHeight w:val="202"/>
        </w:trPr>
        <w:tc>
          <w:tcPr>
            <w:tcW w:w="1080" w:type="dxa"/>
            <w:vAlign w:val="bottom"/>
          </w:tcPr>
          <w:p>
            <w:pPr>
              <w:ind w:left="20"/>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17"/>
                <w:szCs w:val="17"/>
                <w:color w:val="auto"/>
              </w:rPr>
            </w:pPr>
          </w:p>
        </w:tc>
        <w:tc>
          <w:tcPr>
            <w:tcW w:w="3600" w:type="dxa"/>
            <w:vAlign w:val="bottom"/>
          </w:tcPr>
          <w:p>
            <w:pPr>
              <w:ind w:left="20"/>
              <w:spacing w:after="0"/>
              <w:rPr>
                <w:sz w:val="20"/>
                <w:szCs w:val="20"/>
                <w:color w:val="auto"/>
              </w:rPr>
            </w:pPr>
            <w:r>
              <w:rPr>
                <w:rFonts w:ascii="Arial" w:cs="Arial" w:eastAsia="Arial" w:hAnsi="Arial"/>
                <w:sz w:val="14"/>
                <w:szCs w:val="14"/>
                <w:color w:val="auto"/>
              </w:rPr>
              <w:t>Office Lease, by and between the Registrant and 260</w:t>
            </w:r>
          </w:p>
        </w:tc>
      </w:tr>
      <w:tr>
        <w:trPr>
          <w:trHeight w:val="170"/>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0" w:type="dxa"/>
            <w:vAlign w:val="bottom"/>
          </w:tcPr>
          <w:p>
            <w:pPr>
              <w:ind w:left="20"/>
              <w:spacing w:after="0"/>
              <w:rPr>
                <w:sz w:val="20"/>
                <w:szCs w:val="20"/>
                <w:color w:val="auto"/>
              </w:rPr>
            </w:pPr>
            <w:r>
              <w:rPr>
                <w:rFonts w:ascii="Arial" w:cs="Arial" w:eastAsia="Arial" w:hAnsi="Arial"/>
                <w:sz w:val="14"/>
                <w:szCs w:val="14"/>
                <w:color w:val="auto"/>
              </w:rPr>
              <w:t>Littlefield Avenue South San Francisco, California 94080,</w:t>
            </w:r>
          </w:p>
        </w:tc>
      </w:tr>
      <w:tr>
        <w:trPr>
          <w:trHeight w:val="180"/>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ind w:left="20"/>
              <w:spacing w:after="0"/>
              <w:rPr>
                <w:sz w:val="20"/>
                <w:szCs w:val="20"/>
                <w:color w:val="auto"/>
              </w:rPr>
            </w:pPr>
            <w:r>
              <w:rPr>
                <w:rFonts w:ascii="Arial" w:cs="Arial" w:eastAsia="Arial" w:hAnsi="Arial"/>
                <w:sz w:val="14"/>
                <w:szCs w:val="14"/>
                <w:color w:val="auto"/>
              </w:rPr>
              <w:t>dated February 6, 2018.</w:t>
            </w:r>
          </w:p>
        </w:tc>
      </w:tr>
    </w:tbl>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560" w:type="dxa"/>
            <w:vAlign w:val="bottom"/>
          </w:tcPr>
          <w:p>
            <w:pPr>
              <w:spacing w:after="0"/>
              <w:rPr>
                <w:sz w:val="20"/>
                <w:szCs w:val="20"/>
                <w:color w:val="auto"/>
              </w:rPr>
            </w:pPr>
            <w:r>
              <w:rPr>
                <w:rFonts w:ascii="Arial" w:cs="Arial" w:eastAsia="Arial" w:hAnsi="Arial"/>
                <w:sz w:val="14"/>
                <w:szCs w:val="14"/>
                <w:color w:val="auto"/>
              </w:rPr>
              <w:t>S-1</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333-238146</w:t>
            </w:r>
          </w:p>
        </w:tc>
        <w:tc>
          <w:tcPr>
            <w:tcW w:w="1140" w:type="dxa"/>
            <w:vAlign w:val="bottom"/>
          </w:tcPr>
          <w:p>
            <w:pPr>
              <w:jc w:val="center"/>
              <w:ind w:right="89"/>
              <w:spacing w:after="0"/>
              <w:rPr>
                <w:sz w:val="20"/>
                <w:szCs w:val="20"/>
                <w:color w:val="auto"/>
              </w:rPr>
            </w:pPr>
            <w:r>
              <w:rPr>
                <w:rFonts w:ascii="Arial" w:cs="Arial" w:eastAsia="Arial" w:hAnsi="Arial"/>
                <w:sz w:val="14"/>
                <w:szCs w:val="14"/>
                <w:color w:val="auto"/>
                <w:w w:val="95"/>
              </w:rPr>
              <w:t>10.8</w:t>
            </w:r>
          </w:p>
        </w:tc>
        <w:tc>
          <w:tcPr>
            <w:tcW w:w="1280" w:type="dxa"/>
            <w:vAlign w:val="bottom"/>
          </w:tcPr>
          <w:p>
            <w:pPr>
              <w:ind w:left="500"/>
              <w:spacing w:after="0"/>
              <w:rPr>
                <w:sz w:val="20"/>
                <w:szCs w:val="20"/>
                <w:color w:val="auto"/>
              </w:rPr>
            </w:pPr>
            <w:r>
              <w:rPr>
                <w:rFonts w:ascii="Arial" w:cs="Arial" w:eastAsia="Arial" w:hAnsi="Arial"/>
                <w:sz w:val="14"/>
                <w:szCs w:val="14"/>
                <w:color w:val="auto"/>
                <w:w w:val="89"/>
              </w:rPr>
              <w:t>May 11, 2020</w:t>
            </w:r>
          </w:p>
        </w:tc>
      </w:tr>
      <w:tr>
        <w:trPr>
          <w:trHeight w:val="329"/>
        </w:trPr>
        <w:tc>
          <w:tcPr>
            <w:tcW w:w="560" w:type="dxa"/>
            <w:vAlign w:val="bottom"/>
          </w:tcPr>
          <w:p>
            <w:pPr>
              <w:spacing w:after="0"/>
              <w:rPr>
                <w:sz w:val="20"/>
                <w:szCs w:val="20"/>
                <w:color w:val="auto"/>
              </w:rPr>
            </w:pPr>
            <w:r>
              <w:rPr>
                <w:rFonts w:ascii="Arial" w:cs="Arial" w:eastAsia="Arial" w:hAnsi="Arial"/>
                <w:sz w:val="14"/>
                <w:szCs w:val="14"/>
                <w:color w:val="auto"/>
              </w:rPr>
              <w:t>S-1</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333-238146</w:t>
            </w:r>
          </w:p>
        </w:tc>
        <w:tc>
          <w:tcPr>
            <w:tcW w:w="1140" w:type="dxa"/>
            <w:vAlign w:val="bottom"/>
          </w:tcPr>
          <w:p>
            <w:pPr>
              <w:jc w:val="center"/>
              <w:ind w:right="89"/>
              <w:spacing w:after="0"/>
              <w:rPr>
                <w:sz w:val="20"/>
                <w:szCs w:val="20"/>
                <w:color w:val="auto"/>
              </w:rPr>
            </w:pPr>
            <w:r>
              <w:rPr>
                <w:rFonts w:ascii="Arial" w:cs="Arial" w:eastAsia="Arial" w:hAnsi="Arial"/>
                <w:sz w:val="14"/>
                <w:szCs w:val="14"/>
                <w:color w:val="auto"/>
                <w:w w:val="85"/>
              </w:rPr>
              <w:t>10.13</w:t>
            </w:r>
          </w:p>
        </w:tc>
        <w:tc>
          <w:tcPr>
            <w:tcW w:w="1280" w:type="dxa"/>
            <w:vAlign w:val="bottom"/>
          </w:tcPr>
          <w:p>
            <w:pPr>
              <w:ind w:left="500"/>
              <w:spacing w:after="0"/>
              <w:rPr>
                <w:sz w:val="20"/>
                <w:szCs w:val="20"/>
                <w:color w:val="auto"/>
              </w:rPr>
            </w:pPr>
            <w:r>
              <w:rPr>
                <w:rFonts w:ascii="Arial" w:cs="Arial" w:eastAsia="Arial" w:hAnsi="Arial"/>
                <w:sz w:val="14"/>
                <w:szCs w:val="14"/>
                <w:color w:val="auto"/>
                <w:w w:val="89"/>
              </w:rPr>
              <w:t>May 11, 2020</w:t>
            </w:r>
          </w:p>
        </w:tc>
      </w:tr>
      <w:tr>
        <w:trPr>
          <w:trHeight w:val="382"/>
        </w:trPr>
        <w:tc>
          <w:tcPr>
            <w:tcW w:w="560" w:type="dxa"/>
            <w:vAlign w:val="bottom"/>
          </w:tcPr>
          <w:p>
            <w:pPr>
              <w:spacing w:after="0"/>
              <w:rPr>
                <w:sz w:val="20"/>
                <w:szCs w:val="20"/>
                <w:color w:val="auto"/>
              </w:rPr>
            </w:pPr>
            <w:r>
              <w:rPr>
                <w:rFonts w:ascii="Arial" w:cs="Arial" w:eastAsia="Arial" w:hAnsi="Arial"/>
                <w:sz w:val="14"/>
                <w:szCs w:val="14"/>
                <w:color w:val="auto"/>
              </w:rPr>
              <w:t>S-1</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333-238146</w:t>
            </w:r>
          </w:p>
        </w:tc>
        <w:tc>
          <w:tcPr>
            <w:tcW w:w="1140" w:type="dxa"/>
            <w:vAlign w:val="bottom"/>
          </w:tcPr>
          <w:p>
            <w:pPr>
              <w:jc w:val="center"/>
              <w:ind w:right="89"/>
              <w:spacing w:after="0"/>
              <w:rPr>
                <w:sz w:val="20"/>
                <w:szCs w:val="20"/>
                <w:color w:val="auto"/>
              </w:rPr>
            </w:pPr>
            <w:r>
              <w:rPr>
                <w:rFonts w:ascii="Arial" w:cs="Arial" w:eastAsia="Arial" w:hAnsi="Arial"/>
                <w:sz w:val="14"/>
                <w:szCs w:val="14"/>
                <w:color w:val="auto"/>
                <w:w w:val="85"/>
              </w:rPr>
              <w:t>10.14</w:t>
            </w:r>
          </w:p>
        </w:tc>
        <w:tc>
          <w:tcPr>
            <w:tcW w:w="1280" w:type="dxa"/>
            <w:vAlign w:val="bottom"/>
          </w:tcPr>
          <w:p>
            <w:pPr>
              <w:ind w:left="500"/>
              <w:spacing w:after="0"/>
              <w:rPr>
                <w:sz w:val="20"/>
                <w:szCs w:val="20"/>
                <w:color w:val="auto"/>
              </w:rPr>
            </w:pPr>
            <w:r>
              <w:rPr>
                <w:rFonts w:ascii="Arial" w:cs="Arial" w:eastAsia="Arial" w:hAnsi="Arial"/>
                <w:sz w:val="14"/>
                <w:szCs w:val="14"/>
                <w:color w:val="auto"/>
                <w:w w:val="89"/>
              </w:rPr>
              <w:t>May 11, 2020</w:t>
            </w:r>
          </w:p>
        </w:tc>
      </w:tr>
    </w:tbl>
    <w:p>
      <w:pPr>
        <w:spacing w:after="0" w:line="371" w:lineRule="exact"/>
        <w:rPr>
          <w:sz w:val="20"/>
          <w:szCs w:val="20"/>
          <w:color w:val="auto"/>
        </w:rPr>
      </w:pPr>
    </w:p>
    <w:p>
      <w:pPr>
        <w:sectPr>
          <w:pgSz w:w="11900" w:h="16838" w:orient="portrait"/>
          <w:cols w:equalWidth="0" w:num="2">
            <w:col w:w="4780" w:space="460"/>
            <w:col w:w="6040"/>
          </w:cols>
          <w:pgMar w:left="300" w:top="129" w:right="31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1200" w:type="dxa"/>
            <w:vAlign w:val="bottom"/>
          </w:tcPr>
          <w:p>
            <w:pPr>
              <w:ind w:left="20"/>
              <w:spacing w:after="0"/>
              <w:rPr>
                <w:sz w:val="20"/>
                <w:szCs w:val="20"/>
                <w:color w:val="auto"/>
              </w:rPr>
            </w:pPr>
            <w:r>
              <w:rPr>
                <w:rFonts w:ascii="Arial" w:cs="Arial" w:eastAsia="Arial" w:hAnsi="Arial"/>
                <w:sz w:val="14"/>
                <w:szCs w:val="14"/>
                <w:color w:val="auto"/>
              </w:rPr>
              <w:t>10.14†</w:t>
            </w:r>
          </w:p>
        </w:tc>
        <w:tc>
          <w:tcPr>
            <w:tcW w:w="3560" w:type="dxa"/>
            <w:vAlign w:val="bottom"/>
            <w:gridSpan w:val="14"/>
          </w:tcPr>
          <w:p>
            <w:pPr>
              <w:spacing w:after="0"/>
              <w:rPr>
                <w:sz w:val="20"/>
                <w:szCs w:val="20"/>
                <w:color w:val="auto"/>
              </w:rPr>
            </w:pPr>
            <w:r>
              <w:rPr>
                <w:rFonts w:ascii="Arial" w:cs="Arial" w:eastAsia="Arial" w:hAnsi="Arial"/>
                <w:sz w:val="14"/>
                <w:szCs w:val="14"/>
                <w:color w:val="auto"/>
                <w:w w:val="97"/>
              </w:rPr>
              <w:t>Collaboration and License Agreement, by and between the</w:t>
            </w:r>
          </w:p>
        </w:tc>
        <w:tc>
          <w:tcPr>
            <w:tcW w:w="760" w:type="dxa"/>
            <w:vAlign w:val="bottom"/>
          </w:tcPr>
          <w:p>
            <w:pPr>
              <w:jc w:val="center"/>
              <w:ind w:left="329"/>
              <w:spacing w:after="0"/>
              <w:rPr>
                <w:sz w:val="20"/>
                <w:szCs w:val="20"/>
                <w:color w:val="auto"/>
              </w:rPr>
            </w:pPr>
            <w:r>
              <w:rPr>
                <w:rFonts w:ascii="Arial" w:cs="Arial" w:eastAsia="Arial" w:hAnsi="Arial"/>
                <w:sz w:val="14"/>
                <w:szCs w:val="14"/>
                <w:color w:val="auto"/>
                <w:w w:val="91"/>
              </w:rPr>
              <w:t>S-1</w:t>
            </w:r>
          </w:p>
        </w:tc>
        <w:tc>
          <w:tcPr>
            <w:tcW w:w="1660" w:type="dxa"/>
            <w:vAlign w:val="bottom"/>
          </w:tcPr>
          <w:p>
            <w:pPr>
              <w:jc w:val="center"/>
              <w:ind w:left="229"/>
              <w:spacing w:after="0"/>
              <w:rPr>
                <w:sz w:val="20"/>
                <w:szCs w:val="20"/>
                <w:color w:val="auto"/>
              </w:rPr>
            </w:pPr>
            <w:r>
              <w:rPr>
                <w:rFonts w:ascii="Arial" w:cs="Arial" w:eastAsia="Arial" w:hAnsi="Arial"/>
                <w:sz w:val="14"/>
                <w:szCs w:val="14"/>
                <w:color w:val="auto"/>
                <w:w w:val="90"/>
              </w:rPr>
              <w:t>333-238146</w:t>
            </w:r>
          </w:p>
        </w:tc>
        <w:tc>
          <w:tcPr>
            <w:tcW w:w="1140" w:type="dxa"/>
            <w:vAlign w:val="bottom"/>
          </w:tcPr>
          <w:p>
            <w:pPr>
              <w:jc w:val="center"/>
              <w:ind w:right="89"/>
              <w:spacing w:after="0"/>
              <w:rPr>
                <w:sz w:val="20"/>
                <w:szCs w:val="20"/>
                <w:color w:val="auto"/>
              </w:rPr>
            </w:pPr>
            <w:r>
              <w:rPr>
                <w:rFonts w:ascii="Arial" w:cs="Arial" w:eastAsia="Arial" w:hAnsi="Arial"/>
                <w:sz w:val="14"/>
                <w:szCs w:val="14"/>
                <w:color w:val="auto"/>
                <w:w w:val="85"/>
              </w:rPr>
              <w:t>10.15</w:t>
            </w:r>
          </w:p>
        </w:tc>
        <w:tc>
          <w:tcPr>
            <w:tcW w:w="2960" w:type="dxa"/>
            <w:vAlign w:val="bottom"/>
          </w:tcPr>
          <w:p>
            <w:pPr>
              <w:jc w:val="center"/>
              <w:ind w:right="1109"/>
              <w:spacing w:after="0"/>
              <w:rPr>
                <w:sz w:val="20"/>
                <w:szCs w:val="20"/>
                <w:color w:val="auto"/>
              </w:rPr>
            </w:pPr>
            <w:r>
              <w:rPr>
                <w:rFonts w:ascii="Arial" w:cs="Arial" w:eastAsia="Arial" w:hAnsi="Arial"/>
                <w:sz w:val="14"/>
                <w:szCs w:val="14"/>
                <w:color w:val="auto"/>
                <w:w w:val="91"/>
              </w:rPr>
              <w:t>May 11, 2020</w:t>
            </w:r>
          </w:p>
        </w:tc>
      </w:tr>
      <w:tr>
        <w:trPr>
          <w:trHeight w:val="170"/>
        </w:trPr>
        <w:tc>
          <w:tcPr>
            <w:tcW w:w="1200" w:type="dxa"/>
            <w:vAlign w:val="bottom"/>
          </w:tcPr>
          <w:p>
            <w:pPr>
              <w:spacing w:after="0"/>
              <w:rPr>
                <w:sz w:val="14"/>
                <w:szCs w:val="14"/>
                <w:color w:val="auto"/>
              </w:rPr>
            </w:pPr>
          </w:p>
        </w:tc>
        <w:tc>
          <w:tcPr>
            <w:tcW w:w="3560" w:type="dxa"/>
            <w:vAlign w:val="bottom"/>
            <w:gridSpan w:val="14"/>
          </w:tcPr>
          <w:p>
            <w:pPr>
              <w:spacing w:after="0"/>
              <w:rPr>
                <w:sz w:val="20"/>
                <w:szCs w:val="20"/>
                <w:color w:val="auto"/>
              </w:rPr>
            </w:pPr>
            <w:r>
              <w:rPr>
                <w:rFonts w:ascii="Arial" w:cs="Arial" w:eastAsia="Arial" w:hAnsi="Arial"/>
                <w:sz w:val="14"/>
                <w:szCs w:val="14"/>
                <w:color w:val="auto"/>
                <w:w w:val="95"/>
              </w:rPr>
              <w:t>Registrant and Novartis Institutes For Biomedical Research,</w:t>
            </w:r>
          </w:p>
        </w:tc>
        <w:tc>
          <w:tcPr>
            <w:tcW w:w="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80"/>
        </w:trPr>
        <w:tc>
          <w:tcPr>
            <w:tcW w:w="1200" w:type="dxa"/>
            <w:vAlign w:val="bottom"/>
          </w:tcPr>
          <w:p>
            <w:pPr>
              <w:spacing w:after="0"/>
              <w:rPr>
                <w:sz w:val="15"/>
                <w:szCs w:val="15"/>
                <w:color w:val="auto"/>
              </w:rPr>
            </w:pPr>
          </w:p>
        </w:tc>
        <w:tc>
          <w:tcPr>
            <w:tcW w:w="3560" w:type="dxa"/>
            <w:vAlign w:val="bottom"/>
            <w:gridSpan w:val="14"/>
          </w:tcPr>
          <w:p>
            <w:pPr>
              <w:spacing w:after="0"/>
              <w:rPr>
                <w:sz w:val="20"/>
                <w:szCs w:val="20"/>
                <w:color w:val="auto"/>
              </w:rPr>
            </w:pPr>
            <w:r>
              <w:rPr>
                <w:rFonts w:ascii="Arial" w:cs="Arial" w:eastAsia="Arial" w:hAnsi="Arial"/>
                <w:sz w:val="14"/>
                <w:szCs w:val="14"/>
                <w:color w:val="auto"/>
              </w:rPr>
              <w:t>Inc., dated October 17, 2019.</w:t>
            </w:r>
          </w:p>
        </w:tc>
        <w:tc>
          <w:tcPr>
            <w:tcW w:w="7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202"/>
        </w:trPr>
        <w:tc>
          <w:tcPr>
            <w:tcW w:w="1200" w:type="dxa"/>
            <w:vAlign w:val="bottom"/>
          </w:tcPr>
          <w:p>
            <w:pPr>
              <w:ind w:left="20"/>
              <w:spacing w:after="0"/>
              <w:rPr>
                <w:sz w:val="20"/>
                <w:szCs w:val="20"/>
                <w:color w:val="auto"/>
              </w:rPr>
            </w:pPr>
            <w:r>
              <w:rPr>
                <w:rFonts w:ascii="Arial" w:cs="Arial" w:eastAsia="Arial" w:hAnsi="Arial"/>
                <w:sz w:val="14"/>
                <w:szCs w:val="14"/>
                <w:color w:val="auto"/>
              </w:rPr>
              <w:t>10.15#</w:t>
            </w:r>
          </w:p>
        </w:tc>
        <w:tc>
          <w:tcPr>
            <w:tcW w:w="3560" w:type="dxa"/>
            <w:vAlign w:val="bottom"/>
            <w:gridSpan w:val="14"/>
          </w:tcPr>
          <w:p>
            <w:pPr>
              <w:spacing w:after="0"/>
              <w:rPr>
                <w:sz w:val="20"/>
                <w:szCs w:val="20"/>
                <w:color w:val="auto"/>
              </w:rPr>
            </w:pPr>
            <w:r>
              <w:rPr>
                <w:rFonts w:ascii="Arial" w:cs="Arial" w:eastAsia="Arial" w:hAnsi="Arial"/>
                <w:sz w:val="14"/>
                <w:szCs w:val="14"/>
                <w:color w:val="auto"/>
                <w:w w:val="90"/>
              </w:rPr>
              <w:t>Amended and Restated Non-Employee Director Compensation</w:t>
            </w:r>
          </w:p>
        </w:tc>
        <w:tc>
          <w:tcPr>
            <w:tcW w:w="760" w:type="dxa"/>
            <w:vAlign w:val="bottom"/>
          </w:tcPr>
          <w:p>
            <w:pPr>
              <w:jc w:val="center"/>
              <w:ind w:left="329"/>
              <w:spacing w:after="0"/>
              <w:rPr>
                <w:sz w:val="20"/>
                <w:szCs w:val="20"/>
                <w:color w:val="auto"/>
              </w:rPr>
            </w:pPr>
            <w:r>
              <w:rPr>
                <w:rFonts w:ascii="Arial" w:cs="Arial" w:eastAsia="Arial" w:hAnsi="Arial"/>
                <w:sz w:val="14"/>
                <w:szCs w:val="14"/>
                <w:color w:val="auto"/>
                <w:w w:val="94"/>
              </w:rPr>
              <w:t>10-K</w:t>
            </w:r>
          </w:p>
        </w:tc>
        <w:tc>
          <w:tcPr>
            <w:tcW w:w="1660" w:type="dxa"/>
            <w:vAlign w:val="bottom"/>
          </w:tcPr>
          <w:p>
            <w:pPr>
              <w:jc w:val="center"/>
              <w:ind w:left="229"/>
              <w:spacing w:after="0"/>
              <w:rPr>
                <w:sz w:val="20"/>
                <w:szCs w:val="20"/>
                <w:color w:val="auto"/>
              </w:rPr>
            </w:pPr>
            <w:r>
              <w:rPr>
                <w:rFonts w:ascii="Arial" w:cs="Arial" w:eastAsia="Arial" w:hAnsi="Arial"/>
                <w:sz w:val="14"/>
                <w:szCs w:val="14"/>
                <w:color w:val="auto"/>
                <w:w w:val="89"/>
              </w:rPr>
              <w:t>001-39303</w:t>
            </w:r>
          </w:p>
        </w:tc>
        <w:tc>
          <w:tcPr>
            <w:tcW w:w="1140" w:type="dxa"/>
            <w:vAlign w:val="bottom"/>
          </w:tcPr>
          <w:p>
            <w:pPr>
              <w:jc w:val="center"/>
              <w:ind w:right="89"/>
              <w:spacing w:after="0"/>
              <w:rPr>
                <w:sz w:val="20"/>
                <w:szCs w:val="20"/>
                <w:color w:val="auto"/>
              </w:rPr>
            </w:pPr>
            <w:r>
              <w:rPr>
                <w:rFonts w:ascii="Arial" w:cs="Arial" w:eastAsia="Arial" w:hAnsi="Arial"/>
                <w:sz w:val="14"/>
                <w:szCs w:val="14"/>
                <w:color w:val="auto"/>
                <w:w w:val="95"/>
              </w:rPr>
              <w:t>10.2</w:t>
            </w:r>
          </w:p>
        </w:tc>
        <w:tc>
          <w:tcPr>
            <w:tcW w:w="2960" w:type="dxa"/>
            <w:vAlign w:val="bottom"/>
          </w:tcPr>
          <w:p>
            <w:pPr>
              <w:jc w:val="center"/>
              <w:ind w:right="1109"/>
              <w:spacing w:after="0"/>
              <w:rPr>
                <w:sz w:val="20"/>
                <w:szCs w:val="20"/>
                <w:color w:val="auto"/>
              </w:rPr>
            </w:pPr>
            <w:r>
              <w:rPr>
                <w:rFonts w:ascii="Arial" w:cs="Arial" w:eastAsia="Arial" w:hAnsi="Arial"/>
                <w:sz w:val="14"/>
                <w:szCs w:val="14"/>
                <w:color w:val="auto"/>
                <w:w w:val="91"/>
              </w:rPr>
              <w:t>March 1, 2022</w:t>
            </w:r>
          </w:p>
        </w:tc>
      </w:tr>
      <w:tr>
        <w:trPr>
          <w:trHeight w:val="180"/>
        </w:trPr>
        <w:tc>
          <w:tcPr>
            <w:tcW w:w="1200" w:type="dxa"/>
            <w:vAlign w:val="bottom"/>
          </w:tcPr>
          <w:p>
            <w:pPr>
              <w:spacing w:after="0"/>
              <w:rPr>
                <w:sz w:val="15"/>
                <w:szCs w:val="15"/>
                <w:color w:val="auto"/>
              </w:rPr>
            </w:pPr>
          </w:p>
        </w:tc>
        <w:tc>
          <w:tcPr>
            <w:tcW w:w="3560" w:type="dxa"/>
            <w:vAlign w:val="bottom"/>
            <w:gridSpan w:val="14"/>
          </w:tcPr>
          <w:p>
            <w:pPr>
              <w:spacing w:after="0"/>
              <w:rPr>
                <w:sz w:val="20"/>
                <w:szCs w:val="20"/>
                <w:color w:val="auto"/>
              </w:rPr>
            </w:pPr>
            <w:r>
              <w:rPr>
                <w:rFonts w:ascii="Arial" w:cs="Arial" w:eastAsia="Arial" w:hAnsi="Arial"/>
                <w:sz w:val="14"/>
                <w:szCs w:val="14"/>
                <w:color w:val="auto"/>
              </w:rPr>
              <w:t>Policy</w:t>
            </w:r>
          </w:p>
        </w:tc>
        <w:tc>
          <w:tcPr>
            <w:tcW w:w="7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181"/>
        </w:trPr>
        <w:tc>
          <w:tcPr>
            <w:tcW w:w="1200" w:type="dxa"/>
            <w:vAlign w:val="bottom"/>
          </w:tcPr>
          <w:p>
            <w:pPr>
              <w:ind w:left="20"/>
              <w:spacing w:after="0"/>
              <w:rPr>
                <w:sz w:val="20"/>
                <w:szCs w:val="20"/>
                <w:color w:val="auto"/>
              </w:rPr>
            </w:pPr>
            <w:r>
              <w:rPr>
                <w:rFonts w:ascii="Arial" w:cs="Arial" w:eastAsia="Arial" w:hAnsi="Arial"/>
                <w:sz w:val="14"/>
                <w:szCs w:val="14"/>
                <w:color w:val="auto"/>
              </w:rPr>
              <w:t>10.16†</w:t>
            </w:r>
          </w:p>
        </w:tc>
        <w:tc>
          <w:tcPr>
            <w:tcW w:w="3540" w:type="dxa"/>
            <w:vAlign w:val="bottom"/>
            <w:tcBorders>
              <w:bottom w:val="single" w:sz="8" w:color="0000FF"/>
            </w:tcBorders>
            <w:gridSpan w:val="13"/>
          </w:tcPr>
          <w:p>
            <w:pPr>
              <w:spacing w:after="0"/>
              <w:rPr>
                <w:sz w:val="20"/>
                <w:szCs w:val="20"/>
                <w:color w:val="auto"/>
              </w:rPr>
            </w:pPr>
            <w:r>
              <w:rPr>
                <w:rFonts w:ascii="Arial" w:cs="Arial" w:eastAsia="Arial" w:hAnsi="Arial"/>
                <w:sz w:val="14"/>
                <w:szCs w:val="14"/>
                <w:color w:val="0000FF"/>
                <w:w w:val="91"/>
              </w:rPr>
              <w:t>First Amendment to Collaboration and License Agreement, by</w:t>
            </w: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960" w:type="dxa"/>
            <w:vAlign w:val="bottom"/>
          </w:tcPr>
          <w:p>
            <w:pPr>
              <w:ind w:left="2400"/>
              <w:spacing w:after="0"/>
              <w:rPr>
                <w:sz w:val="20"/>
                <w:szCs w:val="20"/>
                <w:color w:val="auto"/>
              </w:rPr>
            </w:pPr>
            <w:r>
              <w:rPr>
                <w:rFonts w:ascii="Arial" w:cs="Arial" w:eastAsia="Arial" w:hAnsi="Arial"/>
                <w:sz w:val="14"/>
                <w:szCs w:val="14"/>
                <w:color w:val="auto"/>
              </w:rPr>
              <w:t>X</w:t>
            </w:r>
          </w:p>
        </w:tc>
      </w:tr>
      <w:tr>
        <w:trPr>
          <w:trHeight w:val="150"/>
        </w:trPr>
        <w:tc>
          <w:tcPr>
            <w:tcW w:w="1200" w:type="dxa"/>
            <w:vAlign w:val="bottom"/>
          </w:tcPr>
          <w:p>
            <w:pPr>
              <w:spacing w:after="0"/>
              <w:rPr>
                <w:sz w:val="13"/>
                <w:szCs w:val="13"/>
                <w:color w:val="auto"/>
              </w:rPr>
            </w:pPr>
          </w:p>
        </w:tc>
        <w:tc>
          <w:tcPr>
            <w:tcW w:w="3080" w:type="dxa"/>
            <w:vAlign w:val="bottom"/>
            <w:tcBorders>
              <w:bottom w:val="single" w:sz="8" w:color="0000FF"/>
            </w:tcBorders>
            <w:gridSpan w:val="7"/>
          </w:tcPr>
          <w:p>
            <w:pPr>
              <w:spacing w:after="0" w:line="150" w:lineRule="exact"/>
              <w:rPr>
                <w:sz w:val="20"/>
                <w:szCs w:val="20"/>
                <w:color w:val="auto"/>
              </w:rPr>
            </w:pPr>
            <w:r>
              <w:rPr>
                <w:rFonts w:ascii="Arial" w:cs="Arial" w:eastAsia="Arial" w:hAnsi="Arial"/>
                <w:sz w:val="14"/>
                <w:szCs w:val="14"/>
                <w:color w:val="0000FF"/>
                <w:w w:val="90"/>
              </w:rPr>
              <w:t>and between the Registrant and Novartis Institutes For</w:t>
            </w:r>
          </w:p>
        </w:tc>
        <w:tc>
          <w:tcPr>
            <w:tcW w:w="480" w:type="dxa"/>
            <w:vAlign w:val="bottom"/>
            <w:gridSpan w:val="7"/>
          </w:tcPr>
          <w:p>
            <w:pPr>
              <w:spacing w:after="0"/>
              <w:rPr>
                <w:sz w:val="13"/>
                <w:szCs w:val="13"/>
                <w:color w:val="auto"/>
              </w:rPr>
            </w:pPr>
          </w:p>
        </w:tc>
        <w:tc>
          <w:tcPr>
            <w:tcW w:w="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150"/>
        </w:trPr>
        <w:tc>
          <w:tcPr>
            <w:tcW w:w="1200" w:type="dxa"/>
            <w:vAlign w:val="bottom"/>
          </w:tcPr>
          <w:p>
            <w:pPr>
              <w:spacing w:after="0"/>
              <w:rPr>
                <w:sz w:val="13"/>
                <w:szCs w:val="13"/>
                <w:color w:val="auto"/>
              </w:rPr>
            </w:pPr>
          </w:p>
        </w:tc>
        <w:tc>
          <w:tcPr>
            <w:tcW w:w="3560" w:type="dxa"/>
            <w:vAlign w:val="bottom"/>
            <w:gridSpan w:val="14"/>
          </w:tcPr>
          <w:p>
            <w:pPr>
              <w:spacing w:after="0" w:line="150" w:lineRule="exact"/>
              <w:rPr>
                <w:sz w:val="20"/>
                <w:szCs w:val="20"/>
                <w:color w:val="auto"/>
              </w:rPr>
            </w:pPr>
            <w:r>
              <w:rPr>
                <w:rFonts w:ascii="Arial" w:cs="Arial" w:eastAsia="Arial" w:hAnsi="Arial"/>
                <w:sz w:val="14"/>
                <w:szCs w:val="14"/>
                <w:color w:val="0000FF"/>
              </w:rPr>
              <w:t>Biomedical Research, Inc., dated November 15, 2022.</w:t>
            </w:r>
          </w:p>
        </w:tc>
        <w:tc>
          <w:tcPr>
            <w:tcW w:w="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182"/>
        </w:trPr>
        <w:tc>
          <w:tcPr>
            <w:tcW w:w="1200" w:type="dxa"/>
            <w:vAlign w:val="bottom"/>
          </w:tcPr>
          <w:p>
            <w:pPr>
              <w:ind w:left="20"/>
              <w:spacing w:after="0"/>
              <w:rPr>
                <w:sz w:val="20"/>
                <w:szCs w:val="20"/>
                <w:color w:val="auto"/>
              </w:rPr>
            </w:pPr>
            <w:r>
              <w:rPr>
                <w:rFonts w:ascii="Arial" w:cs="Arial" w:eastAsia="Arial" w:hAnsi="Arial"/>
                <w:sz w:val="14"/>
                <w:szCs w:val="14"/>
                <w:color w:val="auto"/>
              </w:rPr>
              <w:t>10.17#</w:t>
            </w:r>
          </w:p>
        </w:tc>
        <w:tc>
          <w:tcPr>
            <w:tcW w:w="282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4"/>
                <w:szCs w:val="14"/>
                <w:color w:val="0000FF"/>
                <w:w w:val="89"/>
              </w:rPr>
              <w:t>2022 Inducement Plan dated September 14, 2022.</w:t>
            </w:r>
          </w:p>
        </w:tc>
        <w:tc>
          <w:tcPr>
            <w:tcW w:w="240" w:type="dxa"/>
            <w:vAlign w:val="bottom"/>
            <w:tcBorders>
              <w:top w:val="single" w:sz="8" w:color="0000FF"/>
            </w:tcBorders>
          </w:tcPr>
          <w:p>
            <w:pPr>
              <w:spacing w:after="0"/>
              <w:rPr>
                <w:sz w:val="15"/>
                <w:szCs w:val="15"/>
                <w:color w:val="auto"/>
              </w:rPr>
            </w:pPr>
          </w:p>
        </w:tc>
        <w:tc>
          <w:tcPr>
            <w:tcW w:w="500" w:type="dxa"/>
            <w:vAlign w:val="bottom"/>
            <w:gridSpan w:val="8"/>
          </w:tcPr>
          <w:p>
            <w:pPr>
              <w:spacing w:after="0"/>
              <w:rPr>
                <w:sz w:val="15"/>
                <w:szCs w:val="15"/>
                <w:color w:val="auto"/>
              </w:rPr>
            </w:pPr>
          </w:p>
        </w:tc>
        <w:tc>
          <w:tcPr>
            <w:tcW w:w="7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960" w:type="dxa"/>
            <w:vAlign w:val="bottom"/>
          </w:tcPr>
          <w:p>
            <w:pPr>
              <w:ind w:left="2400"/>
              <w:spacing w:after="0"/>
              <w:rPr>
                <w:sz w:val="20"/>
                <w:szCs w:val="20"/>
                <w:color w:val="auto"/>
              </w:rPr>
            </w:pPr>
            <w:r>
              <w:rPr>
                <w:rFonts w:ascii="Arial" w:cs="Arial" w:eastAsia="Arial" w:hAnsi="Arial"/>
                <w:sz w:val="14"/>
                <w:szCs w:val="14"/>
                <w:color w:val="auto"/>
              </w:rPr>
              <w:t>X</w:t>
            </w:r>
          </w:p>
        </w:tc>
      </w:tr>
      <w:tr>
        <w:trPr>
          <w:trHeight w:val="224"/>
        </w:trPr>
        <w:tc>
          <w:tcPr>
            <w:tcW w:w="1200" w:type="dxa"/>
            <w:vAlign w:val="bottom"/>
          </w:tcPr>
          <w:p>
            <w:pPr>
              <w:ind w:left="20"/>
              <w:spacing w:after="0"/>
              <w:rPr>
                <w:sz w:val="20"/>
                <w:szCs w:val="20"/>
                <w:color w:val="auto"/>
              </w:rPr>
            </w:pPr>
            <w:r>
              <w:rPr>
                <w:rFonts w:ascii="Arial" w:cs="Arial" w:eastAsia="Arial" w:hAnsi="Arial"/>
                <w:sz w:val="14"/>
                <w:szCs w:val="14"/>
                <w:color w:val="auto"/>
              </w:rPr>
              <w:t>10.18</w:t>
            </w:r>
          </w:p>
        </w:tc>
        <w:tc>
          <w:tcPr>
            <w:tcW w:w="3560" w:type="dxa"/>
            <w:vAlign w:val="bottom"/>
            <w:gridSpan w:val="14"/>
          </w:tcPr>
          <w:p>
            <w:pPr>
              <w:spacing w:after="0"/>
              <w:rPr>
                <w:sz w:val="20"/>
                <w:szCs w:val="20"/>
                <w:color w:val="auto"/>
              </w:rPr>
            </w:pPr>
            <w:r>
              <w:rPr>
                <w:rFonts w:ascii="Arial" w:cs="Arial" w:eastAsia="Arial" w:hAnsi="Arial"/>
                <w:sz w:val="14"/>
                <w:szCs w:val="14"/>
                <w:color w:val="auto"/>
                <w:w w:val="91"/>
              </w:rPr>
              <w:t>Loan and Security Agreement, by and between Registrant and</w:t>
            </w:r>
          </w:p>
        </w:tc>
        <w:tc>
          <w:tcPr>
            <w:tcW w:w="760" w:type="dxa"/>
            <w:vAlign w:val="bottom"/>
          </w:tcPr>
          <w:p>
            <w:pPr>
              <w:jc w:val="center"/>
              <w:ind w:left="309"/>
              <w:spacing w:after="0"/>
              <w:rPr>
                <w:sz w:val="20"/>
                <w:szCs w:val="20"/>
                <w:color w:val="auto"/>
              </w:rPr>
            </w:pPr>
            <w:r>
              <w:rPr>
                <w:rFonts w:ascii="Arial" w:cs="Arial" w:eastAsia="Arial" w:hAnsi="Arial"/>
                <w:sz w:val="14"/>
                <w:szCs w:val="14"/>
                <w:color w:val="auto"/>
              </w:rPr>
              <w:t>8-K</w:t>
            </w:r>
          </w:p>
        </w:tc>
        <w:tc>
          <w:tcPr>
            <w:tcW w:w="1660" w:type="dxa"/>
            <w:vAlign w:val="bottom"/>
          </w:tcPr>
          <w:p>
            <w:pPr>
              <w:jc w:val="center"/>
              <w:ind w:left="229"/>
              <w:spacing w:after="0"/>
              <w:rPr>
                <w:sz w:val="20"/>
                <w:szCs w:val="20"/>
                <w:color w:val="auto"/>
              </w:rPr>
            </w:pPr>
            <w:r>
              <w:rPr>
                <w:rFonts w:ascii="Arial" w:cs="Arial" w:eastAsia="Arial" w:hAnsi="Arial"/>
                <w:sz w:val="14"/>
                <w:szCs w:val="14"/>
                <w:color w:val="auto"/>
                <w:w w:val="89"/>
              </w:rPr>
              <w:t>001-39303</w:t>
            </w:r>
          </w:p>
        </w:tc>
        <w:tc>
          <w:tcPr>
            <w:tcW w:w="1140" w:type="dxa"/>
            <w:vAlign w:val="bottom"/>
          </w:tcPr>
          <w:p>
            <w:pPr>
              <w:jc w:val="center"/>
              <w:ind w:right="89"/>
              <w:spacing w:after="0"/>
              <w:rPr>
                <w:sz w:val="20"/>
                <w:szCs w:val="20"/>
                <w:color w:val="auto"/>
              </w:rPr>
            </w:pPr>
            <w:r>
              <w:rPr>
                <w:rFonts w:ascii="Arial" w:cs="Arial" w:eastAsia="Arial" w:hAnsi="Arial"/>
                <w:sz w:val="14"/>
                <w:szCs w:val="14"/>
                <w:color w:val="auto"/>
                <w:w w:val="95"/>
              </w:rPr>
              <w:t>10.1</w:t>
            </w:r>
          </w:p>
        </w:tc>
        <w:tc>
          <w:tcPr>
            <w:tcW w:w="2960" w:type="dxa"/>
            <w:vAlign w:val="bottom"/>
          </w:tcPr>
          <w:p>
            <w:pPr>
              <w:jc w:val="center"/>
              <w:ind w:right="1129"/>
              <w:spacing w:after="0"/>
              <w:rPr>
                <w:sz w:val="20"/>
                <w:szCs w:val="20"/>
                <w:color w:val="auto"/>
              </w:rPr>
            </w:pPr>
            <w:r>
              <w:rPr>
                <w:rFonts w:ascii="Arial" w:cs="Arial" w:eastAsia="Arial" w:hAnsi="Arial"/>
                <w:sz w:val="14"/>
                <w:szCs w:val="14"/>
                <w:color w:val="auto"/>
                <w:w w:val="93"/>
              </w:rPr>
              <w:t>May 5, 2022</w:t>
            </w:r>
          </w:p>
        </w:tc>
      </w:tr>
      <w:tr>
        <w:trPr>
          <w:trHeight w:val="180"/>
        </w:trPr>
        <w:tc>
          <w:tcPr>
            <w:tcW w:w="1200" w:type="dxa"/>
            <w:vAlign w:val="bottom"/>
          </w:tcPr>
          <w:p>
            <w:pPr>
              <w:spacing w:after="0"/>
              <w:rPr>
                <w:sz w:val="15"/>
                <w:szCs w:val="15"/>
                <w:color w:val="auto"/>
              </w:rPr>
            </w:pPr>
          </w:p>
        </w:tc>
        <w:tc>
          <w:tcPr>
            <w:tcW w:w="3560" w:type="dxa"/>
            <w:vAlign w:val="bottom"/>
            <w:gridSpan w:val="14"/>
          </w:tcPr>
          <w:p>
            <w:pPr>
              <w:spacing w:after="0"/>
              <w:rPr>
                <w:sz w:val="20"/>
                <w:szCs w:val="20"/>
                <w:color w:val="auto"/>
              </w:rPr>
            </w:pPr>
            <w:r>
              <w:rPr>
                <w:rFonts w:ascii="Arial" w:cs="Arial" w:eastAsia="Arial" w:hAnsi="Arial"/>
                <w:sz w:val="14"/>
                <w:szCs w:val="14"/>
                <w:color w:val="auto"/>
              </w:rPr>
              <w:t>Oxford Finance LLC, dated May 4, 2022.</w:t>
            </w:r>
          </w:p>
        </w:tc>
        <w:tc>
          <w:tcPr>
            <w:tcW w:w="7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181"/>
        </w:trPr>
        <w:tc>
          <w:tcPr>
            <w:tcW w:w="1200" w:type="dxa"/>
            <w:vAlign w:val="bottom"/>
          </w:tcPr>
          <w:p>
            <w:pPr>
              <w:ind w:left="20"/>
              <w:spacing w:after="0"/>
              <w:rPr>
                <w:sz w:val="20"/>
                <w:szCs w:val="20"/>
                <w:color w:val="auto"/>
              </w:rPr>
            </w:pPr>
            <w:r>
              <w:rPr>
                <w:rFonts w:ascii="Arial" w:cs="Arial" w:eastAsia="Arial" w:hAnsi="Arial"/>
                <w:sz w:val="14"/>
                <w:szCs w:val="14"/>
                <w:color w:val="auto"/>
              </w:rPr>
              <w:t>10.19</w:t>
            </w:r>
          </w:p>
        </w:tc>
        <w:tc>
          <w:tcPr>
            <w:tcW w:w="3560" w:type="dxa"/>
            <w:vAlign w:val="bottom"/>
            <w:gridSpan w:val="14"/>
          </w:tcPr>
          <w:p>
            <w:pPr>
              <w:spacing w:after="0"/>
              <w:rPr>
                <w:sz w:val="20"/>
                <w:szCs w:val="20"/>
                <w:color w:val="auto"/>
              </w:rPr>
            </w:pPr>
            <w:r>
              <w:rPr>
                <w:rFonts w:ascii="Arial" w:cs="Arial" w:eastAsia="Arial" w:hAnsi="Arial"/>
                <w:sz w:val="14"/>
                <w:szCs w:val="14"/>
                <w:color w:val="0000FF"/>
                <w:w w:val="98"/>
              </w:rPr>
              <w:t>First Amendment to Loan and Security Agreement, by and</w:t>
            </w:r>
          </w:p>
        </w:tc>
        <w:tc>
          <w:tcPr>
            <w:tcW w:w="7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960" w:type="dxa"/>
            <w:vAlign w:val="bottom"/>
          </w:tcPr>
          <w:p>
            <w:pPr>
              <w:ind w:left="2400"/>
              <w:spacing w:after="0"/>
              <w:rPr>
                <w:sz w:val="20"/>
                <w:szCs w:val="20"/>
                <w:color w:val="auto"/>
              </w:rPr>
            </w:pPr>
            <w:r>
              <w:rPr>
                <w:rFonts w:ascii="Arial" w:cs="Arial" w:eastAsia="Arial" w:hAnsi="Arial"/>
                <w:sz w:val="14"/>
                <w:szCs w:val="14"/>
                <w:color w:val="auto"/>
              </w:rPr>
              <w:t>X</w:t>
            </w:r>
          </w:p>
        </w:tc>
      </w:tr>
      <w:tr>
        <w:trPr>
          <w:trHeight w:val="20"/>
        </w:trPr>
        <w:tc>
          <w:tcPr>
            <w:tcW w:w="1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50"/>
        </w:trPr>
        <w:tc>
          <w:tcPr>
            <w:tcW w:w="1200" w:type="dxa"/>
            <w:vAlign w:val="bottom"/>
          </w:tcPr>
          <w:p>
            <w:pPr>
              <w:spacing w:after="0"/>
              <w:rPr>
                <w:sz w:val="13"/>
                <w:szCs w:val="13"/>
                <w:color w:val="auto"/>
              </w:rPr>
            </w:pPr>
          </w:p>
        </w:tc>
        <w:tc>
          <w:tcPr>
            <w:tcW w:w="3560" w:type="dxa"/>
            <w:vAlign w:val="bottom"/>
            <w:tcBorders>
              <w:bottom w:val="single" w:sz="8" w:color="0000FF"/>
            </w:tcBorders>
            <w:gridSpan w:val="14"/>
          </w:tcPr>
          <w:p>
            <w:pPr>
              <w:spacing w:after="0" w:line="150" w:lineRule="exact"/>
              <w:rPr>
                <w:sz w:val="20"/>
                <w:szCs w:val="20"/>
                <w:color w:val="auto"/>
              </w:rPr>
            </w:pPr>
            <w:r>
              <w:rPr>
                <w:rFonts w:ascii="Arial" w:cs="Arial" w:eastAsia="Arial" w:hAnsi="Arial"/>
                <w:sz w:val="14"/>
                <w:szCs w:val="14"/>
                <w:color w:val="0000FF"/>
                <w:w w:val="90"/>
              </w:rPr>
              <w:t>between Registrant and Oxford Finance LLC, dated October 4,</w:t>
            </w:r>
          </w:p>
        </w:tc>
        <w:tc>
          <w:tcPr>
            <w:tcW w:w="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150"/>
        </w:trPr>
        <w:tc>
          <w:tcPr>
            <w:tcW w:w="1200" w:type="dxa"/>
            <w:vAlign w:val="bottom"/>
          </w:tcPr>
          <w:p>
            <w:pPr>
              <w:spacing w:after="0"/>
              <w:rPr>
                <w:sz w:val="13"/>
                <w:szCs w:val="13"/>
                <w:color w:val="auto"/>
              </w:rPr>
            </w:pPr>
          </w:p>
        </w:tc>
        <w:tc>
          <w:tcPr>
            <w:tcW w:w="320" w:type="dxa"/>
            <w:vAlign w:val="bottom"/>
            <w:tcBorders>
              <w:bottom w:val="single" w:sz="8" w:color="0000FF"/>
            </w:tcBorders>
          </w:tcPr>
          <w:p>
            <w:pPr>
              <w:spacing w:after="0" w:line="150" w:lineRule="exact"/>
              <w:rPr>
                <w:sz w:val="20"/>
                <w:szCs w:val="20"/>
                <w:color w:val="auto"/>
              </w:rPr>
            </w:pPr>
            <w:r>
              <w:rPr>
                <w:rFonts w:ascii="Arial" w:cs="Arial" w:eastAsia="Arial" w:hAnsi="Arial"/>
                <w:sz w:val="14"/>
                <w:szCs w:val="14"/>
                <w:color w:val="0000FF"/>
                <w:w w:val="85"/>
              </w:rPr>
              <w:t>2022.</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192"/>
        </w:trPr>
        <w:tc>
          <w:tcPr>
            <w:tcW w:w="1200" w:type="dxa"/>
            <w:vAlign w:val="bottom"/>
          </w:tcPr>
          <w:p>
            <w:pPr>
              <w:ind w:left="20"/>
              <w:spacing w:after="0"/>
              <w:rPr>
                <w:sz w:val="20"/>
                <w:szCs w:val="20"/>
                <w:color w:val="auto"/>
              </w:rPr>
            </w:pPr>
            <w:r>
              <w:rPr>
                <w:rFonts w:ascii="Arial" w:cs="Arial" w:eastAsia="Arial" w:hAnsi="Arial"/>
                <w:sz w:val="14"/>
                <w:szCs w:val="14"/>
                <w:color w:val="auto"/>
              </w:rPr>
              <w:t>10.20#</w:t>
            </w:r>
          </w:p>
        </w:tc>
        <w:tc>
          <w:tcPr>
            <w:tcW w:w="3560" w:type="dxa"/>
            <w:vAlign w:val="bottom"/>
            <w:tcBorders>
              <w:bottom w:val="single" w:sz="8" w:color="0000FF"/>
            </w:tcBorders>
            <w:gridSpan w:val="14"/>
          </w:tcPr>
          <w:p>
            <w:pPr>
              <w:spacing w:after="0"/>
              <w:rPr>
                <w:sz w:val="20"/>
                <w:szCs w:val="20"/>
                <w:color w:val="auto"/>
              </w:rPr>
            </w:pPr>
            <w:r>
              <w:rPr>
                <w:rFonts w:ascii="Arial" w:cs="Arial" w:eastAsia="Arial" w:hAnsi="Arial"/>
                <w:sz w:val="14"/>
                <w:szCs w:val="14"/>
                <w:color w:val="0000FF"/>
                <w:w w:val="90"/>
              </w:rPr>
              <w:t>Amended and Restated Non-Employee Director Compensation</w:t>
            </w:r>
          </w:p>
        </w:tc>
        <w:tc>
          <w:tcPr>
            <w:tcW w:w="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960" w:type="dxa"/>
            <w:vAlign w:val="bottom"/>
          </w:tcPr>
          <w:p>
            <w:pPr>
              <w:ind w:left="2400"/>
              <w:spacing w:after="0"/>
              <w:rPr>
                <w:sz w:val="20"/>
                <w:szCs w:val="20"/>
                <w:color w:val="auto"/>
              </w:rPr>
            </w:pPr>
            <w:r>
              <w:rPr>
                <w:rFonts w:ascii="Arial" w:cs="Arial" w:eastAsia="Arial" w:hAnsi="Arial"/>
                <w:sz w:val="14"/>
                <w:szCs w:val="14"/>
                <w:color w:val="auto"/>
              </w:rPr>
              <w:t>X</w:t>
            </w:r>
          </w:p>
        </w:tc>
      </w:tr>
      <w:tr>
        <w:trPr>
          <w:trHeight w:val="150"/>
        </w:trPr>
        <w:tc>
          <w:tcPr>
            <w:tcW w:w="1200" w:type="dxa"/>
            <w:vAlign w:val="bottom"/>
          </w:tcPr>
          <w:p>
            <w:pPr>
              <w:spacing w:after="0"/>
              <w:rPr>
                <w:sz w:val="13"/>
                <w:szCs w:val="13"/>
                <w:color w:val="auto"/>
              </w:rPr>
            </w:pPr>
          </w:p>
        </w:tc>
        <w:tc>
          <w:tcPr>
            <w:tcW w:w="360" w:type="dxa"/>
            <w:vAlign w:val="bottom"/>
            <w:tcBorders>
              <w:bottom w:val="single" w:sz="8" w:color="0000FF"/>
            </w:tcBorders>
            <w:gridSpan w:val="2"/>
          </w:tcPr>
          <w:p>
            <w:pPr>
              <w:spacing w:after="0" w:line="150" w:lineRule="exact"/>
              <w:rPr>
                <w:sz w:val="20"/>
                <w:szCs w:val="20"/>
                <w:color w:val="auto"/>
              </w:rPr>
            </w:pPr>
            <w:r>
              <w:rPr>
                <w:rFonts w:ascii="Arial" w:cs="Arial" w:eastAsia="Arial" w:hAnsi="Arial"/>
                <w:sz w:val="14"/>
                <w:szCs w:val="14"/>
                <w:color w:val="0000FF"/>
                <w:w w:val="90"/>
              </w:rPr>
              <w:t>Policy</w:t>
            </w:r>
          </w:p>
        </w:tc>
        <w:tc>
          <w:tcPr>
            <w:tcW w:w="3200" w:type="dxa"/>
            <w:vAlign w:val="bottom"/>
            <w:gridSpan w:val="12"/>
          </w:tcPr>
          <w:p>
            <w:pPr>
              <w:spacing w:after="0"/>
              <w:rPr>
                <w:sz w:val="13"/>
                <w:szCs w:val="13"/>
                <w:color w:val="auto"/>
              </w:rPr>
            </w:pPr>
          </w:p>
        </w:tc>
        <w:tc>
          <w:tcPr>
            <w:tcW w:w="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182"/>
        </w:trPr>
        <w:tc>
          <w:tcPr>
            <w:tcW w:w="1200" w:type="dxa"/>
            <w:vAlign w:val="bottom"/>
          </w:tcPr>
          <w:p>
            <w:pPr>
              <w:ind w:left="20"/>
              <w:spacing w:after="0"/>
              <w:rPr>
                <w:sz w:val="20"/>
                <w:szCs w:val="20"/>
                <w:color w:val="auto"/>
              </w:rPr>
            </w:pPr>
            <w:r>
              <w:rPr>
                <w:rFonts w:ascii="Arial" w:cs="Arial" w:eastAsia="Arial" w:hAnsi="Arial"/>
                <w:sz w:val="14"/>
                <w:szCs w:val="14"/>
                <w:color w:val="auto"/>
              </w:rPr>
              <w:t>10.21#</w:t>
            </w:r>
          </w:p>
        </w:tc>
        <w:tc>
          <w:tcPr>
            <w:tcW w:w="3560" w:type="dxa"/>
            <w:vAlign w:val="bottom"/>
            <w:gridSpan w:val="14"/>
          </w:tcPr>
          <w:p>
            <w:pPr>
              <w:spacing w:after="0"/>
              <w:rPr>
                <w:sz w:val="20"/>
                <w:szCs w:val="20"/>
                <w:color w:val="auto"/>
              </w:rPr>
            </w:pPr>
            <w:r>
              <w:rPr>
                <w:rFonts w:ascii="Arial" w:cs="Arial" w:eastAsia="Arial" w:hAnsi="Arial"/>
                <w:sz w:val="14"/>
                <w:szCs w:val="14"/>
                <w:color w:val="0000FF"/>
                <w:w w:val="93"/>
              </w:rPr>
              <w:t>Offer Letter, by and between the Registrant and Lily Cheung,</w:t>
            </w:r>
          </w:p>
        </w:tc>
        <w:tc>
          <w:tcPr>
            <w:tcW w:w="7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960" w:type="dxa"/>
            <w:vAlign w:val="bottom"/>
          </w:tcPr>
          <w:p>
            <w:pPr>
              <w:ind w:left="2400"/>
              <w:spacing w:after="0"/>
              <w:rPr>
                <w:sz w:val="20"/>
                <w:szCs w:val="20"/>
                <w:color w:val="auto"/>
              </w:rPr>
            </w:pPr>
            <w:r>
              <w:rPr>
                <w:rFonts w:ascii="Arial" w:cs="Arial" w:eastAsia="Arial" w:hAnsi="Arial"/>
                <w:sz w:val="14"/>
                <w:szCs w:val="14"/>
                <w:color w:val="auto"/>
              </w:rPr>
              <w:t>X</w:t>
            </w:r>
          </w:p>
        </w:tc>
      </w:tr>
      <w:tr>
        <w:trPr>
          <w:trHeight w:val="118"/>
        </w:trPr>
        <w:tc>
          <w:tcPr>
            <w:tcW w:w="1200" w:type="dxa"/>
            <w:vAlign w:val="bottom"/>
          </w:tcPr>
          <w:p>
            <w:pPr>
              <w:spacing w:after="0"/>
              <w:rPr>
                <w:sz w:val="10"/>
                <w:szCs w:val="10"/>
                <w:color w:val="auto"/>
              </w:rPr>
            </w:pPr>
          </w:p>
        </w:tc>
        <w:tc>
          <w:tcPr>
            <w:tcW w:w="3480" w:type="dxa"/>
            <w:vAlign w:val="bottom"/>
            <w:tcBorders>
              <w:top w:val="single" w:sz="8" w:color="0000FF"/>
            </w:tcBorders>
            <w:gridSpan w:val="10"/>
          </w:tcPr>
          <w:p>
            <w:pPr>
              <w:spacing w:after="0" w:line="118" w:lineRule="exact"/>
              <w:rPr>
                <w:sz w:val="20"/>
                <w:szCs w:val="20"/>
                <w:color w:val="auto"/>
              </w:rPr>
            </w:pPr>
            <w:r>
              <w:rPr>
                <w:rFonts w:ascii="Arial" w:cs="Arial" w:eastAsia="Arial" w:hAnsi="Arial"/>
                <w:sz w:val="13"/>
                <w:szCs w:val="13"/>
                <w:color w:val="0000FF"/>
              </w:rPr>
              <w:t>dated December 21, 2022.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7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20"/>
        </w:trPr>
        <w:tc>
          <w:tcPr>
            <w:tcW w:w="120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82"/>
        </w:trPr>
        <w:tc>
          <w:tcPr>
            <w:tcW w:w="1200" w:type="dxa"/>
            <w:vAlign w:val="bottom"/>
          </w:tcPr>
          <w:p>
            <w:pPr>
              <w:ind w:left="20"/>
              <w:spacing w:after="0"/>
              <w:rPr>
                <w:sz w:val="20"/>
                <w:szCs w:val="20"/>
                <w:color w:val="auto"/>
              </w:rPr>
            </w:pPr>
            <w:r>
              <w:rPr>
                <w:rFonts w:ascii="Arial" w:cs="Arial" w:eastAsia="Arial" w:hAnsi="Arial"/>
                <w:sz w:val="14"/>
                <w:szCs w:val="14"/>
                <w:color w:val="auto"/>
              </w:rPr>
              <w:t>23.1</w:t>
            </w:r>
          </w:p>
        </w:tc>
        <w:tc>
          <w:tcPr>
            <w:tcW w:w="3560" w:type="dxa"/>
            <w:vAlign w:val="bottom"/>
            <w:gridSpan w:val="14"/>
          </w:tcPr>
          <w:p>
            <w:pPr>
              <w:spacing w:after="0"/>
              <w:rPr>
                <w:sz w:val="20"/>
                <w:szCs w:val="20"/>
                <w:color w:val="auto"/>
              </w:rPr>
            </w:pPr>
            <w:r>
              <w:rPr>
                <w:rFonts w:ascii="Arial" w:cs="Arial" w:eastAsia="Arial" w:hAnsi="Arial"/>
                <w:sz w:val="14"/>
                <w:szCs w:val="14"/>
                <w:color w:val="0000FF"/>
                <w:w w:val="96"/>
              </w:rPr>
              <w:t>Consent of Independent Registered Public Accounting Firm</w:t>
            </w:r>
          </w:p>
        </w:tc>
        <w:tc>
          <w:tcPr>
            <w:tcW w:w="7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960" w:type="dxa"/>
            <w:vAlign w:val="bottom"/>
          </w:tcPr>
          <w:p>
            <w:pPr>
              <w:ind w:left="2400"/>
              <w:spacing w:after="0"/>
              <w:rPr>
                <w:sz w:val="20"/>
                <w:szCs w:val="20"/>
                <w:color w:val="auto"/>
              </w:rPr>
            </w:pPr>
            <w:r>
              <w:rPr>
                <w:rFonts w:ascii="Arial" w:cs="Arial" w:eastAsia="Arial" w:hAnsi="Arial"/>
                <w:sz w:val="14"/>
                <w:szCs w:val="14"/>
                <w:color w:val="auto"/>
              </w:rPr>
              <w:t>X</w:t>
            </w:r>
          </w:p>
        </w:tc>
      </w:tr>
      <w:tr>
        <w:trPr>
          <w:trHeight w:val="20"/>
        </w:trPr>
        <w:tc>
          <w:tcPr>
            <w:tcW w:w="120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200" w:type="dxa"/>
            <w:vAlign w:val="bottom"/>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2"/>
        </w:trPr>
        <w:tc>
          <w:tcPr>
            <w:tcW w:w="1200" w:type="dxa"/>
            <w:vAlign w:val="bottom"/>
          </w:tcPr>
          <w:p>
            <w:pPr>
              <w:ind w:left="20"/>
              <w:spacing w:after="0"/>
              <w:rPr>
                <w:sz w:val="20"/>
                <w:szCs w:val="20"/>
                <w:color w:val="auto"/>
              </w:rPr>
            </w:pPr>
            <w:r>
              <w:rPr>
                <w:rFonts w:ascii="Arial" w:cs="Arial" w:eastAsia="Arial" w:hAnsi="Arial"/>
                <w:sz w:val="14"/>
                <w:szCs w:val="14"/>
                <w:color w:val="auto"/>
              </w:rPr>
              <w:t>31.1</w:t>
            </w:r>
          </w:p>
        </w:tc>
        <w:tc>
          <w:tcPr>
            <w:tcW w:w="3560" w:type="dxa"/>
            <w:vAlign w:val="bottom"/>
            <w:gridSpan w:val="14"/>
          </w:tcPr>
          <w:p>
            <w:pPr>
              <w:spacing w:after="0"/>
              <w:rPr>
                <w:sz w:val="20"/>
                <w:szCs w:val="20"/>
                <w:color w:val="auto"/>
              </w:rPr>
            </w:pPr>
            <w:r>
              <w:rPr>
                <w:rFonts w:ascii="Arial" w:cs="Arial" w:eastAsia="Arial" w:hAnsi="Arial"/>
                <w:sz w:val="14"/>
                <w:szCs w:val="14"/>
                <w:color w:val="0000FF"/>
                <w:w w:val="94"/>
              </w:rPr>
              <w:t>Certification of Chief Executive Officer required by Rule 13a-</w:t>
            </w:r>
          </w:p>
        </w:tc>
        <w:tc>
          <w:tcPr>
            <w:tcW w:w="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960" w:type="dxa"/>
            <w:vAlign w:val="bottom"/>
          </w:tcPr>
          <w:p>
            <w:pPr>
              <w:ind w:left="2400"/>
              <w:spacing w:after="0"/>
              <w:rPr>
                <w:sz w:val="20"/>
                <w:szCs w:val="20"/>
                <w:color w:val="auto"/>
              </w:rPr>
            </w:pPr>
            <w:r>
              <w:rPr>
                <w:rFonts w:ascii="Arial" w:cs="Arial" w:eastAsia="Arial" w:hAnsi="Arial"/>
                <w:sz w:val="14"/>
                <w:szCs w:val="14"/>
                <w:color w:val="auto"/>
              </w:rPr>
              <w:t>X</w:t>
            </w:r>
          </w:p>
        </w:tc>
      </w:tr>
      <w:tr>
        <w:trPr>
          <w:trHeight w:val="150"/>
        </w:trPr>
        <w:tc>
          <w:tcPr>
            <w:tcW w:w="120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9"/>
          </w:tcPr>
          <w:p>
            <w:pPr>
              <w:spacing w:after="0" w:line="150" w:lineRule="exact"/>
              <w:rPr>
                <w:sz w:val="20"/>
                <w:szCs w:val="20"/>
                <w:color w:val="auto"/>
              </w:rPr>
            </w:pPr>
            <w:r>
              <w:rPr>
                <w:rFonts w:ascii="Arial" w:cs="Arial" w:eastAsia="Arial" w:hAnsi="Arial"/>
                <w:sz w:val="14"/>
                <w:szCs w:val="14"/>
                <w:color w:val="0000FF"/>
                <w:w w:val="92"/>
              </w:rPr>
              <w:t>14(a) or Rule 15d-14(a) of the Securities Exchange Act of</w:t>
            </w:r>
          </w:p>
        </w:tc>
        <w:tc>
          <w:tcPr>
            <w:tcW w:w="20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150"/>
        </w:trPr>
        <w:tc>
          <w:tcPr>
            <w:tcW w:w="1200" w:type="dxa"/>
            <w:vAlign w:val="bottom"/>
          </w:tcPr>
          <w:p>
            <w:pPr>
              <w:spacing w:after="0"/>
              <w:rPr>
                <w:sz w:val="13"/>
                <w:szCs w:val="13"/>
                <w:color w:val="auto"/>
              </w:rPr>
            </w:pPr>
          </w:p>
        </w:tc>
        <w:tc>
          <w:tcPr>
            <w:tcW w:w="3280" w:type="dxa"/>
            <w:vAlign w:val="bottom"/>
            <w:tcBorders>
              <w:bottom w:val="single" w:sz="8" w:color="0000FF"/>
            </w:tcBorders>
            <w:gridSpan w:val="8"/>
          </w:tcPr>
          <w:p>
            <w:pPr>
              <w:spacing w:after="0" w:line="150" w:lineRule="exact"/>
              <w:rPr>
                <w:sz w:val="20"/>
                <w:szCs w:val="20"/>
                <w:color w:val="auto"/>
              </w:rPr>
            </w:pPr>
            <w:r>
              <w:rPr>
                <w:rFonts w:ascii="Arial" w:cs="Arial" w:eastAsia="Arial" w:hAnsi="Arial"/>
                <w:sz w:val="14"/>
                <w:szCs w:val="14"/>
                <w:color w:val="0000FF"/>
                <w:w w:val="88"/>
              </w:rPr>
              <w:t>1934, as adopted pursuant to Section 302 of the Sarbanes-</w:t>
            </w:r>
          </w:p>
        </w:tc>
        <w:tc>
          <w:tcPr>
            <w:tcW w:w="280" w:type="dxa"/>
            <w:vAlign w:val="bottom"/>
            <w:gridSpan w:val="6"/>
          </w:tcPr>
          <w:p>
            <w:pPr>
              <w:spacing w:after="0"/>
              <w:rPr>
                <w:sz w:val="13"/>
                <w:szCs w:val="13"/>
                <w:color w:val="auto"/>
              </w:rPr>
            </w:pPr>
          </w:p>
        </w:tc>
        <w:tc>
          <w:tcPr>
            <w:tcW w:w="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150"/>
        </w:trPr>
        <w:tc>
          <w:tcPr>
            <w:tcW w:w="1200" w:type="dxa"/>
            <w:vAlign w:val="bottom"/>
          </w:tcPr>
          <w:p>
            <w:pPr>
              <w:spacing w:after="0"/>
              <w:rPr>
                <w:sz w:val="13"/>
                <w:szCs w:val="13"/>
                <w:color w:val="auto"/>
              </w:rPr>
            </w:pPr>
          </w:p>
        </w:tc>
        <w:tc>
          <w:tcPr>
            <w:tcW w:w="3560" w:type="dxa"/>
            <w:vAlign w:val="bottom"/>
            <w:gridSpan w:val="14"/>
          </w:tcPr>
          <w:p>
            <w:pPr>
              <w:spacing w:after="0" w:line="150" w:lineRule="exact"/>
              <w:rPr>
                <w:sz w:val="20"/>
                <w:szCs w:val="20"/>
                <w:color w:val="auto"/>
              </w:rPr>
            </w:pPr>
            <w:r>
              <w:rPr>
                <w:rFonts w:ascii="Arial" w:cs="Arial" w:eastAsia="Arial" w:hAnsi="Arial"/>
                <w:sz w:val="14"/>
                <w:szCs w:val="14"/>
                <w:color w:val="0000FF"/>
              </w:rPr>
              <w:t>Oxley Act of 2002.</w:t>
            </w:r>
          </w:p>
        </w:tc>
        <w:tc>
          <w:tcPr>
            <w:tcW w:w="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42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2"/>
        </w:trPr>
        <w:tc>
          <w:tcPr>
            <w:tcW w:w="1200" w:type="dxa"/>
            <w:vAlign w:val="bottom"/>
          </w:tcPr>
          <w:p>
            <w:pPr>
              <w:ind w:left="20"/>
              <w:spacing w:after="0"/>
              <w:rPr>
                <w:sz w:val="20"/>
                <w:szCs w:val="20"/>
                <w:color w:val="auto"/>
              </w:rPr>
            </w:pPr>
            <w:r>
              <w:rPr>
                <w:rFonts w:ascii="Arial" w:cs="Arial" w:eastAsia="Arial" w:hAnsi="Arial"/>
                <w:sz w:val="14"/>
                <w:szCs w:val="14"/>
                <w:color w:val="auto"/>
              </w:rPr>
              <w:t>31.2</w:t>
            </w:r>
          </w:p>
        </w:tc>
        <w:tc>
          <w:tcPr>
            <w:tcW w:w="350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w w:val="94"/>
              </w:rPr>
              <w:t>Certification of Chief Financial Officer required by Rule 13a-</w:t>
            </w:r>
          </w:p>
        </w:tc>
        <w:tc>
          <w:tcPr>
            <w:tcW w:w="60" w:type="dxa"/>
            <w:vAlign w:val="bottom"/>
            <w:gridSpan w:val="3"/>
          </w:tcPr>
          <w:p>
            <w:pPr>
              <w:spacing w:after="0"/>
              <w:rPr>
                <w:sz w:val="16"/>
                <w:szCs w:val="16"/>
                <w:color w:val="auto"/>
              </w:rPr>
            </w:pPr>
          </w:p>
        </w:tc>
        <w:tc>
          <w:tcPr>
            <w:tcW w:w="7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960" w:type="dxa"/>
            <w:vAlign w:val="bottom"/>
          </w:tcPr>
          <w:p>
            <w:pPr>
              <w:ind w:left="2400"/>
              <w:spacing w:after="0"/>
              <w:rPr>
                <w:sz w:val="20"/>
                <w:szCs w:val="20"/>
                <w:color w:val="auto"/>
              </w:rPr>
            </w:pPr>
            <w:r>
              <w:rPr>
                <w:rFonts w:ascii="Arial" w:cs="Arial" w:eastAsia="Arial" w:hAnsi="Arial"/>
                <w:sz w:val="14"/>
                <w:szCs w:val="14"/>
                <w:color w:val="auto"/>
              </w:rPr>
              <w:t>X</w:t>
            </w:r>
          </w:p>
        </w:tc>
      </w:tr>
      <w:tr>
        <w:trPr>
          <w:trHeight w:val="150"/>
        </w:trPr>
        <w:tc>
          <w:tcPr>
            <w:tcW w:w="1200" w:type="dxa"/>
            <w:vAlign w:val="bottom"/>
          </w:tcPr>
          <w:p>
            <w:pPr>
              <w:spacing w:after="0"/>
              <w:rPr>
                <w:sz w:val="13"/>
                <w:szCs w:val="13"/>
                <w:color w:val="auto"/>
              </w:rPr>
            </w:pPr>
          </w:p>
        </w:tc>
        <w:tc>
          <w:tcPr>
            <w:tcW w:w="3320" w:type="dxa"/>
            <w:vAlign w:val="bottom"/>
            <w:tcBorders>
              <w:bottom w:val="single" w:sz="8" w:color="0000FF"/>
            </w:tcBorders>
            <w:gridSpan w:val="9"/>
          </w:tcPr>
          <w:p>
            <w:pPr>
              <w:spacing w:after="0" w:line="150" w:lineRule="exact"/>
              <w:rPr>
                <w:sz w:val="20"/>
                <w:szCs w:val="20"/>
                <w:color w:val="auto"/>
              </w:rPr>
            </w:pPr>
            <w:r>
              <w:rPr>
                <w:rFonts w:ascii="Arial" w:cs="Arial" w:eastAsia="Arial" w:hAnsi="Arial"/>
                <w:sz w:val="14"/>
                <w:szCs w:val="14"/>
                <w:color w:val="0000FF"/>
                <w:w w:val="92"/>
              </w:rPr>
              <w:t>14(a) or Rule 15d-14(a) of the Securities Exchange Act of</w:t>
            </w:r>
          </w:p>
        </w:tc>
        <w:tc>
          <w:tcPr>
            <w:tcW w:w="24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150"/>
        </w:trPr>
        <w:tc>
          <w:tcPr>
            <w:tcW w:w="1200" w:type="dxa"/>
            <w:vAlign w:val="bottom"/>
          </w:tcPr>
          <w:p>
            <w:pPr>
              <w:spacing w:after="0"/>
              <w:rPr>
                <w:sz w:val="13"/>
                <w:szCs w:val="13"/>
                <w:color w:val="auto"/>
              </w:rPr>
            </w:pPr>
          </w:p>
        </w:tc>
        <w:tc>
          <w:tcPr>
            <w:tcW w:w="3280" w:type="dxa"/>
            <w:vAlign w:val="bottom"/>
            <w:tcBorders>
              <w:bottom w:val="single" w:sz="8" w:color="0000FF"/>
            </w:tcBorders>
            <w:gridSpan w:val="8"/>
          </w:tcPr>
          <w:p>
            <w:pPr>
              <w:spacing w:after="0" w:line="150" w:lineRule="exact"/>
              <w:rPr>
                <w:sz w:val="20"/>
                <w:szCs w:val="20"/>
                <w:color w:val="auto"/>
              </w:rPr>
            </w:pPr>
            <w:r>
              <w:rPr>
                <w:rFonts w:ascii="Arial" w:cs="Arial" w:eastAsia="Arial" w:hAnsi="Arial"/>
                <w:sz w:val="14"/>
                <w:szCs w:val="14"/>
                <w:color w:val="0000FF"/>
                <w:w w:val="88"/>
              </w:rPr>
              <w:t>1934, as adopted pursuant to Section 302 of the Sarbanes-</w:t>
            </w:r>
          </w:p>
        </w:tc>
        <w:tc>
          <w:tcPr>
            <w:tcW w:w="280" w:type="dxa"/>
            <w:vAlign w:val="bottom"/>
            <w:gridSpan w:val="6"/>
          </w:tcPr>
          <w:p>
            <w:pPr>
              <w:spacing w:after="0"/>
              <w:rPr>
                <w:sz w:val="13"/>
                <w:szCs w:val="13"/>
                <w:color w:val="auto"/>
              </w:rPr>
            </w:pPr>
          </w:p>
        </w:tc>
        <w:tc>
          <w:tcPr>
            <w:tcW w:w="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150"/>
        </w:trPr>
        <w:tc>
          <w:tcPr>
            <w:tcW w:w="1200" w:type="dxa"/>
            <w:vAlign w:val="bottom"/>
          </w:tcPr>
          <w:p>
            <w:pPr>
              <w:spacing w:after="0"/>
              <w:rPr>
                <w:sz w:val="13"/>
                <w:szCs w:val="13"/>
                <w:color w:val="auto"/>
              </w:rPr>
            </w:pPr>
          </w:p>
        </w:tc>
        <w:tc>
          <w:tcPr>
            <w:tcW w:w="3560" w:type="dxa"/>
            <w:vAlign w:val="bottom"/>
            <w:gridSpan w:val="14"/>
          </w:tcPr>
          <w:p>
            <w:pPr>
              <w:spacing w:after="0" w:line="150" w:lineRule="exact"/>
              <w:rPr>
                <w:sz w:val="20"/>
                <w:szCs w:val="20"/>
                <w:color w:val="auto"/>
              </w:rPr>
            </w:pPr>
            <w:r>
              <w:rPr>
                <w:rFonts w:ascii="Arial" w:cs="Arial" w:eastAsia="Arial" w:hAnsi="Arial"/>
                <w:sz w:val="14"/>
                <w:szCs w:val="14"/>
                <w:color w:val="0000FF"/>
              </w:rPr>
              <w:t>Oxley Act of 2002.</w:t>
            </w:r>
          </w:p>
        </w:tc>
        <w:tc>
          <w:tcPr>
            <w:tcW w:w="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733"/>
        </w:trPr>
        <w:tc>
          <w:tcPr>
            <w:tcW w:w="120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jc w:val="right"/>
              <w:ind w:right="1369"/>
              <w:spacing w:after="0"/>
              <w:rPr>
                <w:sz w:val="20"/>
                <w:szCs w:val="20"/>
                <w:color w:val="auto"/>
              </w:rPr>
            </w:pPr>
            <w:r>
              <w:rPr>
                <w:rFonts w:ascii="Arial" w:cs="Arial" w:eastAsia="Arial" w:hAnsi="Arial"/>
                <w:sz w:val="14"/>
                <w:szCs w:val="14"/>
                <w:color w:val="auto"/>
                <w:w w:val="85"/>
              </w:rPr>
              <w:t>117</w:t>
            </w:r>
          </w:p>
        </w:tc>
        <w:tc>
          <w:tcPr>
            <w:tcW w:w="11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87"/>
        </w:trPr>
        <w:tc>
          <w:tcPr>
            <w:tcW w:w="12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9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3"/>
          </w:tcPr>
          <w:p>
            <w:pPr>
              <w:ind w:left="180"/>
              <w:spacing w:after="0"/>
              <w:rPr>
                <w:sz w:val="20"/>
                <w:szCs w:val="20"/>
                <w:color w:val="auto"/>
              </w:rPr>
            </w:pPr>
            <w:r>
              <w:rPr>
                <w:rFonts w:ascii="Arial" w:cs="Arial" w:eastAsia="Arial" w:hAnsi="Arial"/>
                <w:sz w:val="11"/>
                <w:szCs w:val="11"/>
                <w:b w:val="1"/>
                <w:bCs w:val="1"/>
                <w:color w:val="auto"/>
              </w:rPr>
              <w:t>Incorporated by Reference</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18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11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20" w:type="dxa"/>
            <w:vAlign w:val="bottom"/>
            <w:gridSpan w:val="2"/>
          </w:tcPr>
          <w:p>
            <w:pPr>
              <w:jc w:val="center"/>
              <w:ind w:right="760"/>
              <w:spacing w:after="0" w:line="112" w:lineRule="exact"/>
              <w:rPr>
                <w:sz w:val="20"/>
                <w:szCs w:val="20"/>
                <w:color w:val="auto"/>
              </w:rPr>
            </w:pPr>
            <w:r>
              <w:rPr>
                <w:rFonts w:ascii="Arial" w:cs="Arial" w:eastAsia="Arial" w:hAnsi="Arial"/>
                <w:sz w:val="11"/>
                <w:szCs w:val="11"/>
                <w:b w:val="1"/>
                <w:bCs w:val="1"/>
                <w:color w:val="auto"/>
              </w:rPr>
              <w:t>Filing</w:t>
            </w:r>
          </w:p>
        </w:tc>
        <w:tc>
          <w:tcPr>
            <w:tcW w:w="94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4"/>
              </w:rPr>
              <w:t>File</w:t>
            </w:r>
          </w:p>
        </w:tc>
        <w:tc>
          <w:tcPr>
            <w:tcW w:w="0" w:type="dxa"/>
            <w:vAlign w:val="bottom"/>
          </w:tcPr>
          <w:p>
            <w:pPr>
              <w:spacing w:after="0"/>
              <w:rPr>
                <w:sz w:val="1"/>
                <w:szCs w:val="1"/>
                <w:color w:val="auto"/>
              </w:rPr>
            </w:pPr>
          </w:p>
        </w:tc>
      </w:tr>
      <w:tr>
        <w:trPr>
          <w:trHeight w:val="168"/>
        </w:trPr>
        <w:tc>
          <w:tcPr>
            <w:tcW w:w="1180" w:type="dxa"/>
            <w:vAlign w:val="bottom"/>
            <w:gridSpan w:val="2"/>
          </w:tcPr>
          <w:p>
            <w:pPr>
              <w:ind w:left="34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4"/>
                <w:szCs w:val="14"/>
                <w:color w:val="auto"/>
              </w:rPr>
            </w:pPr>
          </w:p>
        </w:tc>
        <w:tc>
          <w:tcPr>
            <w:tcW w:w="3680" w:type="dxa"/>
            <w:vAlign w:val="bottom"/>
            <w:gridSpan w:val="5"/>
          </w:tcPr>
          <w:p>
            <w:pPr>
              <w:ind w:left="1320"/>
              <w:spacing w:after="0"/>
              <w:rPr>
                <w:sz w:val="20"/>
                <w:szCs w:val="20"/>
                <w:color w:val="auto"/>
              </w:rPr>
            </w:pPr>
            <w:r>
              <w:rPr>
                <w:rFonts w:ascii="Arial" w:cs="Arial" w:eastAsia="Arial" w:hAnsi="Arial"/>
                <w:sz w:val="11"/>
                <w:szCs w:val="11"/>
                <w:b w:val="1"/>
                <w:bCs w:val="1"/>
                <w:color w:val="auto"/>
              </w:rPr>
              <w:t>Exhibit Description</w:t>
            </w:r>
          </w:p>
        </w:tc>
        <w:tc>
          <w:tcPr>
            <w:tcW w:w="1000" w:type="dxa"/>
            <w:vAlign w:val="bottom"/>
            <w:gridSpan w:val="2"/>
          </w:tcPr>
          <w:p>
            <w:pPr>
              <w:ind w:left="320"/>
              <w:spacing w:after="0"/>
              <w:rPr>
                <w:sz w:val="20"/>
                <w:szCs w:val="20"/>
                <w:color w:val="auto"/>
              </w:rPr>
            </w:pPr>
            <w:r>
              <w:rPr>
                <w:rFonts w:ascii="Arial" w:cs="Arial" w:eastAsia="Arial" w:hAnsi="Arial"/>
                <w:sz w:val="11"/>
                <w:szCs w:val="11"/>
                <w:b w:val="1"/>
                <w:bCs w:val="1"/>
                <w:color w:val="auto"/>
              </w:rPr>
              <w:t>Form</w:t>
            </w:r>
          </w:p>
        </w:tc>
        <w:tc>
          <w:tcPr>
            <w:tcW w:w="1340" w:type="dxa"/>
            <w:vAlign w:val="bottom"/>
            <w:gridSpan w:val="2"/>
          </w:tcPr>
          <w:p>
            <w:pPr>
              <w:ind w:left="440"/>
              <w:spacing w:after="0"/>
              <w:rPr>
                <w:sz w:val="20"/>
                <w:szCs w:val="20"/>
                <w:color w:val="auto"/>
              </w:rPr>
            </w:pPr>
            <w:r>
              <w:rPr>
                <w:rFonts w:ascii="Arial" w:cs="Arial" w:eastAsia="Arial" w:hAnsi="Arial"/>
                <w:sz w:val="11"/>
                <w:szCs w:val="11"/>
                <w:b w:val="1"/>
                <w:bCs w:val="1"/>
                <w:color w:val="auto"/>
              </w:rPr>
              <w:t>File No.</w:t>
            </w:r>
          </w:p>
        </w:tc>
        <w:tc>
          <w:tcPr>
            <w:tcW w:w="1660" w:type="dxa"/>
            <w:vAlign w:val="bottom"/>
            <w:gridSpan w:val="3"/>
          </w:tcPr>
          <w:p>
            <w:pPr>
              <w:ind w:left="280"/>
              <w:spacing w:after="0"/>
              <w:rPr>
                <w:sz w:val="20"/>
                <w:szCs w:val="20"/>
                <w:color w:val="auto"/>
              </w:rPr>
            </w:pPr>
            <w:r>
              <w:rPr>
                <w:rFonts w:ascii="Arial" w:cs="Arial" w:eastAsia="Arial" w:hAnsi="Arial"/>
                <w:sz w:val="11"/>
                <w:szCs w:val="11"/>
                <w:b w:val="1"/>
                <w:bCs w:val="1"/>
                <w:color w:val="auto"/>
              </w:rPr>
              <w:t>Exhibit</w:t>
            </w:r>
          </w:p>
        </w:tc>
        <w:tc>
          <w:tcPr>
            <w:tcW w:w="1420" w:type="dxa"/>
            <w:vAlign w:val="bottom"/>
            <w:gridSpan w:val="2"/>
          </w:tcPr>
          <w:p>
            <w:pPr>
              <w:jc w:val="center"/>
              <w:ind w:right="760"/>
              <w:spacing w:after="0"/>
              <w:rPr>
                <w:sz w:val="20"/>
                <w:szCs w:val="20"/>
                <w:color w:val="auto"/>
              </w:rPr>
            </w:pPr>
            <w:r>
              <w:rPr>
                <w:rFonts w:ascii="Arial" w:cs="Arial" w:eastAsia="Arial" w:hAnsi="Arial"/>
                <w:sz w:val="11"/>
                <w:szCs w:val="11"/>
                <w:b w:val="1"/>
                <w:bCs w:val="1"/>
                <w:color w:val="auto"/>
                <w:w w:val="92"/>
              </w:rPr>
              <w:t>Date</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4"/>
              </w:rPr>
              <w:t>Herewith</w:t>
            </w:r>
          </w:p>
        </w:tc>
        <w:tc>
          <w:tcPr>
            <w:tcW w:w="0" w:type="dxa"/>
            <w:vAlign w:val="bottom"/>
          </w:tcPr>
          <w:p>
            <w:pPr>
              <w:spacing w:after="0"/>
              <w:rPr>
                <w:sz w:val="1"/>
                <w:szCs w:val="1"/>
                <w:color w:val="auto"/>
              </w:rPr>
            </w:pPr>
          </w:p>
        </w:tc>
      </w:tr>
      <w:tr>
        <w:trPr>
          <w:trHeight w:val="30"/>
        </w:trPr>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080" w:type="dxa"/>
            <w:vAlign w:val="bottom"/>
          </w:tcPr>
          <w:p>
            <w:pPr>
              <w:ind w:left="20"/>
              <w:spacing w:after="0" w:line="150" w:lineRule="exact"/>
              <w:rPr>
                <w:sz w:val="20"/>
                <w:szCs w:val="20"/>
                <w:color w:val="auto"/>
              </w:rPr>
            </w:pPr>
            <w:r>
              <w:rPr>
                <w:rFonts w:ascii="Arial" w:cs="Arial" w:eastAsia="Arial" w:hAnsi="Arial"/>
                <w:sz w:val="14"/>
                <w:szCs w:val="14"/>
                <w:color w:val="auto"/>
              </w:rPr>
              <w:t>32.1**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gridSpan w:val="5"/>
          </w:tcPr>
          <w:p>
            <w:pPr>
              <w:spacing w:after="0" w:line="150" w:lineRule="exact"/>
              <w:rPr>
                <w:sz w:val="20"/>
                <w:szCs w:val="20"/>
                <w:color w:val="auto"/>
              </w:rPr>
            </w:pPr>
            <w:r>
              <w:rPr>
                <w:rFonts w:ascii="Arial" w:cs="Arial" w:eastAsia="Arial" w:hAnsi="Arial"/>
                <w:sz w:val="14"/>
                <w:szCs w:val="14"/>
                <w:color w:val="0000FF"/>
              </w:rPr>
              <w:t>Certification of Chief Executive Officer and Chief Financial</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spacing w:after="0" w:line="150"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tcBorders>
              <w:top w:val="single" w:sz="8" w:color="0000FF"/>
              <w:bottom w:val="single" w:sz="8" w:color="0000FF"/>
            </w:tcBorders>
          </w:tcPr>
          <w:p>
            <w:pPr>
              <w:spacing w:after="0" w:line="150" w:lineRule="exact"/>
              <w:rPr>
                <w:sz w:val="20"/>
                <w:szCs w:val="20"/>
                <w:color w:val="auto"/>
              </w:rPr>
            </w:pPr>
            <w:r>
              <w:rPr>
                <w:rFonts w:ascii="Arial" w:cs="Arial" w:eastAsia="Arial" w:hAnsi="Arial"/>
                <w:sz w:val="14"/>
                <w:szCs w:val="14"/>
                <w:color w:val="0000FF"/>
                <w:w w:val="90"/>
              </w:rPr>
              <w:t>Officer pursuant to 18 U.S.C. Section 1350, as adopted</w:t>
            </w:r>
          </w:p>
        </w:tc>
        <w:tc>
          <w:tcPr>
            <w:tcW w:w="280" w:type="dxa"/>
            <w:vAlign w:val="bottom"/>
            <w:tcBorders>
              <w:top w:val="single" w:sz="8" w:color="0000FF"/>
            </w:tcBorders>
            <w:gridSpan w:val="2"/>
          </w:tcPr>
          <w:p>
            <w:pPr>
              <w:spacing w:after="0"/>
              <w:rPr>
                <w:sz w:val="13"/>
                <w:szCs w:val="13"/>
                <w:color w:val="auto"/>
              </w:rPr>
            </w:pPr>
          </w:p>
        </w:tc>
        <w:tc>
          <w:tcPr>
            <w:tcW w:w="28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gridSpan w:val="5"/>
          </w:tcPr>
          <w:p>
            <w:pPr>
              <w:spacing w:after="0" w:line="150" w:lineRule="exact"/>
              <w:rPr>
                <w:sz w:val="20"/>
                <w:szCs w:val="20"/>
                <w:color w:val="auto"/>
              </w:rPr>
            </w:pPr>
            <w:r>
              <w:rPr>
                <w:rFonts w:ascii="Arial" w:cs="Arial" w:eastAsia="Arial" w:hAnsi="Arial"/>
                <w:sz w:val="14"/>
                <w:szCs w:val="14"/>
                <w:color w:val="0000FF"/>
                <w:w w:val="99"/>
              </w:rPr>
              <w:t>pursuant to Section 906 of the Sarbanes-Oxley Act of 2002.</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1180" w:type="dxa"/>
            <w:vAlign w:val="bottom"/>
            <w:gridSpan w:val="2"/>
          </w:tcPr>
          <w:p>
            <w:pPr>
              <w:ind w:left="20"/>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19"/>
                <w:szCs w:val="19"/>
                <w:color w:val="auto"/>
              </w:rPr>
            </w:pPr>
          </w:p>
        </w:tc>
        <w:tc>
          <w:tcPr>
            <w:tcW w:w="338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auto"/>
              </w:rPr>
              <w:t>XBRL Instance Document</w:t>
            </w:r>
          </w:p>
        </w:tc>
        <w:tc>
          <w:tcPr>
            <w:tcW w:w="300" w:type="dxa"/>
            <w:vAlign w:val="bottom"/>
            <w:gridSpan w:val="3"/>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12"/>
        </w:trPr>
        <w:tc>
          <w:tcPr>
            <w:tcW w:w="118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18"/>
                <w:szCs w:val="18"/>
                <w:color w:val="auto"/>
              </w:rPr>
            </w:pPr>
          </w:p>
        </w:tc>
        <w:tc>
          <w:tcPr>
            <w:tcW w:w="3680" w:type="dxa"/>
            <w:vAlign w:val="bottom"/>
            <w:gridSpan w:val="5"/>
          </w:tcPr>
          <w:p>
            <w:pPr>
              <w:spacing w:after="0"/>
              <w:rPr>
                <w:sz w:val="20"/>
                <w:szCs w:val="20"/>
                <w:color w:val="auto"/>
              </w:rPr>
            </w:pPr>
            <w:r>
              <w:rPr>
                <w:rFonts w:ascii="Arial" w:cs="Arial" w:eastAsia="Arial" w:hAnsi="Arial"/>
                <w:sz w:val="14"/>
                <w:szCs w:val="14"/>
                <w:color w:val="auto"/>
              </w:rPr>
              <w:t>XBRL Taxonomy Extension Schema Document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12"/>
        </w:trPr>
        <w:tc>
          <w:tcPr>
            <w:tcW w:w="118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18"/>
                <w:szCs w:val="18"/>
                <w:color w:val="auto"/>
              </w:rPr>
            </w:pPr>
          </w:p>
        </w:tc>
        <w:tc>
          <w:tcPr>
            <w:tcW w:w="3680" w:type="dxa"/>
            <w:vAlign w:val="bottom"/>
            <w:gridSpan w:val="5"/>
          </w:tcPr>
          <w:p>
            <w:pPr>
              <w:spacing w:after="0"/>
              <w:rPr>
                <w:sz w:val="20"/>
                <w:szCs w:val="20"/>
                <w:color w:val="auto"/>
              </w:rPr>
            </w:pPr>
            <w:r>
              <w:rPr>
                <w:rFonts w:ascii="Arial" w:cs="Arial" w:eastAsia="Arial" w:hAnsi="Arial"/>
                <w:sz w:val="14"/>
                <w:szCs w:val="14"/>
                <w:color w:val="auto"/>
              </w:rPr>
              <w:t>XBRL Taxonomy Calculation Linkbase Document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12"/>
        </w:trPr>
        <w:tc>
          <w:tcPr>
            <w:tcW w:w="118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18"/>
                <w:szCs w:val="18"/>
                <w:color w:val="auto"/>
              </w:rPr>
            </w:pPr>
          </w:p>
        </w:tc>
        <w:tc>
          <w:tcPr>
            <w:tcW w:w="3680" w:type="dxa"/>
            <w:vAlign w:val="bottom"/>
            <w:gridSpan w:val="5"/>
          </w:tcPr>
          <w:p>
            <w:pPr>
              <w:spacing w:after="0"/>
              <w:rPr>
                <w:sz w:val="20"/>
                <w:szCs w:val="20"/>
                <w:color w:val="auto"/>
              </w:rPr>
            </w:pPr>
            <w:r>
              <w:rPr>
                <w:rFonts w:ascii="Arial" w:cs="Arial" w:eastAsia="Arial" w:hAnsi="Arial"/>
                <w:sz w:val="14"/>
                <w:szCs w:val="14"/>
                <w:color w:val="auto"/>
              </w:rPr>
              <w:t>XBRL Taxonomy Extension Definition Document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12"/>
        </w:trPr>
        <w:tc>
          <w:tcPr>
            <w:tcW w:w="118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18"/>
                <w:szCs w:val="18"/>
                <w:color w:val="auto"/>
              </w:rPr>
            </w:pPr>
          </w:p>
        </w:tc>
        <w:tc>
          <w:tcPr>
            <w:tcW w:w="3680" w:type="dxa"/>
            <w:vAlign w:val="bottom"/>
            <w:gridSpan w:val="5"/>
          </w:tcPr>
          <w:p>
            <w:pPr>
              <w:spacing w:after="0"/>
              <w:rPr>
                <w:sz w:val="20"/>
                <w:szCs w:val="20"/>
                <w:color w:val="auto"/>
              </w:rPr>
            </w:pPr>
            <w:r>
              <w:rPr>
                <w:rFonts w:ascii="Arial" w:cs="Arial" w:eastAsia="Arial" w:hAnsi="Arial"/>
                <w:sz w:val="14"/>
                <w:szCs w:val="14"/>
                <w:color w:val="auto"/>
              </w:rPr>
              <w:t>XBRL Taxonomy Label Linkbase Document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12"/>
        </w:trPr>
        <w:tc>
          <w:tcPr>
            <w:tcW w:w="118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18"/>
                <w:szCs w:val="18"/>
                <w:color w:val="auto"/>
              </w:rPr>
            </w:pPr>
          </w:p>
        </w:tc>
        <w:tc>
          <w:tcPr>
            <w:tcW w:w="3680" w:type="dxa"/>
            <w:vAlign w:val="bottom"/>
            <w:gridSpan w:val="5"/>
          </w:tcPr>
          <w:p>
            <w:pPr>
              <w:spacing w:after="0"/>
              <w:rPr>
                <w:sz w:val="20"/>
                <w:szCs w:val="20"/>
                <w:color w:val="auto"/>
              </w:rPr>
            </w:pPr>
            <w:r>
              <w:rPr>
                <w:rFonts w:ascii="Arial" w:cs="Arial" w:eastAsia="Arial" w:hAnsi="Arial"/>
                <w:sz w:val="14"/>
                <w:szCs w:val="14"/>
                <w:color w:val="auto"/>
              </w:rPr>
              <w:t>XBRL Taxonomy Presentation Linkbase Document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w:t>
      </w:r>
    </w:p>
    <w:p>
      <w:pPr>
        <w:spacing w:after="0" w:line="182" w:lineRule="exact"/>
        <w:rPr>
          <w:sz w:val="20"/>
          <w:szCs w:val="20"/>
          <w:color w:val="auto"/>
        </w:rPr>
      </w:pPr>
    </w:p>
    <w:p>
      <w:pPr>
        <w:ind w:left="520" w:hanging="515"/>
        <w:spacing w:after="0" w:line="274" w:lineRule="auto"/>
        <w:tabs>
          <w:tab w:leader="none" w:pos="263"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certifications furnished in Exhibit 32.1 hereto are deemed to be furnished with this Annual Report on Form 10-K and will not be deemed to be “filed” for purposes of Section 18 of the Securities Exchange Act of 1934, as amended, except to the extent that the Registrant specifically incorporates them by reference</w:t>
      </w:r>
    </w:p>
    <w:p>
      <w:pPr>
        <w:spacing w:after="0" w:line="136" w:lineRule="exact"/>
        <w:rPr>
          <w:sz w:val="20"/>
          <w:szCs w:val="20"/>
          <w:color w:val="auto"/>
        </w:rPr>
      </w:pPr>
    </w:p>
    <w:p>
      <w:pPr>
        <w:spacing w:after="0"/>
        <w:tabs>
          <w:tab w:leader="none" w:pos="1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Represents management compensation plan, contract or arrangement.</w:t>
      </w:r>
    </w:p>
    <w:p>
      <w:pPr>
        <w:spacing w:after="0" w:line="169" w:lineRule="exact"/>
        <w:rPr>
          <w:sz w:val="20"/>
          <w:szCs w:val="20"/>
          <w:color w:val="auto"/>
        </w:rPr>
      </w:pPr>
    </w:p>
    <w:p>
      <w:pPr>
        <w:ind w:left="220" w:hanging="215"/>
        <w:spacing w:after="0"/>
        <w:tabs>
          <w:tab w:leader="none" w:pos="220" w:val="left"/>
        </w:tabs>
        <w:numPr>
          <w:ilvl w:val="0"/>
          <w:numId w:val="63"/>
        </w:numPr>
        <w:rPr>
          <w:rFonts w:ascii="Arial" w:cs="Arial" w:eastAsia="Arial" w:hAnsi="Arial"/>
          <w:sz w:val="14"/>
          <w:szCs w:val="14"/>
          <w:color w:val="auto"/>
        </w:rPr>
      </w:pPr>
      <w:r>
        <w:rPr>
          <w:rFonts w:ascii="Arial" w:cs="Arial" w:eastAsia="Arial" w:hAnsi="Arial"/>
          <w:sz w:val="13"/>
          <w:szCs w:val="13"/>
          <w:color w:val="auto"/>
        </w:rPr>
        <w:t>Portions of this exhibit have been omitted pursuant to Item 601(b) of Regulation S-K.</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51"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Pursuant to the requirements of Section 13 or 15(d) of the Securities Exchange Act of 1934, as amended, the Registrant has duly caused this Report to be signed on its behalf by the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20"/>
                <w:szCs w:val="20"/>
                <w:color w:val="auto"/>
              </w:rPr>
            </w:pPr>
            <w:r>
              <w:rPr>
                <w:rFonts w:ascii="Arial" w:cs="Arial" w:eastAsia="Arial" w:hAnsi="Arial"/>
                <w:sz w:val="14"/>
                <w:szCs w:val="14"/>
                <w:color w:val="auto"/>
              </w:rPr>
              <w:t>undersigned, thereunto duly authorized</w:t>
            </w: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5400" w:type="dxa"/>
            <w:vAlign w:val="bottom"/>
          </w:tcPr>
          <w:p>
            <w:pPr>
              <w:spacing w:after="0"/>
              <w:rPr>
                <w:sz w:val="16"/>
                <w:szCs w:val="16"/>
                <w:color w:val="auto"/>
              </w:rPr>
            </w:pPr>
          </w:p>
        </w:tc>
      </w:tr>
      <w:tr>
        <w:trPr>
          <w:trHeight w:val="304"/>
        </w:trPr>
        <w:tc>
          <w:tcPr>
            <w:tcW w:w="5420" w:type="dxa"/>
            <w:vAlign w:val="bottom"/>
          </w:tcPr>
          <w:p>
            <w:pPr>
              <w:ind w:left="520"/>
              <w:spacing w:after="0"/>
              <w:rPr>
                <w:sz w:val="20"/>
                <w:szCs w:val="20"/>
                <w:color w:val="auto"/>
              </w:rPr>
            </w:pPr>
            <w:r>
              <w:rPr>
                <w:rFonts w:ascii="Arial" w:cs="Arial" w:eastAsia="Arial" w:hAnsi="Arial"/>
                <w:sz w:val="14"/>
                <w:szCs w:val="14"/>
                <w:color w:val="auto"/>
              </w:rPr>
              <w:t>Date: March 9, 2023</w:t>
            </w:r>
          </w:p>
        </w:tc>
        <w:tc>
          <w:tcPr>
            <w:tcW w:w="46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65"/>
        </w:trPr>
        <w:tc>
          <w:tcPr>
            <w:tcW w:w="5420" w:type="dxa"/>
            <w:vAlign w:val="bottom"/>
          </w:tcPr>
          <w:p>
            <w:pPr>
              <w:spacing w:after="0"/>
              <w:rPr>
                <w:sz w:val="23"/>
                <w:szCs w:val="23"/>
                <w:color w:val="auto"/>
              </w:rPr>
            </w:pPr>
          </w:p>
        </w:tc>
        <w:tc>
          <w:tcPr>
            <w:tcW w:w="5860" w:type="dxa"/>
            <w:vAlign w:val="bottom"/>
            <w:gridSpan w:val="2"/>
          </w:tcPr>
          <w:p>
            <w:pPr>
              <w:ind w:left="20"/>
              <w:spacing w:after="0"/>
              <w:rPr>
                <w:sz w:val="20"/>
                <w:szCs w:val="20"/>
                <w:color w:val="auto"/>
              </w:rPr>
            </w:pPr>
            <w:r>
              <w:rPr>
                <w:rFonts w:ascii="Arial" w:cs="Arial" w:eastAsia="Arial" w:hAnsi="Arial"/>
                <w:sz w:val="14"/>
                <w:szCs w:val="14"/>
                <w:color w:val="auto"/>
              </w:rPr>
              <w:t>PLIANT THERAPEUTICS, INC.</w:t>
            </w:r>
          </w:p>
        </w:tc>
      </w:tr>
      <w:tr>
        <w:trPr>
          <w:trHeight w:val="223"/>
        </w:trPr>
        <w:tc>
          <w:tcPr>
            <w:tcW w:w="5420" w:type="dxa"/>
            <w:vAlign w:val="bottom"/>
          </w:tcPr>
          <w:p>
            <w:pPr>
              <w:ind w:left="5200"/>
              <w:spacing w:after="0"/>
              <w:rPr>
                <w:sz w:val="20"/>
                <w:szCs w:val="20"/>
                <w:color w:val="auto"/>
              </w:rPr>
            </w:pPr>
            <w:r>
              <w:rPr>
                <w:rFonts w:ascii="Arial" w:cs="Arial" w:eastAsia="Arial" w:hAnsi="Arial"/>
                <w:sz w:val="14"/>
                <w:szCs w:val="14"/>
                <w:color w:val="auto"/>
                <w:w w:val="98"/>
              </w:rPr>
              <w:t>By:</w:t>
            </w:r>
          </w:p>
        </w:tc>
        <w:tc>
          <w:tcPr>
            <w:tcW w:w="460" w:type="dxa"/>
            <w:vAlign w:val="bottom"/>
          </w:tcPr>
          <w:p>
            <w:pPr>
              <w:spacing w:after="0"/>
              <w:rPr>
                <w:sz w:val="19"/>
                <w:szCs w:val="19"/>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Bernard Coulie</w:t>
            </w:r>
          </w:p>
        </w:tc>
      </w:tr>
      <w:tr>
        <w:trPr>
          <w:trHeight w:val="171"/>
        </w:trPr>
        <w:tc>
          <w:tcPr>
            <w:tcW w:w="5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0" w:type="dxa"/>
            <w:vAlign w:val="bottom"/>
          </w:tcPr>
          <w:p>
            <w:pPr>
              <w:ind w:left="140"/>
              <w:spacing w:after="0"/>
              <w:rPr>
                <w:sz w:val="20"/>
                <w:szCs w:val="20"/>
                <w:color w:val="auto"/>
              </w:rPr>
            </w:pPr>
            <w:r>
              <w:rPr>
                <w:rFonts w:ascii="Arial" w:cs="Arial" w:eastAsia="Arial" w:hAnsi="Arial"/>
                <w:sz w:val="14"/>
                <w:szCs w:val="14"/>
                <w:color w:val="auto"/>
              </w:rPr>
              <w:t>Bernard Coulie, M.D., Ph.D.</w:t>
            </w:r>
          </w:p>
        </w:tc>
      </w:tr>
      <w:tr>
        <w:trPr>
          <w:trHeight w:val="180"/>
        </w:trPr>
        <w:tc>
          <w:tcPr>
            <w:tcW w:w="5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Arial" w:cs="Arial" w:eastAsia="Arial" w:hAnsi="Arial"/>
                <w:sz w:val="14"/>
                <w:szCs w:val="14"/>
                <w:color w:val="auto"/>
              </w:rPr>
              <w:t>President and Chief Executive Officer</w:t>
            </w:r>
          </w:p>
        </w:tc>
      </w:tr>
      <w:tr>
        <w:trPr>
          <w:trHeight w:val="223"/>
        </w:trPr>
        <w:tc>
          <w:tcPr>
            <w:tcW w:w="5420" w:type="dxa"/>
            <w:vAlign w:val="bottom"/>
          </w:tcPr>
          <w:p>
            <w:pPr>
              <w:ind w:left="5200"/>
              <w:spacing w:after="0"/>
              <w:rPr>
                <w:sz w:val="20"/>
                <w:szCs w:val="20"/>
                <w:color w:val="auto"/>
              </w:rPr>
            </w:pPr>
            <w:r>
              <w:rPr>
                <w:rFonts w:ascii="Arial" w:cs="Arial" w:eastAsia="Arial" w:hAnsi="Arial"/>
                <w:sz w:val="14"/>
                <w:szCs w:val="14"/>
                <w:color w:val="auto"/>
                <w:w w:val="98"/>
              </w:rPr>
              <w:t>By:</w:t>
            </w:r>
          </w:p>
        </w:tc>
        <w:tc>
          <w:tcPr>
            <w:tcW w:w="460" w:type="dxa"/>
            <w:vAlign w:val="bottom"/>
          </w:tcPr>
          <w:p>
            <w:pPr>
              <w:spacing w:after="0"/>
              <w:rPr>
                <w:sz w:val="19"/>
                <w:szCs w:val="19"/>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Keith Cummings</w:t>
            </w:r>
          </w:p>
        </w:tc>
      </w:tr>
      <w:tr>
        <w:trPr>
          <w:trHeight w:val="171"/>
        </w:trPr>
        <w:tc>
          <w:tcPr>
            <w:tcW w:w="5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0" w:type="dxa"/>
            <w:vAlign w:val="bottom"/>
          </w:tcPr>
          <w:p>
            <w:pPr>
              <w:ind w:left="140"/>
              <w:spacing w:after="0"/>
              <w:rPr>
                <w:sz w:val="20"/>
                <w:szCs w:val="20"/>
                <w:color w:val="auto"/>
              </w:rPr>
            </w:pPr>
            <w:r>
              <w:rPr>
                <w:rFonts w:ascii="Arial" w:cs="Arial" w:eastAsia="Arial" w:hAnsi="Arial"/>
                <w:sz w:val="14"/>
                <w:szCs w:val="14"/>
                <w:color w:val="auto"/>
              </w:rPr>
              <w:t>Keith Cummings, M.D., M.B.A.</w:t>
            </w:r>
          </w:p>
        </w:tc>
      </w:tr>
      <w:tr>
        <w:trPr>
          <w:trHeight w:val="180"/>
        </w:trPr>
        <w:tc>
          <w:tcPr>
            <w:tcW w:w="5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Arial" w:cs="Arial" w:eastAsia="Arial" w:hAnsi="Arial"/>
                <w:sz w:val="14"/>
                <w:szCs w:val="14"/>
                <w:color w:val="auto"/>
              </w:rPr>
              <w:t>Chief Financial Officer</w:t>
            </w: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98" w:lineRule="exact"/>
        <w:rPr>
          <w:sz w:val="20"/>
          <w:szCs w:val="20"/>
          <w:color w:val="auto"/>
        </w:rPr>
      </w:pPr>
    </w:p>
    <w:p>
      <w:pPr>
        <w:ind w:right="20" w:firstLine="509"/>
        <w:spacing w:after="0" w:line="258" w:lineRule="auto"/>
        <w:rPr>
          <w:sz w:val="20"/>
          <w:szCs w:val="20"/>
          <w:color w:val="auto"/>
        </w:rPr>
      </w:pPr>
      <w:r>
        <w:rPr>
          <w:rFonts w:ascii="Arial" w:cs="Arial" w:eastAsia="Arial" w:hAnsi="Arial"/>
          <w:sz w:val="14"/>
          <w:szCs w:val="14"/>
          <w:color w:val="auto"/>
        </w:rPr>
        <w:t>KNOW ALL PERSONS BY THESE PRESENTS, that each person whose signature appears below constitutes and appoints, Bernard Coulie and Keith Cummings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spacing w:after="0" w:line="118" w:lineRule="exact"/>
        <w:rPr>
          <w:sz w:val="20"/>
          <w:szCs w:val="20"/>
          <w:color w:val="auto"/>
        </w:rPr>
      </w:pPr>
    </w:p>
    <w:p>
      <w:pPr>
        <w:ind w:right="220" w:firstLine="509"/>
        <w:spacing w:after="0" w:line="281" w:lineRule="auto"/>
        <w:rPr>
          <w:sz w:val="20"/>
          <w:szCs w:val="20"/>
          <w:color w:val="auto"/>
        </w:rPr>
      </w:pPr>
      <w:r>
        <w:rPr>
          <w:rFonts w:ascii="Arial" w:cs="Arial" w:eastAsia="Arial" w:hAnsi="Arial"/>
          <w:sz w:val="14"/>
          <w:szCs w:val="14"/>
          <w:color w:val="auto"/>
        </w:rPr>
        <w:t>Pursuant to the requirements of the Securities Exchange Act of 1934, as amended, this Report has been signed below by the following persons on behalf of the Registrant in the capacities and on the dates indicated.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180" w:type="dxa"/>
            <w:vAlign w:val="bottom"/>
          </w:tcPr>
          <w:p>
            <w:pPr>
              <w:jc w:val="center"/>
              <w:spacing w:after="0"/>
              <w:rPr>
                <w:sz w:val="20"/>
                <w:szCs w:val="20"/>
                <w:color w:val="auto"/>
              </w:rPr>
            </w:pPr>
            <w:r>
              <w:rPr>
                <w:rFonts w:ascii="Arial" w:cs="Arial" w:eastAsia="Arial" w:hAnsi="Arial"/>
                <w:sz w:val="11"/>
                <w:szCs w:val="11"/>
                <w:b w:val="1"/>
                <w:bCs w:val="1"/>
                <w:color w:val="auto"/>
                <w:w w:val="93"/>
              </w:rPr>
              <w:t>Name</w:t>
            </w:r>
          </w:p>
        </w:tc>
        <w:tc>
          <w:tcPr>
            <w:tcW w:w="100" w:type="dxa"/>
            <w:vAlign w:val="bottom"/>
          </w:tcPr>
          <w:p>
            <w:pPr>
              <w:spacing w:after="0"/>
              <w:rPr>
                <w:sz w:val="12"/>
                <w:szCs w:val="12"/>
                <w:color w:val="auto"/>
              </w:rPr>
            </w:pPr>
          </w:p>
        </w:tc>
        <w:tc>
          <w:tcPr>
            <w:tcW w:w="5260" w:type="dxa"/>
            <w:vAlign w:val="bottom"/>
            <w:gridSpan w:val="2"/>
          </w:tcPr>
          <w:p>
            <w:pPr>
              <w:ind w:left="2480"/>
              <w:spacing w:after="0"/>
              <w:rPr>
                <w:sz w:val="20"/>
                <w:szCs w:val="20"/>
                <w:color w:val="auto"/>
              </w:rPr>
            </w:pPr>
            <w:r>
              <w:rPr>
                <w:rFonts w:ascii="Arial" w:cs="Arial" w:eastAsia="Arial" w:hAnsi="Arial"/>
                <w:sz w:val="11"/>
                <w:szCs w:val="11"/>
                <w:b w:val="1"/>
                <w:bCs w:val="1"/>
                <w:color w:val="auto"/>
              </w:rPr>
              <w:t>Title</w:t>
            </w:r>
          </w:p>
        </w:tc>
        <w:tc>
          <w:tcPr>
            <w:tcW w:w="2380" w:type="dxa"/>
            <w:vAlign w:val="bottom"/>
          </w:tcPr>
          <w:p>
            <w:pPr>
              <w:jc w:val="center"/>
              <w:spacing w:after="0"/>
              <w:rPr>
                <w:sz w:val="20"/>
                <w:szCs w:val="20"/>
                <w:color w:val="auto"/>
              </w:rPr>
            </w:pPr>
            <w:r>
              <w:rPr>
                <w:rFonts w:ascii="Arial" w:cs="Arial" w:eastAsia="Arial" w:hAnsi="Arial"/>
                <w:sz w:val="11"/>
                <w:szCs w:val="11"/>
                <w:b w:val="1"/>
                <w:bCs w:val="1"/>
                <w:color w:val="auto"/>
                <w:w w:val="92"/>
              </w:rPr>
              <w:t>Date</w:t>
            </w:r>
          </w:p>
        </w:tc>
      </w:tr>
      <w:tr>
        <w:trPr>
          <w:trHeight w:val="30"/>
        </w:trPr>
        <w:tc>
          <w:tcPr>
            <w:tcW w:w="3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372"/>
        </w:trPr>
        <w:tc>
          <w:tcPr>
            <w:tcW w:w="3180" w:type="dxa"/>
            <w:vAlign w:val="bottom"/>
          </w:tcPr>
          <w:p>
            <w:pPr>
              <w:jc w:val="center"/>
              <w:spacing w:after="0"/>
              <w:rPr>
                <w:sz w:val="20"/>
                <w:szCs w:val="20"/>
                <w:color w:val="auto"/>
              </w:rPr>
            </w:pPr>
            <w:r>
              <w:rPr>
                <w:rFonts w:ascii="Arial" w:cs="Arial" w:eastAsia="Arial" w:hAnsi="Arial"/>
                <w:sz w:val="14"/>
                <w:szCs w:val="14"/>
                <w:color w:val="auto"/>
                <w:w w:val="92"/>
              </w:rPr>
              <w:t>/s/ Bernard Coulie</w:t>
            </w:r>
          </w:p>
        </w:tc>
        <w:tc>
          <w:tcPr>
            <w:tcW w:w="100" w:type="dxa"/>
            <w:vAlign w:val="bottom"/>
          </w:tcPr>
          <w:p>
            <w:pPr>
              <w:spacing w:after="0"/>
              <w:rPr>
                <w:sz w:val="24"/>
                <w:szCs w:val="24"/>
                <w:color w:val="auto"/>
              </w:rPr>
            </w:pPr>
          </w:p>
        </w:tc>
        <w:tc>
          <w:tcPr>
            <w:tcW w:w="5260" w:type="dxa"/>
            <w:vAlign w:val="bottom"/>
            <w:gridSpan w:val="2"/>
          </w:tcPr>
          <w:p>
            <w:pPr>
              <w:ind w:left="20"/>
              <w:spacing w:after="0"/>
              <w:rPr>
                <w:sz w:val="20"/>
                <w:szCs w:val="20"/>
                <w:color w:val="auto"/>
              </w:rPr>
            </w:pPr>
            <w:r>
              <w:rPr>
                <w:rFonts w:ascii="Arial" w:cs="Arial" w:eastAsia="Arial" w:hAnsi="Arial"/>
                <w:sz w:val="14"/>
                <w:szCs w:val="14"/>
                <w:color w:val="auto"/>
              </w:rPr>
              <w:t>President, Chief Executive Officer and Director</w:t>
            </w:r>
          </w:p>
        </w:tc>
        <w:tc>
          <w:tcPr>
            <w:tcW w:w="2380" w:type="dxa"/>
            <w:vAlign w:val="bottom"/>
          </w:tcPr>
          <w:p>
            <w:pPr>
              <w:jc w:val="center"/>
              <w:spacing w:after="0"/>
              <w:rPr>
                <w:sz w:val="20"/>
                <w:szCs w:val="20"/>
                <w:color w:val="auto"/>
              </w:rPr>
            </w:pPr>
            <w:r>
              <w:rPr>
                <w:rFonts w:ascii="Arial" w:cs="Arial" w:eastAsia="Arial" w:hAnsi="Arial"/>
                <w:sz w:val="14"/>
                <w:szCs w:val="14"/>
                <w:color w:val="auto"/>
                <w:w w:val="91"/>
              </w:rPr>
              <w:t>March 9, 2023</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Arial" w:cs="Arial" w:eastAsia="Arial" w:hAnsi="Arial"/>
                <w:sz w:val="14"/>
                <w:szCs w:val="14"/>
                <w:color w:val="auto"/>
                <w:w w:val="94"/>
              </w:rPr>
              <w:t>Bernard Coulie, M.D., Ph.D.</w:t>
            </w:r>
          </w:p>
        </w:tc>
        <w:tc>
          <w:tcPr>
            <w:tcW w:w="100" w:type="dxa"/>
            <w:vAlign w:val="bottom"/>
          </w:tcPr>
          <w:p>
            <w:pPr>
              <w:spacing w:after="0"/>
              <w:rPr>
                <w:sz w:val="15"/>
                <w:szCs w:val="15"/>
                <w:color w:val="auto"/>
              </w:rPr>
            </w:pPr>
          </w:p>
        </w:tc>
        <w:tc>
          <w:tcPr>
            <w:tcW w:w="5260" w:type="dxa"/>
            <w:vAlign w:val="bottom"/>
            <w:gridSpan w:val="2"/>
          </w:tcPr>
          <w:p>
            <w:pPr>
              <w:ind w:left="20"/>
              <w:spacing w:after="0"/>
              <w:rPr>
                <w:sz w:val="20"/>
                <w:szCs w:val="20"/>
                <w:color w:val="auto"/>
              </w:rPr>
            </w:pPr>
            <w:r>
              <w:rPr>
                <w:rFonts w:ascii="Arial" w:cs="Arial" w:eastAsia="Arial" w:hAnsi="Arial"/>
                <w:sz w:val="14"/>
                <w:szCs w:val="14"/>
                <w:color w:val="auto"/>
              </w:rPr>
              <w:t>Principal Executive Officer</w:t>
            </w:r>
          </w:p>
        </w:tc>
        <w:tc>
          <w:tcPr>
            <w:tcW w:w="2380" w:type="dxa"/>
            <w:vAlign w:val="bottom"/>
          </w:tcPr>
          <w:p>
            <w:pPr>
              <w:spacing w:after="0"/>
              <w:rPr>
                <w:sz w:val="15"/>
                <w:szCs w:val="15"/>
                <w:color w:val="auto"/>
              </w:rPr>
            </w:pPr>
          </w:p>
        </w:tc>
      </w:tr>
      <w:tr>
        <w:trPr>
          <w:trHeight w:val="255"/>
        </w:trPr>
        <w:tc>
          <w:tcPr>
            <w:tcW w:w="3180" w:type="dxa"/>
            <w:vAlign w:val="bottom"/>
          </w:tcPr>
          <w:p>
            <w:pPr>
              <w:jc w:val="center"/>
              <w:spacing w:after="0"/>
              <w:rPr>
                <w:sz w:val="20"/>
                <w:szCs w:val="20"/>
                <w:color w:val="auto"/>
              </w:rPr>
            </w:pPr>
            <w:r>
              <w:rPr>
                <w:rFonts w:ascii="Arial" w:cs="Arial" w:eastAsia="Arial" w:hAnsi="Arial"/>
                <w:sz w:val="14"/>
                <w:szCs w:val="14"/>
                <w:color w:val="auto"/>
                <w:w w:val="93"/>
              </w:rPr>
              <w:t>/s/ Keith Cummings</w:t>
            </w:r>
          </w:p>
        </w:tc>
        <w:tc>
          <w:tcPr>
            <w:tcW w:w="10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Arial" w:cs="Arial" w:eastAsia="Arial" w:hAnsi="Arial"/>
                <w:sz w:val="14"/>
                <w:szCs w:val="14"/>
                <w:color w:val="auto"/>
              </w:rPr>
              <w:t>Chief Financial Officer</w:t>
            </w:r>
          </w:p>
        </w:tc>
        <w:tc>
          <w:tcPr>
            <w:tcW w:w="2380" w:type="dxa"/>
            <w:vAlign w:val="bottom"/>
          </w:tcPr>
          <w:p>
            <w:pPr>
              <w:jc w:val="center"/>
              <w:spacing w:after="0"/>
              <w:rPr>
                <w:sz w:val="20"/>
                <w:szCs w:val="20"/>
                <w:color w:val="auto"/>
              </w:rPr>
            </w:pPr>
            <w:r>
              <w:rPr>
                <w:rFonts w:ascii="Arial" w:cs="Arial" w:eastAsia="Arial" w:hAnsi="Arial"/>
                <w:sz w:val="14"/>
                <w:szCs w:val="14"/>
                <w:color w:val="auto"/>
                <w:w w:val="91"/>
              </w:rPr>
              <w:t>March 9, 2023</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Arial" w:cs="Arial" w:eastAsia="Arial" w:hAnsi="Arial"/>
                <w:sz w:val="14"/>
                <w:szCs w:val="14"/>
                <w:color w:val="auto"/>
                <w:w w:val="96"/>
              </w:rPr>
              <w:t>Keith Cummings, M.D., M.B.A.</w:t>
            </w:r>
          </w:p>
        </w:tc>
        <w:tc>
          <w:tcPr>
            <w:tcW w:w="100" w:type="dxa"/>
            <w:vAlign w:val="bottom"/>
          </w:tcPr>
          <w:p>
            <w:pPr>
              <w:spacing w:after="0"/>
              <w:rPr>
                <w:sz w:val="15"/>
                <w:szCs w:val="15"/>
                <w:color w:val="auto"/>
              </w:rPr>
            </w:pPr>
          </w:p>
        </w:tc>
        <w:tc>
          <w:tcPr>
            <w:tcW w:w="5260" w:type="dxa"/>
            <w:vAlign w:val="bottom"/>
            <w:gridSpan w:val="2"/>
          </w:tcPr>
          <w:p>
            <w:pPr>
              <w:ind w:left="20"/>
              <w:spacing w:after="0"/>
              <w:rPr>
                <w:sz w:val="20"/>
                <w:szCs w:val="20"/>
                <w:color w:val="auto"/>
              </w:rPr>
            </w:pPr>
            <w:r>
              <w:rPr>
                <w:rFonts w:ascii="Arial" w:cs="Arial" w:eastAsia="Arial" w:hAnsi="Arial"/>
                <w:sz w:val="14"/>
                <w:szCs w:val="14"/>
                <w:color w:val="auto"/>
              </w:rPr>
              <w:t>Principal Financial Officer</w:t>
            </w:r>
          </w:p>
        </w:tc>
        <w:tc>
          <w:tcPr>
            <w:tcW w:w="2380" w:type="dxa"/>
            <w:vAlign w:val="bottom"/>
          </w:tcPr>
          <w:p>
            <w:pPr>
              <w:spacing w:after="0"/>
              <w:rPr>
                <w:sz w:val="15"/>
                <w:szCs w:val="15"/>
                <w:color w:val="auto"/>
              </w:rPr>
            </w:pPr>
          </w:p>
        </w:tc>
      </w:tr>
      <w:tr>
        <w:trPr>
          <w:trHeight w:val="255"/>
        </w:trPr>
        <w:tc>
          <w:tcPr>
            <w:tcW w:w="3180" w:type="dxa"/>
            <w:vAlign w:val="bottom"/>
          </w:tcPr>
          <w:p>
            <w:pPr>
              <w:jc w:val="center"/>
              <w:spacing w:after="0"/>
              <w:rPr>
                <w:sz w:val="20"/>
                <w:szCs w:val="20"/>
                <w:color w:val="auto"/>
              </w:rPr>
            </w:pPr>
            <w:r>
              <w:rPr>
                <w:rFonts w:ascii="Arial" w:cs="Arial" w:eastAsia="Arial" w:hAnsi="Arial"/>
                <w:sz w:val="14"/>
                <w:szCs w:val="14"/>
                <w:color w:val="auto"/>
                <w:w w:val="93"/>
              </w:rPr>
              <w:t>/s/ Hoyoung Huh</w:t>
            </w:r>
          </w:p>
        </w:tc>
        <w:tc>
          <w:tcPr>
            <w:tcW w:w="10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Arial" w:cs="Arial" w:eastAsia="Arial" w:hAnsi="Arial"/>
                <w:sz w:val="14"/>
                <w:szCs w:val="14"/>
                <w:color w:val="auto"/>
              </w:rPr>
              <w:t>Chairman of the Board, Director</w:t>
            </w:r>
          </w:p>
        </w:tc>
        <w:tc>
          <w:tcPr>
            <w:tcW w:w="2380" w:type="dxa"/>
            <w:vAlign w:val="bottom"/>
          </w:tcPr>
          <w:p>
            <w:pPr>
              <w:jc w:val="center"/>
              <w:spacing w:after="0"/>
              <w:rPr>
                <w:sz w:val="20"/>
                <w:szCs w:val="20"/>
                <w:color w:val="auto"/>
              </w:rPr>
            </w:pPr>
            <w:r>
              <w:rPr>
                <w:rFonts w:ascii="Arial" w:cs="Arial" w:eastAsia="Arial" w:hAnsi="Arial"/>
                <w:sz w:val="14"/>
                <w:szCs w:val="14"/>
                <w:color w:val="auto"/>
                <w:w w:val="91"/>
              </w:rPr>
              <w:t>March 9, 2023</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Arial" w:cs="Arial" w:eastAsia="Arial" w:hAnsi="Arial"/>
                <w:sz w:val="14"/>
                <w:szCs w:val="14"/>
                <w:color w:val="auto"/>
                <w:w w:val="94"/>
              </w:rPr>
              <w:t>Hoyoung Huh, M.D., Ph.D.</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55"/>
        </w:trPr>
        <w:tc>
          <w:tcPr>
            <w:tcW w:w="3180" w:type="dxa"/>
            <w:vAlign w:val="bottom"/>
          </w:tcPr>
          <w:p>
            <w:pPr>
              <w:jc w:val="center"/>
              <w:spacing w:after="0"/>
              <w:rPr>
                <w:sz w:val="20"/>
                <w:szCs w:val="20"/>
                <w:color w:val="auto"/>
              </w:rPr>
            </w:pPr>
            <w:r>
              <w:rPr>
                <w:rFonts w:ascii="Arial" w:cs="Arial" w:eastAsia="Arial" w:hAnsi="Arial"/>
                <w:sz w:val="14"/>
                <w:szCs w:val="14"/>
                <w:color w:val="auto"/>
                <w:w w:val="90"/>
              </w:rPr>
              <w:t>/s/ Suzanne Bruhn</w:t>
            </w:r>
          </w:p>
        </w:tc>
        <w:tc>
          <w:tcPr>
            <w:tcW w:w="10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380" w:type="dxa"/>
            <w:vAlign w:val="bottom"/>
          </w:tcPr>
          <w:p>
            <w:pPr>
              <w:jc w:val="center"/>
              <w:spacing w:after="0"/>
              <w:rPr>
                <w:sz w:val="20"/>
                <w:szCs w:val="20"/>
                <w:color w:val="auto"/>
              </w:rPr>
            </w:pPr>
            <w:r>
              <w:rPr>
                <w:rFonts w:ascii="Arial" w:cs="Arial" w:eastAsia="Arial" w:hAnsi="Arial"/>
                <w:sz w:val="14"/>
                <w:szCs w:val="14"/>
                <w:color w:val="auto"/>
                <w:w w:val="91"/>
              </w:rPr>
              <w:t>March 9, 2023</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Arial" w:cs="Arial" w:eastAsia="Arial" w:hAnsi="Arial"/>
                <w:sz w:val="14"/>
                <w:szCs w:val="14"/>
                <w:color w:val="auto"/>
                <w:w w:val="90"/>
              </w:rPr>
              <w:t>Suzanne Bruhn, Ph.D.</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55"/>
        </w:trPr>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380" w:type="dxa"/>
            <w:vAlign w:val="bottom"/>
          </w:tcPr>
          <w:p>
            <w:pPr>
              <w:jc w:val="center"/>
              <w:spacing w:after="0"/>
              <w:rPr>
                <w:sz w:val="20"/>
                <w:szCs w:val="20"/>
                <w:color w:val="auto"/>
              </w:rPr>
            </w:pPr>
            <w:r>
              <w:rPr>
                <w:rFonts w:ascii="Arial" w:cs="Arial" w:eastAsia="Arial" w:hAnsi="Arial"/>
                <w:sz w:val="14"/>
                <w:szCs w:val="14"/>
                <w:color w:val="auto"/>
                <w:w w:val="91"/>
              </w:rPr>
              <w:t>March 9, 2023</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Arial" w:cs="Arial" w:eastAsia="Arial" w:hAnsi="Arial"/>
                <w:sz w:val="14"/>
                <w:szCs w:val="14"/>
                <w:color w:val="auto"/>
                <w:w w:val="94"/>
              </w:rPr>
              <w:t>Darren Cline</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55"/>
        </w:trPr>
        <w:tc>
          <w:tcPr>
            <w:tcW w:w="3180" w:type="dxa"/>
            <w:vAlign w:val="bottom"/>
          </w:tcPr>
          <w:p>
            <w:pPr>
              <w:jc w:val="center"/>
              <w:spacing w:after="0"/>
              <w:rPr>
                <w:sz w:val="20"/>
                <w:szCs w:val="20"/>
                <w:color w:val="auto"/>
              </w:rPr>
            </w:pPr>
            <w:r>
              <w:rPr>
                <w:rFonts w:ascii="Arial" w:cs="Arial" w:eastAsia="Arial" w:hAnsi="Arial"/>
                <w:sz w:val="14"/>
                <w:szCs w:val="14"/>
                <w:color w:val="auto"/>
                <w:w w:val="94"/>
              </w:rPr>
              <w:t>/s/ Gayle Crowell</w:t>
            </w:r>
          </w:p>
        </w:tc>
        <w:tc>
          <w:tcPr>
            <w:tcW w:w="10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380" w:type="dxa"/>
            <w:vAlign w:val="bottom"/>
          </w:tcPr>
          <w:p>
            <w:pPr>
              <w:jc w:val="center"/>
              <w:spacing w:after="0"/>
              <w:rPr>
                <w:sz w:val="20"/>
                <w:szCs w:val="20"/>
                <w:color w:val="auto"/>
              </w:rPr>
            </w:pPr>
            <w:r>
              <w:rPr>
                <w:rFonts w:ascii="Arial" w:cs="Arial" w:eastAsia="Arial" w:hAnsi="Arial"/>
                <w:sz w:val="14"/>
                <w:szCs w:val="14"/>
                <w:color w:val="auto"/>
                <w:w w:val="91"/>
              </w:rPr>
              <w:t>March 9, 2023</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Arial" w:cs="Arial" w:eastAsia="Arial" w:hAnsi="Arial"/>
                <w:sz w:val="14"/>
                <w:szCs w:val="14"/>
                <w:color w:val="auto"/>
                <w:w w:val="96"/>
              </w:rPr>
              <w:t>Gayle Crowell</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55"/>
        </w:trPr>
        <w:tc>
          <w:tcPr>
            <w:tcW w:w="3180" w:type="dxa"/>
            <w:vAlign w:val="bottom"/>
          </w:tcPr>
          <w:p>
            <w:pPr>
              <w:jc w:val="center"/>
              <w:spacing w:after="0"/>
              <w:rPr>
                <w:sz w:val="20"/>
                <w:szCs w:val="20"/>
                <w:color w:val="auto"/>
              </w:rPr>
            </w:pPr>
            <w:r>
              <w:rPr>
                <w:rFonts w:ascii="Arial" w:cs="Arial" w:eastAsia="Arial" w:hAnsi="Arial"/>
                <w:sz w:val="14"/>
                <w:szCs w:val="14"/>
                <w:color w:val="auto"/>
                <w:w w:val="90"/>
              </w:rPr>
              <w:t>/s/ John Curnutte</w:t>
            </w:r>
          </w:p>
        </w:tc>
        <w:tc>
          <w:tcPr>
            <w:tcW w:w="10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380" w:type="dxa"/>
            <w:vAlign w:val="bottom"/>
          </w:tcPr>
          <w:p>
            <w:pPr>
              <w:jc w:val="center"/>
              <w:spacing w:after="0"/>
              <w:rPr>
                <w:sz w:val="20"/>
                <w:szCs w:val="20"/>
                <w:color w:val="auto"/>
              </w:rPr>
            </w:pPr>
            <w:r>
              <w:rPr>
                <w:rFonts w:ascii="Arial" w:cs="Arial" w:eastAsia="Arial" w:hAnsi="Arial"/>
                <w:sz w:val="14"/>
                <w:szCs w:val="14"/>
                <w:color w:val="auto"/>
                <w:w w:val="91"/>
              </w:rPr>
              <w:t>March 9, 2023</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Arial" w:cs="Arial" w:eastAsia="Arial" w:hAnsi="Arial"/>
                <w:sz w:val="14"/>
                <w:szCs w:val="14"/>
                <w:color w:val="auto"/>
                <w:w w:val="92"/>
              </w:rPr>
              <w:t>John Curnutte, M.D.</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55"/>
        </w:trPr>
        <w:tc>
          <w:tcPr>
            <w:tcW w:w="3180" w:type="dxa"/>
            <w:vAlign w:val="bottom"/>
          </w:tcPr>
          <w:p>
            <w:pPr>
              <w:jc w:val="center"/>
              <w:spacing w:after="0"/>
              <w:rPr>
                <w:sz w:val="20"/>
                <w:szCs w:val="20"/>
                <w:color w:val="auto"/>
              </w:rPr>
            </w:pPr>
            <w:r>
              <w:rPr>
                <w:rFonts w:ascii="Arial" w:cs="Arial" w:eastAsia="Arial" w:hAnsi="Arial"/>
                <w:sz w:val="14"/>
                <w:szCs w:val="14"/>
                <w:color w:val="auto"/>
                <w:w w:val="95"/>
              </w:rPr>
              <w:t>/s/ Katharine Knobil</w:t>
            </w:r>
          </w:p>
        </w:tc>
        <w:tc>
          <w:tcPr>
            <w:tcW w:w="10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380" w:type="dxa"/>
            <w:vAlign w:val="bottom"/>
          </w:tcPr>
          <w:p>
            <w:pPr>
              <w:jc w:val="center"/>
              <w:spacing w:after="0"/>
              <w:rPr>
                <w:sz w:val="20"/>
                <w:szCs w:val="20"/>
                <w:color w:val="auto"/>
              </w:rPr>
            </w:pPr>
            <w:r>
              <w:rPr>
                <w:rFonts w:ascii="Arial" w:cs="Arial" w:eastAsia="Arial" w:hAnsi="Arial"/>
                <w:sz w:val="14"/>
                <w:szCs w:val="14"/>
                <w:color w:val="auto"/>
                <w:w w:val="91"/>
              </w:rPr>
              <w:t>March 9, 2023</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Arial" w:cs="Arial" w:eastAsia="Arial" w:hAnsi="Arial"/>
                <w:sz w:val="14"/>
                <w:szCs w:val="14"/>
                <w:color w:val="auto"/>
                <w:w w:val="97"/>
              </w:rPr>
              <w:t>Katharine Knobil, M.D.</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55"/>
        </w:trPr>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380" w:type="dxa"/>
            <w:vAlign w:val="bottom"/>
          </w:tcPr>
          <w:p>
            <w:pPr>
              <w:jc w:val="center"/>
              <w:spacing w:after="0"/>
              <w:rPr>
                <w:sz w:val="20"/>
                <w:szCs w:val="20"/>
                <w:color w:val="auto"/>
              </w:rPr>
            </w:pPr>
            <w:r>
              <w:rPr>
                <w:rFonts w:ascii="Arial" w:cs="Arial" w:eastAsia="Arial" w:hAnsi="Arial"/>
                <w:sz w:val="14"/>
                <w:szCs w:val="14"/>
                <w:color w:val="auto"/>
                <w:w w:val="91"/>
              </w:rPr>
              <w:t>March 9, 2023</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Arial" w:cs="Arial" w:eastAsia="Arial" w:hAnsi="Arial"/>
                <w:sz w:val="14"/>
                <w:szCs w:val="14"/>
                <w:color w:val="auto"/>
                <w:w w:val="93"/>
              </w:rPr>
              <w:t>Thomas McCourt</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55"/>
        </w:trPr>
        <w:tc>
          <w:tcPr>
            <w:tcW w:w="3180" w:type="dxa"/>
            <w:vAlign w:val="bottom"/>
          </w:tcPr>
          <w:p>
            <w:pPr>
              <w:jc w:val="center"/>
              <w:spacing w:after="0"/>
              <w:rPr>
                <w:sz w:val="20"/>
                <w:szCs w:val="20"/>
                <w:color w:val="auto"/>
              </w:rPr>
            </w:pPr>
            <w:r>
              <w:rPr>
                <w:rFonts w:ascii="Arial" w:cs="Arial" w:eastAsia="Arial" w:hAnsi="Arial"/>
                <w:sz w:val="14"/>
                <w:szCs w:val="14"/>
                <w:color w:val="auto"/>
                <w:w w:val="91"/>
              </w:rPr>
              <w:t>/s/ Smital Shah</w:t>
            </w:r>
          </w:p>
        </w:tc>
        <w:tc>
          <w:tcPr>
            <w:tcW w:w="10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380" w:type="dxa"/>
            <w:vAlign w:val="bottom"/>
          </w:tcPr>
          <w:p>
            <w:pPr>
              <w:jc w:val="center"/>
              <w:spacing w:after="0"/>
              <w:rPr>
                <w:sz w:val="20"/>
                <w:szCs w:val="20"/>
                <w:color w:val="auto"/>
              </w:rPr>
            </w:pPr>
            <w:r>
              <w:rPr>
                <w:rFonts w:ascii="Arial" w:cs="Arial" w:eastAsia="Arial" w:hAnsi="Arial"/>
                <w:sz w:val="14"/>
                <w:szCs w:val="14"/>
                <w:color w:val="auto"/>
                <w:w w:val="91"/>
              </w:rPr>
              <w:t>March 9, 2023</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Arial" w:cs="Arial" w:eastAsia="Arial" w:hAnsi="Arial"/>
                <w:sz w:val="14"/>
                <w:szCs w:val="14"/>
                <w:color w:val="auto"/>
                <w:w w:val="90"/>
              </w:rPr>
              <w:t>Smital Shah</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255"/>
        </w:trPr>
        <w:tc>
          <w:tcPr>
            <w:tcW w:w="3180" w:type="dxa"/>
            <w:vAlign w:val="bottom"/>
          </w:tcPr>
          <w:p>
            <w:pPr>
              <w:jc w:val="center"/>
              <w:spacing w:after="0"/>
              <w:rPr>
                <w:sz w:val="20"/>
                <w:szCs w:val="20"/>
                <w:color w:val="auto"/>
              </w:rPr>
            </w:pPr>
            <w:r>
              <w:rPr>
                <w:rFonts w:ascii="Arial" w:cs="Arial" w:eastAsia="Arial" w:hAnsi="Arial"/>
                <w:sz w:val="14"/>
                <w:szCs w:val="14"/>
                <w:color w:val="auto"/>
                <w:w w:val="93"/>
              </w:rPr>
              <w:t>/s/ David Pyott</w:t>
            </w:r>
          </w:p>
        </w:tc>
        <w:tc>
          <w:tcPr>
            <w:tcW w:w="10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380" w:type="dxa"/>
            <w:vAlign w:val="bottom"/>
          </w:tcPr>
          <w:p>
            <w:pPr>
              <w:jc w:val="center"/>
              <w:spacing w:after="0"/>
              <w:rPr>
                <w:sz w:val="20"/>
                <w:szCs w:val="20"/>
                <w:color w:val="auto"/>
              </w:rPr>
            </w:pPr>
            <w:r>
              <w:rPr>
                <w:rFonts w:ascii="Arial" w:cs="Arial" w:eastAsia="Arial" w:hAnsi="Arial"/>
                <w:sz w:val="14"/>
                <w:szCs w:val="14"/>
                <w:color w:val="auto"/>
                <w:w w:val="91"/>
              </w:rPr>
              <w:t>March 9, 2023</w:t>
            </w:r>
          </w:p>
        </w:tc>
      </w:tr>
      <w:tr>
        <w:trPr>
          <w:trHeight w:val="22"/>
        </w:trPr>
        <w:tc>
          <w:tcPr>
            <w:tcW w:w="3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81"/>
        </w:trPr>
        <w:tc>
          <w:tcPr>
            <w:tcW w:w="3180" w:type="dxa"/>
            <w:vAlign w:val="bottom"/>
          </w:tcPr>
          <w:p>
            <w:pPr>
              <w:jc w:val="center"/>
              <w:spacing w:after="0"/>
              <w:rPr>
                <w:sz w:val="20"/>
                <w:szCs w:val="20"/>
                <w:color w:val="auto"/>
              </w:rPr>
            </w:pPr>
            <w:r>
              <w:rPr>
                <w:rFonts w:ascii="Arial" w:cs="Arial" w:eastAsia="Arial" w:hAnsi="Arial"/>
                <w:sz w:val="14"/>
                <w:szCs w:val="14"/>
                <w:color w:val="auto"/>
                <w:w w:val="94"/>
              </w:rPr>
              <w:t>David Pyott</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r>
      <w:tr>
        <w:trPr>
          <w:trHeight w:val="912"/>
        </w:trPr>
        <w:tc>
          <w:tcPr>
            <w:tcW w:w="3180" w:type="dxa"/>
            <w:vAlign w:val="bottom"/>
          </w:tcPr>
          <w:p>
            <w:pPr>
              <w:spacing w:after="0"/>
              <w:rPr>
                <w:sz w:val="24"/>
                <w:szCs w:val="24"/>
                <w:color w:val="auto"/>
              </w:rPr>
            </w:pPr>
          </w:p>
        </w:tc>
        <w:tc>
          <w:tcPr>
            <w:tcW w:w="5280" w:type="dxa"/>
            <w:vAlign w:val="bottom"/>
            <w:gridSpan w:val="2"/>
          </w:tcPr>
          <w:p>
            <w:pPr>
              <w:jc w:val="right"/>
              <w:ind w:right="2630"/>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ectPr>
          <w:pgSz w:w="11900" w:h="16838" w:orient="portrait"/>
          <w:cols w:equalWidth="0" w:num="1">
            <w:col w:w="10920"/>
          </w:cols>
          <w:pgMar w:left="300" w:top="129" w:right="679" w:bottom="1440"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8" w:name="page159"/>
    <w:bookmarkEnd w:id="158"/>
    <w:p>
      <w:pPr>
        <w:jc w:val="right"/>
        <w:spacing w:after="0"/>
        <w:rPr>
          <w:sz w:val="20"/>
          <w:szCs w:val="20"/>
          <w:color w:val="auto"/>
        </w:rPr>
      </w:pPr>
      <w:r>
        <w:rPr>
          <w:rFonts w:ascii="Arial" w:cs="Arial" w:eastAsia="Arial" w:hAnsi="Arial"/>
          <w:sz w:val="14"/>
          <w:szCs w:val="14"/>
          <w:b w:val="1"/>
          <w:bCs w:val="1"/>
          <w:color w:val="auto"/>
        </w:rPr>
        <w:t>Exhibit 31.1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RULE 13a-14(a) OR 15d-14(a)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 Bernard Coulie, certify that:</w:t>
      </w:r>
    </w:p>
    <w:p>
      <w:pPr>
        <w:spacing w:after="0" w:line="147" w:lineRule="exact"/>
        <w:rPr>
          <w:sz w:val="20"/>
          <w:szCs w:val="20"/>
          <w:color w:val="auto"/>
        </w:rPr>
      </w:pPr>
    </w:p>
    <w:p>
      <w:pPr>
        <w:ind w:left="520" w:hanging="515"/>
        <w:spacing w:after="0"/>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Pliant Therapeutics, Inc.;</w:t>
      </w:r>
    </w:p>
    <w:p>
      <w:pPr>
        <w:spacing w:after="0" w:line="157" w:lineRule="exact"/>
        <w:rPr>
          <w:rFonts w:ascii="Arial" w:cs="Arial" w:eastAsia="Arial" w:hAnsi="Arial"/>
          <w:sz w:val="14"/>
          <w:szCs w:val="14"/>
          <w:color w:val="auto"/>
        </w:rPr>
      </w:pPr>
    </w:p>
    <w:p>
      <w:pPr>
        <w:ind w:left="520" w:right="720" w:hanging="515"/>
        <w:spacing w:after="0" w:line="281" w:lineRule="auto"/>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4"/>
          <w:szCs w:val="14"/>
          <w:color w:val="auto"/>
        </w:rPr>
      </w:pPr>
    </w:p>
    <w:p>
      <w:pPr>
        <w:ind w:left="520" w:right="200" w:hanging="515"/>
        <w:spacing w:after="0" w:line="281" w:lineRule="auto"/>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Arial" w:cs="Arial" w:eastAsia="Arial" w:hAnsi="Arial"/>
          <w:sz w:val="14"/>
          <w:szCs w:val="14"/>
          <w:color w:val="auto"/>
        </w:rPr>
      </w:pPr>
    </w:p>
    <w:p>
      <w:pPr>
        <w:ind w:left="520" w:right="40" w:hanging="515"/>
        <w:spacing w:after="0" w:line="281" w:lineRule="auto"/>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Arial" w:cs="Arial" w:eastAsia="Arial" w:hAnsi="Arial"/>
          <w:sz w:val="14"/>
          <w:szCs w:val="14"/>
          <w:color w:val="auto"/>
        </w:rPr>
      </w:pPr>
    </w:p>
    <w:p>
      <w:pPr>
        <w:jc w:val="both"/>
        <w:ind w:left="1160" w:right="240" w:hanging="646"/>
        <w:spacing w:after="0" w:line="267" w:lineRule="auto"/>
        <w:tabs>
          <w:tab w:leader="none" w:pos="1158" w:val="left"/>
        </w:tabs>
        <w:numPr>
          <w:ilvl w:val="1"/>
          <w:numId w:val="6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4"/>
          <w:szCs w:val="14"/>
          <w:color w:val="auto"/>
        </w:rPr>
      </w:pPr>
    </w:p>
    <w:p>
      <w:pPr>
        <w:jc w:val="both"/>
        <w:ind w:left="1160" w:right="440" w:hanging="646"/>
        <w:spacing w:after="0" w:line="267" w:lineRule="auto"/>
        <w:tabs>
          <w:tab w:leader="none" w:pos="1155" w:val="left"/>
        </w:tabs>
        <w:numPr>
          <w:ilvl w:val="1"/>
          <w:numId w:val="64"/>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4"/>
          <w:szCs w:val="14"/>
          <w:color w:val="auto"/>
        </w:rPr>
      </w:pPr>
    </w:p>
    <w:p>
      <w:pPr>
        <w:ind w:left="1160" w:right="40" w:hanging="646"/>
        <w:spacing w:after="0" w:line="281" w:lineRule="auto"/>
        <w:tabs>
          <w:tab w:leader="none" w:pos="1158" w:val="left"/>
        </w:tabs>
        <w:numPr>
          <w:ilvl w:val="1"/>
          <w:numId w:val="6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4"/>
          <w:szCs w:val="14"/>
          <w:color w:val="auto"/>
        </w:rPr>
      </w:pPr>
    </w:p>
    <w:p>
      <w:pPr>
        <w:ind w:left="1160" w:right="40" w:hanging="646"/>
        <w:spacing w:after="0" w:line="368" w:lineRule="auto"/>
        <w:tabs>
          <w:tab w:leader="none" w:pos="1155" w:val="left"/>
        </w:tabs>
        <w:numPr>
          <w:ilvl w:val="1"/>
          <w:numId w:val="6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2"/>
          <w:szCs w:val="12"/>
          <w:color w:val="auto"/>
        </w:rPr>
      </w:pPr>
    </w:p>
    <w:p>
      <w:pPr>
        <w:ind w:left="520" w:right="540" w:hanging="515"/>
        <w:spacing w:after="0" w:line="281" w:lineRule="auto"/>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4"/>
          <w:szCs w:val="14"/>
          <w:color w:val="auto"/>
        </w:rPr>
      </w:pPr>
    </w:p>
    <w:p>
      <w:pPr>
        <w:ind w:left="1160" w:right="380" w:hanging="646"/>
        <w:spacing w:after="0" w:line="281" w:lineRule="auto"/>
        <w:tabs>
          <w:tab w:leader="none" w:pos="1158" w:val="left"/>
        </w:tabs>
        <w:numPr>
          <w:ilvl w:val="1"/>
          <w:numId w:val="6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Arial" w:cs="Arial" w:eastAsia="Arial" w:hAnsi="Arial"/>
          <w:sz w:val="14"/>
          <w:szCs w:val="14"/>
          <w:color w:val="auto"/>
        </w:rPr>
      </w:pPr>
    </w:p>
    <w:p>
      <w:pPr>
        <w:ind w:left="1140" w:hanging="626"/>
        <w:spacing w:after="0"/>
        <w:tabs>
          <w:tab w:leader="none" w:pos="1140" w:val="left"/>
        </w:tabs>
        <w:numPr>
          <w:ilvl w:val="1"/>
          <w:numId w:val="6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p>
      <w:pPr>
        <w:ind w:left="20"/>
        <w:spacing w:after="0"/>
        <w:tabs>
          <w:tab w:leader="none" w:pos="5400" w:val="left"/>
          <w:tab w:leader="none" w:pos="8040" w:val="left"/>
        </w:tabs>
        <w:rPr>
          <w:sz w:val="20"/>
          <w:szCs w:val="20"/>
          <w:color w:val="auto"/>
        </w:rPr>
      </w:pPr>
      <w:r>
        <w:rPr>
          <w:rFonts w:ascii="Arial" w:cs="Arial" w:eastAsia="Arial" w:hAnsi="Arial"/>
          <w:sz w:val="14"/>
          <w:szCs w:val="14"/>
          <w:color w:val="auto"/>
        </w:rPr>
        <w:t>Date: March 9,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26035</wp:posOffset>
            </wp:positionV>
            <wp:extent cx="342900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00" cy="6985"/>
                    </a:xfrm>
                    <a:prstGeom prst="rect">
                      <a:avLst/>
                    </a:prstGeom>
                    <a:noFill/>
                  </pic:spPr>
                </pic:pic>
              </a:graphicData>
            </a:graphic>
          </wp:anchor>
        </w:drawing>
      </w:r>
    </w:p>
    <w:p>
      <w:pPr>
        <w:spacing w:after="0" w:line="42" w:lineRule="exact"/>
        <w:rPr>
          <w:sz w:val="20"/>
          <w:szCs w:val="20"/>
          <w:color w:val="auto"/>
        </w:rPr>
      </w:pPr>
    </w:p>
    <w:p>
      <w:pPr>
        <w:jc w:val="center"/>
        <w:ind w:left="5860"/>
        <w:spacing w:after="0"/>
        <w:rPr>
          <w:sz w:val="20"/>
          <w:szCs w:val="20"/>
          <w:color w:val="auto"/>
        </w:rPr>
      </w:pPr>
      <w:r>
        <w:rPr>
          <w:rFonts w:ascii="Arial" w:cs="Arial" w:eastAsia="Arial" w:hAnsi="Arial"/>
          <w:sz w:val="14"/>
          <w:szCs w:val="14"/>
          <w:color w:val="auto"/>
        </w:rPr>
        <w:t>Bernard Coulie, M.D., Ph.D.</w:t>
      </w:r>
    </w:p>
    <w:p>
      <w:pPr>
        <w:spacing w:after="0" w:line="51" w:lineRule="exact"/>
        <w:rPr>
          <w:sz w:val="20"/>
          <w:szCs w:val="20"/>
          <w:color w:val="auto"/>
        </w:rPr>
      </w:pPr>
    </w:p>
    <w:p>
      <w:pPr>
        <w:jc w:val="center"/>
        <w:ind w:left="5860"/>
        <w:spacing w:after="0"/>
        <w:rPr>
          <w:sz w:val="20"/>
          <w:szCs w:val="20"/>
          <w:color w:val="auto"/>
        </w:rPr>
      </w:pPr>
      <w:r>
        <w:rPr>
          <w:rFonts w:ascii="Arial" w:cs="Arial" w:eastAsia="Arial" w:hAnsi="Arial"/>
          <w:sz w:val="14"/>
          <w:szCs w:val="14"/>
          <w:color w:val="auto"/>
        </w:rPr>
        <w:t>President and Chief Executive Officer</w:t>
      </w:r>
    </w:p>
    <w:p>
      <w:pPr>
        <w:spacing w:after="0" w:line="51" w:lineRule="exact"/>
        <w:rPr>
          <w:sz w:val="20"/>
          <w:szCs w:val="20"/>
          <w:color w:val="auto"/>
        </w:rPr>
      </w:pPr>
    </w:p>
    <w:p>
      <w:pPr>
        <w:jc w:val="center"/>
        <w:ind w:left="586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899" w:right="3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4"/>
          <w:szCs w:val="14"/>
          <w:b w:val="1"/>
          <w:bCs w:val="1"/>
          <w:color w:val="auto"/>
        </w:rPr>
        <w:t>Exhibit 31.2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 RULE 13a-14(a) OR 15d-14(a)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 Keith Cummings, certify that:</w:t>
      </w:r>
    </w:p>
    <w:p>
      <w:pPr>
        <w:spacing w:after="0" w:line="147" w:lineRule="exact"/>
        <w:rPr>
          <w:sz w:val="20"/>
          <w:szCs w:val="20"/>
          <w:color w:val="auto"/>
        </w:rPr>
      </w:pPr>
    </w:p>
    <w:p>
      <w:pPr>
        <w:ind w:left="520" w:hanging="515"/>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Pliant Therapeutics, Inc.;</w:t>
      </w:r>
    </w:p>
    <w:p>
      <w:pPr>
        <w:spacing w:after="0" w:line="157" w:lineRule="exact"/>
        <w:rPr>
          <w:rFonts w:ascii="Arial" w:cs="Arial" w:eastAsia="Arial" w:hAnsi="Arial"/>
          <w:sz w:val="14"/>
          <w:szCs w:val="14"/>
          <w:color w:val="auto"/>
        </w:rPr>
      </w:pPr>
    </w:p>
    <w:p>
      <w:pPr>
        <w:ind w:left="520" w:right="720" w:hanging="515"/>
        <w:spacing w:after="0" w:line="281" w:lineRule="auto"/>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4"/>
          <w:szCs w:val="14"/>
          <w:color w:val="auto"/>
        </w:rPr>
      </w:pPr>
    </w:p>
    <w:p>
      <w:pPr>
        <w:ind w:left="520" w:right="200" w:hanging="515"/>
        <w:spacing w:after="0" w:line="281" w:lineRule="auto"/>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Arial" w:cs="Arial" w:eastAsia="Arial" w:hAnsi="Arial"/>
          <w:sz w:val="14"/>
          <w:szCs w:val="14"/>
          <w:color w:val="auto"/>
        </w:rPr>
      </w:pPr>
    </w:p>
    <w:p>
      <w:pPr>
        <w:ind w:left="520" w:right="40" w:hanging="515"/>
        <w:spacing w:after="0" w:line="281" w:lineRule="auto"/>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Arial" w:cs="Arial" w:eastAsia="Arial" w:hAnsi="Arial"/>
          <w:sz w:val="14"/>
          <w:szCs w:val="14"/>
          <w:color w:val="auto"/>
        </w:rPr>
      </w:pPr>
    </w:p>
    <w:p>
      <w:pPr>
        <w:jc w:val="both"/>
        <w:ind w:left="1020" w:right="360" w:hanging="506"/>
        <w:spacing w:after="0" w:line="267" w:lineRule="auto"/>
        <w:tabs>
          <w:tab w:leader="none" w:pos="1018" w:val="left"/>
        </w:tabs>
        <w:numPr>
          <w:ilvl w:val="1"/>
          <w:numId w:val="65"/>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4"/>
          <w:szCs w:val="14"/>
          <w:color w:val="auto"/>
        </w:rPr>
      </w:pPr>
    </w:p>
    <w:p>
      <w:pPr>
        <w:jc w:val="both"/>
        <w:ind w:left="1020" w:right="580" w:hanging="506"/>
        <w:spacing w:after="0" w:line="267" w:lineRule="auto"/>
        <w:tabs>
          <w:tab w:leader="none" w:pos="1015" w:val="left"/>
        </w:tabs>
        <w:numPr>
          <w:ilvl w:val="1"/>
          <w:numId w:val="65"/>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4"/>
          <w:szCs w:val="14"/>
          <w:color w:val="auto"/>
        </w:rPr>
      </w:pPr>
    </w:p>
    <w:p>
      <w:pPr>
        <w:ind w:left="1020" w:right="160" w:hanging="506"/>
        <w:spacing w:after="0" w:line="281" w:lineRule="auto"/>
        <w:tabs>
          <w:tab w:leader="none" w:pos="1018" w:val="left"/>
        </w:tabs>
        <w:numPr>
          <w:ilvl w:val="1"/>
          <w:numId w:val="6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4"/>
          <w:szCs w:val="14"/>
          <w:color w:val="auto"/>
        </w:rPr>
      </w:pPr>
    </w:p>
    <w:p>
      <w:pPr>
        <w:ind w:left="1020" w:right="160" w:hanging="506"/>
        <w:spacing w:after="0" w:line="368" w:lineRule="auto"/>
        <w:tabs>
          <w:tab w:leader="none" w:pos="1015" w:val="left"/>
        </w:tabs>
        <w:numPr>
          <w:ilvl w:val="1"/>
          <w:numId w:val="6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2"/>
          <w:szCs w:val="12"/>
          <w:color w:val="auto"/>
        </w:rPr>
      </w:pPr>
    </w:p>
    <w:p>
      <w:pPr>
        <w:ind w:left="520" w:right="540" w:hanging="515"/>
        <w:spacing w:after="0" w:line="281" w:lineRule="auto"/>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4"/>
          <w:szCs w:val="14"/>
          <w:color w:val="auto"/>
        </w:rPr>
      </w:pPr>
    </w:p>
    <w:p>
      <w:pPr>
        <w:ind w:left="1020" w:right="520" w:hanging="506"/>
        <w:spacing w:after="0" w:line="281" w:lineRule="auto"/>
        <w:tabs>
          <w:tab w:leader="none" w:pos="1018" w:val="left"/>
        </w:tabs>
        <w:numPr>
          <w:ilvl w:val="1"/>
          <w:numId w:val="6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Arial" w:cs="Arial" w:eastAsia="Arial" w:hAnsi="Arial"/>
          <w:sz w:val="14"/>
          <w:szCs w:val="14"/>
          <w:color w:val="auto"/>
        </w:rPr>
      </w:pPr>
    </w:p>
    <w:p>
      <w:pPr>
        <w:ind w:left="1020" w:hanging="506"/>
        <w:spacing w:after="0"/>
        <w:tabs>
          <w:tab w:leader="none" w:pos="1020" w:val="left"/>
        </w:tabs>
        <w:numPr>
          <w:ilvl w:val="1"/>
          <w:numId w:val="6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5620" w:type="dxa"/>
            <w:vAlign w:val="bottom"/>
          </w:tcPr>
          <w:p>
            <w:pPr>
              <w:spacing w:after="0"/>
              <w:rPr>
                <w:sz w:val="20"/>
                <w:szCs w:val="20"/>
                <w:color w:val="auto"/>
              </w:rPr>
            </w:pPr>
            <w:r>
              <w:rPr>
                <w:rFonts w:ascii="Arial" w:cs="Arial" w:eastAsia="Arial" w:hAnsi="Arial"/>
                <w:sz w:val="14"/>
                <w:szCs w:val="14"/>
                <w:color w:val="auto"/>
              </w:rPr>
              <w:t>Date: March 9, 2023</w:t>
            </w:r>
          </w:p>
        </w:tc>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 Keith Cummings</w:t>
            </w:r>
          </w:p>
        </w:tc>
      </w:tr>
      <w:tr>
        <w:trPr>
          <w:trHeight w:val="171"/>
        </w:trPr>
        <w:tc>
          <w:tcPr>
            <w:tcW w:w="5620" w:type="dxa"/>
            <w:vAlign w:val="bottom"/>
          </w:tcPr>
          <w:p>
            <w:pPr>
              <w:spacing w:after="0"/>
              <w:rPr>
                <w:sz w:val="14"/>
                <w:szCs w:val="14"/>
                <w:color w:val="auto"/>
              </w:rPr>
            </w:pPr>
          </w:p>
        </w:tc>
        <w:tc>
          <w:tcPr>
            <w:tcW w:w="5640" w:type="dxa"/>
            <w:vAlign w:val="bottom"/>
          </w:tcPr>
          <w:p>
            <w:pPr>
              <w:jc w:val="center"/>
              <w:spacing w:after="0"/>
              <w:rPr>
                <w:sz w:val="20"/>
                <w:szCs w:val="20"/>
                <w:color w:val="auto"/>
              </w:rPr>
            </w:pPr>
            <w:r>
              <w:rPr>
                <w:rFonts w:ascii="Arial" w:cs="Arial" w:eastAsia="Arial" w:hAnsi="Arial"/>
                <w:sz w:val="14"/>
                <w:szCs w:val="14"/>
                <w:color w:val="auto"/>
                <w:w w:val="97"/>
              </w:rPr>
              <w:t>Keith Cummings, M.D., MBA</w:t>
            </w:r>
          </w:p>
        </w:tc>
      </w:tr>
      <w:tr>
        <w:trPr>
          <w:trHeight w:val="180"/>
        </w:trPr>
        <w:tc>
          <w:tcPr>
            <w:tcW w:w="5620" w:type="dxa"/>
            <w:vAlign w:val="bottom"/>
          </w:tcPr>
          <w:p>
            <w:pPr>
              <w:spacing w:after="0"/>
              <w:rPr>
                <w:sz w:val="15"/>
                <w:szCs w:val="15"/>
                <w:color w:val="auto"/>
              </w:rPr>
            </w:pPr>
          </w:p>
        </w:tc>
        <w:tc>
          <w:tcPr>
            <w:tcW w:w="5640" w:type="dxa"/>
            <w:vAlign w:val="bottom"/>
          </w:tcPr>
          <w:p>
            <w:pPr>
              <w:jc w:val="center"/>
              <w:spacing w:after="0"/>
              <w:rPr>
                <w:sz w:val="20"/>
                <w:szCs w:val="20"/>
                <w:color w:val="auto"/>
              </w:rPr>
            </w:pPr>
            <w:r>
              <w:rPr>
                <w:rFonts w:ascii="Arial" w:cs="Arial" w:eastAsia="Arial" w:hAnsi="Arial"/>
                <w:sz w:val="14"/>
                <w:szCs w:val="14"/>
                <w:color w:val="auto"/>
                <w:w w:val="95"/>
              </w:rPr>
              <w:t>Chief Financial Officer</w:t>
            </w:r>
          </w:p>
        </w:tc>
      </w:tr>
      <w:tr>
        <w:trPr>
          <w:trHeight w:val="180"/>
        </w:trPr>
        <w:tc>
          <w:tcPr>
            <w:tcW w:w="5620" w:type="dxa"/>
            <w:vAlign w:val="bottom"/>
          </w:tcPr>
          <w:p>
            <w:pPr>
              <w:spacing w:after="0"/>
              <w:rPr>
                <w:sz w:val="15"/>
                <w:szCs w:val="15"/>
                <w:color w:val="auto"/>
              </w:rPr>
            </w:pPr>
          </w:p>
        </w:tc>
        <w:tc>
          <w:tcPr>
            <w:tcW w:w="5640" w:type="dxa"/>
            <w:vAlign w:val="bottom"/>
          </w:tcPr>
          <w:p>
            <w:pPr>
              <w:jc w:val="center"/>
              <w:spacing w:after="0"/>
              <w:rPr>
                <w:sz w:val="20"/>
                <w:szCs w:val="20"/>
                <w:color w:val="auto"/>
              </w:rPr>
            </w:pPr>
            <w:r>
              <w:rPr>
                <w:rFonts w:ascii="Arial" w:cs="Arial" w:eastAsia="Arial" w:hAnsi="Arial"/>
                <w:sz w:val="14"/>
                <w:szCs w:val="14"/>
                <w:color w:val="auto"/>
                <w:w w:val="95"/>
              </w:rPr>
              <w:t>(Principal Financial Officer)</w:t>
            </w:r>
          </w:p>
        </w:tc>
      </w:tr>
    </w:tbl>
    <w:p>
      <w:pPr>
        <w:sectPr>
          <w:pgSz w:w="11900" w:h="16838" w:orient="portrait"/>
          <w:cols w:equalWidth="0" w:num="1">
            <w:col w:w="11280"/>
          </w:cols>
          <w:pgMar w:left="300" w:top="899" w:right="3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4"/>
          <w:szCs w:val="14"/>
          <w:b w:val="1"/>
          <w:bCs w:val="1"/>
          <w:color w:val="auto"/>
        </w:rPr>
        <w:t>Exhibit 32.1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36" w:lineRule="exact"/>
        <w:rPr>
          <w:sz w:val="20"/>
          <w:szCs w:val="20"/>
          <w:color w:val="auto"/>
        </w:rPr>
      </w:pPr>
    </w:p>
    <w:p>
      <w:pPr>
        <w:ind w:right="420" w:firstLine="509"/>
        <w:spacing w:after="0" w:line="281" w:lineRule="auto"/>
        <w:rPr>
          <w:sz w:val="20"/>
          <w:szCs w:val="20"/>
          <w:color w:val="auto"/>
        </w:rPr>
      </w:pPr>
      <w:r>
        <w:rPr>
          <w:rFonts w:ascii="Arial" w:cs="Arial" w:eastAsia="Arial" w:hAnsi="Arial"/>
          <w:sz w:val="14"/>
          <w:szCs w:val="14"/>
          <w:color w:val="auto"/>
        </w:rPr>
        <w:t>In connection with the Annual Report of Pliant Therapeutics, Inc. (the “Company”) on Form 10-K for the period ending December 31, 2022, as filed with the Securities and Exchange Commission on the date hereof (the “Report”), I certify, pursuant to 18 U.S.C. § 1350, as adopted pursuant to § 906 of the Sarbanes-Oxley Act of 2002, that:</w:t>
      </w:r>
    </w:p>
    <w:p>
      <w:pPr>
        <w:spacing w:after="0" w:line="100" w:lineRule="exact"/>
        <w:rPr>
          <w:sz w:val="20"/>
          <w:szCs w:val="20"/>
          <w:color w:val="auto"/>
        </w:rPr>
      </w:pPr>
    </w:p>
    <w:p>
      <w:pPr>
        <w:ind w:left="1020" w:hanging="506"/>
        <w:spacing w:after="0"/>
        <w:tabs>
          <w:tab w:leader="none" w:pos="10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57" w:lineRule="exact"/>
        <w:rPr>
          <w:rFonts w:ascii="Arial" w:cs="Arial" w:eastAsia="Arial" w:hAnsi="Arial"/>
          <w:sz w:val="14"/>
          <w:szCs w:val="14"/>
          <w:color w:val="auto"/>
        </w:rPr>
      </w:pPr>
    </w:p>
    <w:p>
      <w:pPr>
        <w:ind w:left="1020" w:hanging="506"/>
        <w:spacing w:after="0"/>
        <w:tabs>
          <w:tab w:leader="none" w:pos="10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15" w:lineRule="exact"/>
        <w:rPr>
          <w:sz w:val="20"/>
          <w:szCs w:val="20"/>
          <w:color w:val="auto"/>
        </w:rPr>
      </w:pPr>
    </w:p>
    <w:p>
      <w:pPr>
        <w:ind w:left="20"/>
        <w:spacing w:after="0"/>
        <w:tabs>
          <w:tab w:leader="none" w:pos="7920" w:val="left"/>
        </w:tabs>
        <w:rPr>
          <w:sz w:val="20"/>
          <w:szCs w:val="20"/>
          <w:color w:val="auto"/>
        </w:rPr>
      </w:pPr>
      <w:r>
        <w:rPr>
          <w:rFonts w:ascii="Arial" w:cs="Arial" w:eastAsia="Arial" w:hAnsi="Arial"/>
          <w:sz w:val="14"/>
          <w:szCs w:val="14"/>
          <w:color w:val="auto"/>
        </w:rPr>
        <w:t>Date: March 9, 2023</w:t>
      </w:r>
      <w:r>
        <w:rPr>
          <w:sz w:val="20"/>
          <w:szCs w:val="20"/>
          <w:color w:val="auto"/>
        </w:rPr>
        <w:tab/>
      </w:r>
      <w:r>
        <w:rPr>
          <w:rFonts w:ascii="Arial" w:cs="Arial" w:eastAsia="Arial" w:hAnsi="Arial"/>
          <w:sz w:val="12"/>
          <w:szCs w:val="12"/>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26035</wp:posOffset>
            </wp:positionV>
            <wp:extent cx="357759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color w:val="auto"/>
        </w:rPr>
        <w:t>Bernard Coulie, M.D., Ph.D.</w:t>
      </w:r>
    </w:p>
    <w:p>
      <w:pPr>
        <w:spacing w:after="0" w:line="51" w:lineRule="exact"/>
        <w:rPr>
          <w:sz w:val="20"/>
          <w:szCs w:val="20"/>
          <w:color w:val="auto"/>
        </w:rPr>
      </w:pPr>
    </w:p>
    <w:p>
      <w:pPr>
        <w:jc w:val="center"/>
        <w:ind w:left="5620"/>
        <w:spacing w:after="0"/>
        <w:rPr>
          <w:sz w:val="20"/>
          <w:szCs w:val="20"/>
          <w:color w:val="auto"/>
        </w:rPr>
      </w:pPr>
      <w:r>
        <w:rPr>
          <w:rFonts w:ascii="Arial" w:cs="Arial" w:eastAsia="Arial" w:hAnsi="Arial"/>
          <w:sz w:val="14"/>
          <w:szCs w:val="14"/>
          <w:color w:val="auto"/>
        </w:rPr>
        <w:t>President and Chief Executive Officer</w:t>
      </w:r>
    </w:p>
    <w:p>
      <w:pPr>
        <w:spacing w:after="0" w:line="51" w:lineRule="exact"/>
        <w:rPr>
          <w:sz w:val="20"/>
          <w:szCs w:val="20"/>
          <w:color w:val="auto"/>
        </w:rPr>
      </w:pPr>
    </w:p>
    <w:p>
      <w:pPr>
        <w:jc w:val="center"/>
        <w:ind w:left="5620"/>
        <w:spacing w:after="0"/>
        <w:rPr>
          <w:sz w:val="20"/>
          <w:szCs w:val="20"/>
          <w:color w:val="auto"/>
        </w:rPr>
      </w:pPr>
      <w:r>
        <w:rPr>
          <w:rFonts w:ascii="Arial" w:cs="Arial" w:eastAsia="Arial" w:hAnsi="Arial"/>
          <w:sz w:val="14"/>
          <w:szCs w:val="14"/>
          <w:color w:val="auto"/>
        </w:rPr>
        <w:t>(Principal Executive Officer)</w:t>
      </w:r>
    </w:p>
    <w:p>
      <w:pPr>
        <w:spacing w:after="0" w:line="263" w:lineRule="exact"/>
        <w:rPr>
          <w:sz w:val="20"/>
          <w:szCs w:val="20"/>
          <w:color w:val="auto"/>
        </w:rPr>
      </w:pPr>
    </w:p>
    <w:p>
      <w:pPr>
        <w:jc w:val="center"/>
        <w:ind w:left="5620"/>
        <w:spacing w:after="0"/>
        <w:rPr>
          <w:sz w:val="20"/>
          <w:szCs w:val="20"/>
          <w:color w:val="auto"/>
        </w:rPr>
      </w:pPr>
      <w:r>
        <w:rPr>
          <w:rFonts w:ascii="Arial" w:cs="Arial" w:eastAsia="Arial" w:hAnsi="Arial"/>
          <w:sz w:val="14"/>
          <w:szCs w:val="14"/>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26035</wp:posOffset>
            </wp:positionV>
            <wp:extent cx="357759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color w:val="auto"/>
        </w:rPr>
        <w:t>Keith Cummings, M.D., MBA</w:t>
      </w:r>
    </w:p>
    <w:p>
      <w:pPr>
        <w:spacing w:after="0" w:line="51" w:lineRule="exact"/>
        <w:rPr>
          <w:sz w:val="20"/>
          <w:szCs w:val="20"/>
          <w:color w:val="auto"/>
        </w:rPr>
      </w:pPr>
    </w:p>
    <w:p>
      <w:pPr>
        <w:jc w:val="center"/>
        <w:ind w:left="5620"/>
        <w:spacing w:after="0"/>
        <w:rPr>
          <w:sz w:val="20"/>
          <w:szCs w:val="20"/>
          <w:color w:val="auto"/>
        </w:rPr>
      </w:pPr>
      <w:r>
        <w:rPr>
          <w:rFonts w:ascii="Arial" w:cs="Arial" w:eastAsia="Arial" w:hAnsi="Arial"/>
          <w:sz w:val="14"/>
          <w:szCs w:val="14"/>
          <w:color w:val="auto"/>
        </w:rPr>
        <w:t>Chief Financial Officer</w:t>
      </w:r>
    </w:p>
    <w:p>
      <w:pPr>
        <w:spacing w:after="0" w:line="51" w:lineRule="exact"/>
        <w:rPr>
          <w:sz w:val="20"/>
          <w:szCs w:val="20"/>
          <w:color w:val="auto"/>
        </w:rPr>
      </w:pPr>
    </w:p>
    <w:p>
      <w:pPr>
        <w:jc w:val="center"/>
        <w:ind w:left="5620"/>
        <w:spacing w:after="0"/>
        <w:rPr>
          <w:sz w:val="20"/>
          <w:szCs w:val="20"/>
          <w:color w:val="auto"/>
        </w:rPr>
      </w:pPr>
      <w:r>
        <w:rPr>
          <w:rFonts w:ascii="Arial" w:cs="Arial" w:eastAsia="Arial" w:hAnsi="Arial"/>
          <w:sz w:val="14"/>
          <w:szCs w:val="14"/>
          <w:color w:val="auto"/>
        </w:rPr>
        <w:t>(Principal Financial Officer)</w:t>
      </w:r>
    </w:p>
    <w:sectPr>
      <w:pgSz w:w="11900" w:h="16838" w:orient="portrait"/>
      <w:cols w:equalWidth="0" w:num="1">
        <w:col w:w="11280"/>
      </w:cols>
      <w:pgMar w:left="300" w:top="89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lvl w:ilvl="1">
      <w:lvlJc w:val="left"/>
      <w:lvlText w:val="◦"/>
      <w:numFmt w:val="bullet"/>
      <w:start w:val="1"/>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2"/>
    </w:lvl>
  </w:abstractNum>
  <w:abstractNum w:abstractNumId="56">
    <w:nsid w:val="3F6AB60F"/>
    <w:multiLevelType w:val="hybridMultilevel"/>
    <w:lvl w:ilvl="0">
      <w:lvlJc w:val="left"/>
      <w:lvlText w:val="(%1)"/>
      <w:numFmt w:val="lowerRoman"/>
      <w:start w:val="2"/>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2023-03-09T15:55:45Z</dcterms:created>
  <dcterms:modified xsi:type="dcterms:W3CDTF">2023-03-09T15:55:45Z</dcterms:modified>
</cp:coreProperties>
</file>