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768350</wp:posOffset>
            </wp:positionV>
            <wp:extent cx="70675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792480</wp:posOffset>
            </wp:positionV>
            <wp:extent cx="7067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7550" cy="8255"/>
                    </a:xfrm>
                    <a:prstGeom prst="rect">
                      <a:avLst/>
                    </a:prstGeom>
                    <a:noFill/>
                  </pic:spPr>
                </pic:pic>
              </a:graphicData>
            </a:graphic>
          </wp:anchor>
        </w:drawing>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327" w:lineRule="exact"/>
        <w:rPr>
          <w:sz w:val="24"/>
          <w:szCs w:val="24"/>
          <w:color w:val="auto"/>
        </w:rPr>
      </w:pPr>
    </w:p>
    <w:p>
      <w:pPr>
        <w:ind w:left="820" w:hanging="801"/>
        <w:spacing w:after="0"/>
        <w:tabs>
          <w:tab w:leader="none" w:pos="82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97" w:lineRule="exact"/>
        <w:rPr>
          <w:sz w:val="24"/>
          <w:szCs w:val="24"/>
          <w:color w:val="auto"/>
        </w:rPr>
      </w:pPr>
    </w:p>
    <w:p>
      <w:pPr>
        <w:ind w:left="820" w:hanging="801"/>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8" w:lineRule="exact"/>
        <w:rPr>
          <w:sz w:val="24"/>
          <w:szCs w:val="24"/>
          <w:color w:val="auto"/>
        </w:rPr>
      </w:pPr>
    </w:p>
    <w:p>
      <w:pPr>
        <w:ind w:left="400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3926840</wp:posOffset>
            </wp:positionH>
            <wp:positionV relativeFrom="paragraph">
              <wp:posOffset>-5715</wp:posOffset>
            </wp:positionV>
            <wp:extent cx="681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001-39303</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PLIANT THERAPEUTICS,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7" w:lineRule="exact"/>
        <w:rPr>
          <w:sz w:val="24"/>
          <w:szCs w:val="24"/>
          <w:color w:val="auto"/>
        </w:rPr>
      </w:pPr>
    </w:p>
    <w:tbl>
      <w:tblPr>
        <w:tblLayout w:type="fixed"/>
        <w:tblInd w:w="1260" w:type="dxa"/>
        <w:tblCellMar>
          <w:top w:w="0" w:type="dxa"/>
          <w:left w:w="0" w:type="dxa"/>
          <w:bottom w:w="0" w:type="dxa"/>
          <w:right w:w="0" w:type="dxa"/>
        </w:tblCellMar>
      </w:tblPr>
      <w:tr>
        <w:trPr>
          <w:trHeight w:val="213"/>
        </w:trPr>
        <w:tc>
          <w:tcPr>
            <w:tcW w:w="4740" w:type="dxa"/>
            <w:vAlign w:val="bottom"/>
          </w:tcPr>
          <w:p>
            <w:pPr>
              <w:jc w:val="center"/>
              <w:ind w:right="1829"/>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980" w:type="dxa"/>
            <w:vAlign w:val="bottom"/>
          </w:tcPr>
          <w:p>
            <w:pPr>
              <w:jc w:val="right"/>
              <w:ind w:right="49"/>
              <w:spacing w:after="0"/>
              <w:rPr>
                <w:sz w:val="20"/>
                <w:szCs w:val="20"/>
                <w:color w:val="auto"/>
              </w:rPr>
            </w:pPr>
            <w:r>
              <w:rPr>
                <w:rFonts w:ascii="Times New Roman" w:cs="Times New Roman" w:eastAsia="Times New Roman" w:hAnsi="Times New Roman"/>
                <w:sz w:val="17"/>
                <w:szCs w:val="17"/>
                <w:b w:val="1"/>
                <w:bCs w:val="1"/>
                <w:color w:val="auto"/>
              </w:rPr>
              <w:t>47-4272481</w:t>
            </w:r>
          </w:p>
        </w:tc>
      </w:tr>
      <w:tr>
        <w:trPr>
          <w:trHeight w:val="179"/>
        </w:trPr>
        <w:tc>
          <w:tcPr>
            <w:tcW w:w="4740" w:type="dxa"/>
            <w:vAlign w:val="bottom"/>
          </w:tcPr>
          <w:p>
            <w:pPr>
              <w:jc w:val="center"/>
              <w:ind w:right="1809"/>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98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91"/>
        </w:trPr>
        <w:tc>
          <w:tcPr>
            <w:tcW w:w="474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98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191"/>
        </w:trPr>
        <w:tc>
          <w:tcPr>
            <w:tcW w:w="474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w w:val="97"/>
              </w:rPr>
              <w:t>331 Oyster Point Blvd., South San Francisco, CA</w:t>
            </w:r>
          </w:p>
        </w:tc>
        <w:tc>
          <w:tcPr>
            <w:tcW w:w="29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94080</w:t>
            </w:r>
          </w:p>
        </w:tc>
      </w:tr>
      <w:tr>
        <w:trPr>
          <w:trHeight w:val="191"/>
        </w:trPr>
        <w:tc>
          <w:tcPr>
            <w:tcW w:w="474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98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481-6770</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740" w:type="dxa"/>
            <w:vAlign w:val="bottom"/>
            <w:tcBorders>
              <w:top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b w:val="1"/>
                <w:bCs w:val="1"/>
                <w:color w:val="auto"/>
              </w:rPr>
              <w:t>Trading</w:t>
            </w:r>
          </w:p>
        </w:tc>
        <w:tc>
          <w:tcPr>
            <w:tcW w:w="4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c>
          <w:tcPr>
            <w:tcW w:w="0" w:type="dxa"/>
            <w:vAlign w:val="bottom"/>
          </w:tcPr>
          <w:p>
            <w:pPr>
              <w:spacing w:after="0"/>
              <w:rPr>
                <w:sz w:val="1"/>
                <w:szCs w:val="1"/>
                <w:color w:val="auto"/>
              </w:rPr>
            </w:pPr>
          </w:p>
        </w:tc>
      </w:tr>
      <w:tr>
        <w:trPr>
          <w:trHeight w:val="229"/>
        </w:trPr>
        <w:tc>
          <w:tcPr>
            <w:tcW w:w="47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Symbol</w:t>
            </w:r>
          </w:p>
        </w:tc>
        <w:tc>
          <w:tcPr>
            <w:tcW w:w="47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PLRX</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The Nasdaq Stock Market LLC</w:t>
            </w:r>
          </w:p>
        </w:tc>
        <w:tc>
          <w:tcPr>
            <w:tcW w:w="0" w:type="dxa"/>
            <w:vAlign w:val="bottom"/>
          </w:tcPr>
          <w:p>
            <w:pPr>
              <w:spacing w:after="0"/>
              <w:rPr>
                <w:sz w:val="1"/>
                <w:szCs w:val="1"/>
                <w:color w:val="auto"/>
              </w:rPr>
            </w:pPr>
          </w:p>
        </w:tc>
      </w:tr>
      <w:tr>
        <w:trPr>
          <w:trHeight w:val="184"/>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Series A Junior Participating Preferred Purchase Rights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The Nasdaq Stock Market LLC</w:t>
            </w: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140" w:firstLine="459"/>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w:t>
      </w:r>
    </w:p>
    <w:p>
      <w:pPr>
        <w:spacing w:after="0" w:line="24"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73" w:lineRule="exact"/>
        <w:rPr>
          <w:sz w:val="24"/>
          <w:szCs w:val="24"/>
          <w:color w:val="auto"/>
        </w:rPr>
      </w:pPr>
    </w:p>
    <w:p>
      <w:pPr>
        <w:ind w:right="320" w:firstLine="459"/>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61"/>
        </w:trPr>
        <w:tc>
          <w:tcPr>
            <w:tcW w:w="248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4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7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4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140" w:firstLine="459"/>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60" w:right="2420" w:hanging="305"/>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8, 2026, the registrant had 61,920,249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667385</wp:posOffset>
            </wp:positionV>
            <wp:extent cx="716534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66040</wp:posOffset>
            </wp:positionV>
            <wp:extent cx="706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706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4"/>
        </w:trPr>
        <w:tc>
          <w:tcPr>
            <w:tcW w:w="600" w:type="dxa"/>
            <w:vAlign w:val="bottom"/>
            <w:tcBorders>
              <w:bottom w:val="single" w:sz="8" w:color="112ADB"/>
            </w:tcBorders>
            <w:gridSpan w:val="3"/>
          </w:tcPr>
          <w:p>
            <w:pPr>
              <w:spacing w:after="0"/>
              <w:rPr>
                <w:sz w:val="20"/>
                <w:szCs w:val="20"/>
                <w:color w:val="auto"/>
              </w:rPr>
            </w:pPr>
            <w:r>
              <w:rPr>
                <w:rFonts w:ascii="Times New Roman" w:cs="Times New Roman" w:eastAsia="Times New Roman" w:hAnsi="Times New Roman"/>
                <w:sz w:val="17"/>
                <w:szCs w:val="17"/>
                <w:b w:val="1"/>
                <w:bCs w:val="1"/>
                <w:color w:val="112ADB"/>
                <w:w w:val="94"/>
              </w:rPr>
              <w:t>PART I.</w:t>
            </w:r>
          </w:p>
        </w:tc>
        <w:tc>
          <w:tcPr>
            <w:tcW w:w="600" w:type="dxa"/>
            <w:vAlign w:val="bottom"/>
            <w:gridSpan w:val="3"/>
          </w:tcPr>
          <w:p>
            <w:pPr>
              <w:spacing w:after="0"/>
              <w:rPr>
                <w:sz w:val="24"/>
                <w:szCs w:val="24"/>
                <w:color w:val="auto"/>
              </w:rPr>
            </w:pPr>
          </w:p>
        </w:tc>
        <w:tc>
          <w:tcPr>
            <w:tcW w:w="21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7"/>
                <w:szCs w:val="17"/>
                <w:color w:val="0E32E1"/>
                <w:w w:val="98"/>
              </w:rPr>
              <w:t>FINANCIAL INFORMATION</w:t>
            </w:r>
          </w:p>
        </w:tc>
        <w:tc>
          <w:tcPr>
            <w:tcW w:w="3960" w:type="dxa"/>
            <w:vAlign w:val="bottom"/>
            <w:gridSpan w:val="10"/>
          </w:tcPr>
          <w:p>
            <w:pPr>
              <w:spacing w:after="0"/>
              <w:rPr>
                <w:sz w:val="24"/>
                <w:szCs w:val="24"/>
                <w:color w:val="auto"/>
              </w:rPr>
            </w:pPr>
          </w:p>
        </w:tc>
        <w:tc>
          <w:tcPr>
            <w:tcW w:w="3780" w:type="dxa"/>
            <w:vAlign w:val="bottom"/>
            <w:gridSpan w:val="3"/>
          </w:tcPr>
          <w:p>
            <w:pPr>
              <w:spacing w:after="0"/>
              <w:rPr>
                <w:sz w:val="24"/>
                <w:szCs w:val="24"/>
                <w:color w:val="auto"/>
              </w:rPr>
            </w:pPr>
          </w:p>
        </w:tc>
        <w:tc>
          <w:tcPr>
            <w:tcW w:w="100" w:type="dxa"/>
            <w:vAlign w:val="bottom"/>
            <w:tcBorders>
              <w:bottom w:val="single" w:sz="8" w:color="112ADB"/>
            </w:tcBorders>
          </w:tcPr>
          <w:p>
            <w:pPr>
              <w:jc w:val="right"/>
              <w:spacing w:after="0"/>
              <w:rPr>
                <w:sz w:val="20"/>
                <w:szCs w:val="20"/>
                <w:color w:val="auto"/>
              </w:rPr>
            </w:pPr>
            <w:r>
              <w:rPr>
                <w:rFonts w:ascii="Times New Roman" w:cs="Times New Roman" w:eastAsia="Times New Roman" w:hAnsi="Times New Roman"/>
                <w:sz w:val="17"/>
                <w:szCs w:val="17"/>
                <w:color w:val="112ADB"/>
                <w:w w:val="93"/>
              </w:rPr>
              <w:t>6</w:t>
            </w:r>
          </w:p>
        </w:tc>
      </w:tr>
      <w:tr>
        <w:trPr>
          <w:trHeight w:val="34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112ADB"/>
                <w:w w:val="95"/>
              </w:rPr>
              <w:t>Item 1.</w:t>
            </w:r>
          </w:p>
        </w:tc>
        <w:tc>
          <w:tcPr>
            <w:tcW w:w="720" w:type="dxa"/>
            <w:vAlign w:val="bottom"/>
            <w:gridSpan w:val="5"/>
          </w:tcPr>
          <w:p>
            <w:pPr>
              <w:spacing w:after="0"/>
              <w:rPr>
                <w:sz w:val="24"/>
                <w:szCs w:val="24"/>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Condensed Financial Statements (Unaudited)</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6</w:t>
            </w:r>
          </w:p>
        </w:tc>
      </w:tr>
      <w:tr>
        <w:trPr>
          <w:trHeight w:val="196"/>
        </w:trPr>
        <w:tc>
          <w:tcPr>
            <w:tcW w:w="480" w:type="dxa"/>
            <w:vAlign w:val="bottom"/>
            <w:tcBorders>
              <w:top w:val="single" w:sz="8" w:color="112ADB"/>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0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7"/>
                <w:szCs w:val="17"/>
                <w:color w:val="0E32E1"/>
                <w:w w:val="99"/>
              </w:rPr>
              <w:t>Condensed Balance Sheets (Unaudited)</w:t>
            </w:r>
          </w:p>
        </w:tc>
        <w:tc>
          <w:tcPr>
            <w:tcW w:w="380" w:type="dxa"/>
            <w:vAlign w:val="bottom"/>
            <w:tcBorders>
              <w:top w:val="single" w:sz="8" w:color="0E32E1"/>
            </w:tcBorders>
          </w:tcPr>
          <w:p>
            <w:pPr>
              <w:spacing w:after="0"/>
              <w:rPr>
                <w:sz w:val="17"/>
                <w:szCs w:val="17"/>
                <w:color w:val="auto"/>
              </w:rPr>
            </w:pPr>
          </w:p>
        </w:tc>
        <w:tc>
          <w:tcPr>
            <w:tcW w:w="3020" w:type="dxa"/>
            <w:vAlign w:val="bottom"/>
            <w:gridSpan w:val="7"/>
          </w:tcPr>
          <w:p>
            <w:pPr>
              <w:spacing w:after="0"/>
              <w:rPr>
                <w:sz w:val="17"/>
                <w:szCs w:val="17"/>
                <w:color w:val="auto"/>
              </w:rPr>
            </w:pPr>
          </w:p>
        </w:tc>
        <w:tc>
          <w:tcPr>
            <w:tcW w:w="3780" w:type="dxa"/>
            <w:vAlign w:val="bottom"/>
            <w:gridSpan w:val="3"/>
          </w:tcPr>
          <w:p>
            <w:pPr>
              <w:spacing w:after="0"/>
              <w:rPr>
                <w:sz w:val="17"/>
                <w:szCs w:val="17"/>
                <w:color w:val="auto"/>
              </w:rPr>
            </w:pPr>
          </w:p>
        </w:tc>
        <w:tc>
          <w:tcPr>
            <w:tcW w:w="100" w:type="dxa"/>
            <w:vAlign w:val="bottom"/>
            <w:tcBorders>
              <w:top w:val="single" w:sz="8" w:color="112ADB"/>
              <w:bottom w:val="single" w:sz="8" w:color="112ADB"/>
            </w:tcBorders>
          </w:tcPr>
          <w:p>
            <w:pPr>
              <w:jc w:val="right"/>
              <w:spacing w:after="0"/>
              <w:rPr>
                <w:sz w:val="20"/>
                <w:szCs w:val="20"/>
                <w:color w:val="auto"/>
              </w:rPr>
            </w:pPr>
            <w:r>
              <w:rPr>
                <w:rFonts w:ascii="Times New Roman" w:cs="Times New Roman" w:eastAsia="Times New Roman" w:hAnsi="Times New Roman"/>
                <w:sz w:val="17"/>
                <w:szCs w:val="17"/>
                <w:color w:val="112ADB"/>
                <w:w w:val="93"/>
              </w:rPr>
              <w:t>6</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Condensed Statements of Operations and Comprehensive Loss (Unaudited)</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80" w:type="dxa"/>
            <w:vAlign w:val="bottom"/>
            <w:tcBorders>
              <w:top w:val="single" w:sz="8" w:color="0E32E1"/>
              <w:bottom w:val="single" w:sz="8" w:color="0E32E1"/>
            </w:tcBorders>
            <w:gridSpan w:val="12"/>
          </w:tcPr>
          <w:p>
            <w:pPr>
              <w:spacing w:after="0"/>
              <w:rPr>
                <w:sz w:val="20"/>
                <w:szCs w:val="20"/>
                <w:color w:val="auto"/>
              </w:rPr>
            </w:pPr>
            <w:r>
              <w:rPr>
                <w:rFonts w:ascii="Times New Roman" w:cs="Times New Roman" w:eastAsia="Times New Roman" w:hAnsi="Times New Roman"/>
                <w:sz w:val="17"/>
                <w:szCs w:val="17"/>
                <w:color w:val="0E32E1"/>
                <w:w w:val="99"/>
              </w:rPr>
              <w:t>Condensed Statements of Stockholders’ Equity (Unaudited)</w:t>
            </w:r>
          </w:p>
        </w:tc>
        <w:tc>
          <w:tcPr>
            <w:tcW w:w="1060" w:type="dxa"/>
            <w:vAlign w:val="bottom"/>
            <w:tcBorders>
              <w:top w:val="single" w:sz="8" w:color="0E32E1"/>
            </w:tcBorders>
            <w:gridSpan w:val="3"/>
          </w:tcPr>
          <w:p>
            <w:pPr>
              <w:spacing w:after="0"/>
              <w:rPr>
                <w:sz w:val="17"/>
                <w:szCs w:val="17"/>
                <w:color w:val="auto"/>
              </w:rPr>
            </w:pPr>
          </w:p>
        </w:tc>
        <w:tc>
          <w:tcPr>
            <w:tcW w:w="960" w:type="dxa"/>
            <w:vAlign w:val="bottom"/>
          </w:tcPr>
          <w:p>
            <w:pPr>
              <w:spacing w:after="0"/>
              <w:rPr>
                <w:sz w:val="17"/>
                <w:szCs w:val="17"/>
                <w:color w:val="auto"/>
              </w:rPr>
            </w:pPr>
          </w:p>
        </w:tc>
        <w:tc>
          <w:tcPr>
            <w:tcW w:w="3780" w:type="dxa"/>
            <w:vAlign w:val="bottom"/>
            <w:gridSpan w:val="3"/>
          </w:tcPr>
          <w:p>
            <w:pPr>
              <w:spacing w:after="0"/>
              <w:rPr>
                <w:sz w:val="17"/>
                <w:szCs w:val="17"/>
                <w:color w:val="auto"/>
              </w:rPr>
            </w:pPr>
          </w:p>
        </w:tc>
        <w:tc>
          <w:tcPr>
            <w:tcW w:w="100" w:type="dxa"/>
            <w:vAlign w:val="bottom"/>
            <w:tcBorders>
              <w:top w:val="single" w:sz="8" w:color="112ADB"/>
              <w:bottom w:val="single" w:sz="8" w:color="112ADB"/>
            </w:tcBorders>
          </w:tcPr>
          <w:p>
            <w:pPr>
              <w:jc w:val="right"/>
              <w:spacing w:after="0"/>
              <w:rPr>
                <w:sz w:val="20"/>
                <w:szCs w:val="20"/>
                <w:color w:val="auto"/>
              </w:rPr>
            </w:pPr>
            <w:r>
              <w:rPr>
                <w:rFonts w:ascii="Times New Roman" w:cs="Times New Roman" w:eastAsia="Times New Roman" w:hAnsi="Times New Roman"/>
                <w:sz w:val="17"/>
                <w:szCs w:val="17"/>
                <w:color w:val="112ADB"/>
                <w:w w:val="93"/>
              </w:rPr>
              <w:t>8</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4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17"/>
                <w:szCs w:val="17"/>
                <w:color w:val="0E32E1"/>
                <w:w w:val="99"/>
              </w:rPr>
              <w:t>Condensed Statements of Cash Flows (Unaudited)</w:t>
            </w:r>
          </w:p>
        </w:tc>
        <w:tc>
          <w:tcPr>
            <w:tcW w:w="2660" w:type="dxa"/>
            <w:vAlign w:val="bottom"/>
            <w:gridSpan w:val="6"/>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10</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7"/>
                <w:szCs w:val="17"/>
                <w:color w:val="0E32E1"/>
                <w:w w:val="99"/>
              </w:rPr>
              <w:t>Notes to Condensed Financial Statements (Unaudited)</w:t>
            </w:r>
          </w:p>
        </w:tc>
        <w:tc>
          <w:tcPr>
            <w:tcW w:w="2400" w:type="dxa"/>
            <w:vAlign w:val="bottom"/>
            <w:gridSpan w:val="5"/>
          </w:tcPr>
          <w:p>
            <w:pPr>
              <w:spacing w:after="0"/>
              <w:rPr>
                <w:sz w:val="17"/>
                <w:szCs w:val="17"/>
                <w:color w:val="auto"/>
              </w:rPr>
            </w:pP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11</w:t>
            </w: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tcBorders>
              <w:right w:val="single" w:sz="8" w:color="0E32E1"/>
            </w:tcBorders>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gridSpan w:val="2"/>
            <w:shd w:val="clear" w:color="auto" w:fill="0E32E1"/>
          </w:tcPr>
          <w:p>
            <w:pPr>
              <w:spacing w:after="0" w:line="20" w:lineRule="exact"/>
              <w:rPr>
                <w:sz w:val="1"/>
                <w:szCs w:val="1"/>
                <w:color w:val="auto"/>
              </w:rPr>
            </w:pPr>
          </w:p>
        </w:tc>
        <w:tc>
          <w:tcPr>
            <w:tcW w:w="1500" w:type="dxa"/>
            <w:vAlign w:val="bottom"/>
            <w:gridSpan w:val="4"/>
            <w:shd w:val="clear" w:color="auto" w:fill="0E32E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60" w:type="dxa"/>
            <w:vAlign w:val="bottom"/>
            <w:gridSpan w:val="2"/>
            <w:shd w:val="clear" w:color="auto" w:fill="112ADB"/>
          </w:tcPr>
          <w:p>
            <w:pPr>
              <w:spacing w:after="0" w:line="20" w:lineRule="exact"/>
              <w:rPr>
                <w:sz w:val="1"/>
                <w:szCs w:val="1"/>
                <w:color w:val="auto"/>
              </w:rPr>
            </w:pPr>
          </w:p>
        </w:tc>
      </w:tr>
      <w:tr>
        <w:trPr>
          <w:trHeight w:val="196"/>
        </w:trPr>
        <w:tc>
          <w:tcPr>
            <w:tcW w:w="500" w:type="dxa"/>
            <w:vAlign w:val="bottom"/>
            <w:tcBorders>
              <w:bottom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2.</w:t>
            </w:r>
          </w:p>
        </w:tc>
        <w:tc>
          <w:tcPr>
            <w:tcW w:w="700" w:type="dxa"/>
            <w:vAlign w:val="bottom"/>
            <w:gridSpan w:val="4"/>
          </w:tcPr>
          <w:p>
            <w:pPr>
              <w:spacing w:after="0"/>
              <w:rPr>
                <w:sz w:val="17"/>
                <w:szCs w:val="17"/>
                <w:color w:val="auto"/>
              </w:rPr>
            </w:pPr>
          </w:p>
        </w:tc>
        <w:tc>
          <w:tcPr>
            <w:tcW w:w="610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7"/>
                <w:szCs w:val="17"/>
                <w:color w:val="0E32E1"/>
                <w:w w:val="99"/>
              </w:rPr>
              <w:t>Management’s Discussion and Analysis of Financial Condition and Results of Operations</w:t>
            </w: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21</w:t>
            </w:r>
          </w:p>
        </w:tc>
      </w:tr>
      <w:tr>
        <w:trPr>
          <w:trHeight w:val="196"/>
        </w:trPr>
        <w:tc>
          <w:tcPr>
            <w:tcW w:w="500" w:type="dxa"/>
            <w:vAlign w:val="bottom"/>
            <w:tcBorders>
              <w:bottom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3.</w:t>
            </w:r>
          </w:p>
        </w:tc>
        <w:tc>
          <w:tcPr>
            <w:tcW w:w="700" w:type="dxa"/>
            <w:vAlign w:val="bottom"/>
            <w:gridSpan w:val="4"/>
          </w:tcPr>
          <w:p>
            <w:pPr>
              <w:spacing w:after="0"/>
              <w:rPr>
                <w:sz w:val="17"/>
                <w:szCs w:val="17"/>
                <w:color w:val="auto"/>
              </w:rPr>
            </w:pPr>
          </w:p>
        </w:tc>
        <w:tc>
          <w:tcPr>
            <w:tcW w:w="412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7"/>
                <w:szCs w:val="17"/>
                <w:color w:val="0E32E1"/>
                <w:w w:val="99"/>
              </w:rPr>
              <w:t>Quantitative and Qualitative Disclosures About Market Risk</w:t>
            </w:r>
          </w:p>
        </w:tc>
        <w:tc>
          <w:tcPr>
            <w:tcW w:w="198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26</w:t>
            </w:r>
          </w:p>
        </w:tc>
      </w:tr>
      <w:tr>
        <w:trPr>
          <w:trHeight w:val="196"/>
        </w:trPr>
        <w:tc>
          <w:tcPr>
            <w:tcW w:w="480" w:type="dxa"/>
            <w:vAlign w:val="bottom"/>
            <w:tcBorders>
              <w:bottom w:val="single" w:sz="8" w:color="112ADB"/>
            </w:tcBorders>
          </w:tcPr>
          <w:p>
            <w:pPr>
              <w:spacing w:after="0"/>
              <w:rPr>
                <w:sz w:val="20"/>
                <w:szCs w:val="20"/>
                <w:color w:val="auto"/>
              </w:rPr>
            </w:pPr>
            <w:r>
              <w:rPr>
                <w:rFonts w:ascii="Times New Roman" w:cs="Times New Roman" w:eastAsia="Times New Roman" w:hAnsi="Times New Roman"/>
                <w:sz w:val="17"/>
                <w:szCs w:val="17"/>
                <w:color w:val="112ADB"/>
                <w:w w:val="95"/>
              </w:rPr>
              <w:t>Item 4.</w:t>
            </w:r>
          </w:p>
        </w:tc>
        <w:tc>
          <w:tcPr>
            <w:tcW w:w="720" w:type="dxa"/>
            <w:vAlign w:val="bottom"/>
            <w:gridSpan w:val="5"/>
          </w:tcPr>
          <w:p>
            <w:pPr>
              <w:spacing w:after="0"/>
              <w:rPr>
                <w:sz w:val="17"/>
                <w:szCs w:val="17"/>
                <w:color w:val="auto"/>
              </w:rPr>
            </w:pPr>
          </w:p>
        </w:tc>
        <w:tc>
          <w:tcPr>
            <w:tcW w:w="168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7"/>
                <w:szCs w:val="17"/>
                <w:color w:val="0E32E1"/>
                <w:w w:val="99"/>
              </w:rPr>
              <w:t>Controls and Procedures</w:t>
            </w:r>
          </w:p>
        </w:tc>
        <w:tc>
          <w:tcPr>
            <w:tcW w:w="4420" w:type="dxa"/>
            <w:vAlign w:val="bottom"/>
            <w:gridSpan w:val="12"/>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27</w:t>
            </w:r>
          </w:p>
        </w:tc>
      </w:tr>
      <w:tr>
        <w:trPr>
          <w:trHeight w:val="349"/>
        </w:trPr>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112ADB"/>
                <w:w w:val="94"/>
              </w:rPr>
              <w:t>PART II.</w:t>
            </w:r>
          </w:p>
        </w:tc>
        <w:tc>
          <w:tcPr>
            <w:tcW w:w="540" w:type="dxa"/>
            <w:vAlign w:val="bottom"/>
            <w:gridSpan w:val="2"/>
          </w:tcPr>
          <w:p>
            <w:pPr>
              <w:spacing w:after="0"/>
              <w:rPr>
                <w:sz w:val="24"/>
                <w:szCs w:val="24"/>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OTHER INFORMATION</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27</w:t>
            </w:r>
          </w:p>
        </w:tc>
      </w:tr>
      <w:tr>
        <w:trPr>
          <w:trHeight w:val="413"/>
        </w:trPr>
        <w:tc>
          <w:tcPr>
            <w:tcW w:w="500" w:type="dxa"/>
            <w:vAlign w:val="bottom"/>
            <w:tcBorders>
              <w:top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1.</w:t>
            </w:r>
          </w:p>
        </w:tc>
        <w:tc>
          <w:tcPr>
            <w:tcW w:w="160" w:type="dxa"/>
            <w:vAlign w:val="bottom"/>
            <w:tcBorders>
              <w:top w:val="single" w:sz="8" w:color="112ADB"/>
            </w:tcBorders>
            <w:gridSpan w:val="2"/>
          </w:tcPr>
          <w:p>
            <w:pPr>
              <w:spacing w:after="0"/>
              <w:rPr>
                <w:sz w:val="24"/>
                <w:szCs w:val="24"/>
                <w:color w:val="auto"/>
              </w:rPr>
            </w:pPr>
          </w:p>
        </w:tc>
        <w:tc>
          <w:tcPr>
            <w:tcW w:w="540" w:type="dxa"/>
            <w:vAlign w:val="bottom"/>
            <w:gridSpan w:val="2"/>
          </w:tcPr>
          <w:p>
            <w:pPr>
              <w:spacing w:after="0"/>
              <w:rPr>
                <w:sz w:val="24"/>
                <w:szCs w:val="24"/>
                <w:color w:val="auto"/>
              </w:rPr>
            </w:pPr>
          </w:p>
        </w:tc>
        <w:tc>
          <w:tcPr>
            <w:tcW w:w="1780" w:type="dxa"/>
            <w:vAlign w:val="bottom"/>
            <w:tcBorders>
              <w:top w:val="single" w:sz="8" w:color="0E32E1"/>
            </w:tcBorders>
            <w:gridSpan w:val="5"/>
          </w:tcPr>
          <w:p>
            <w:pPr>
              <w:spacing w:after="0"/>
              <w:rPr>
                <w:sz w:val="20"/>
                <w:szCs w:val="20"/>
                <w:color w:val="auto"/>
              </w:rPr>
            </w:pPr>
            <w:r>
              <w:rPr>
                <w:rFonts w:ascii="Times New Roman" w:cs="Times New Roman" w:eastAsia="Times New Roman" w:hAnsi="Times New Roman"/>
                <w:sz w:val="17"/>
                <w:szCs w:val="17"/>
                <w:color w:val="0E32E1"/>
              </w:rPr>
              <w:t>Legal Proceedings</w:t>
            </w:r>
          </w:p>
        </w:tc>
        <w:tc>
          <w:tcPr>
            <w:tcW w:w="4320" w:type="dxa"/>
            <w:vAlign w:val="bottom"/>
            <w:gridSpan w:val="11"/>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top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27</w:t>
            </w:r>
          </w:p>
        </w:tc>
      </w:tr>
      <w:tr>
        <w:trPr>
          <w:trHeight w:val="20"/>
        </w:trPr>
        <w:tc>
          <w:tcPr>
            <w:tcW w:w="500" w:type="dxa"/>
            <w:vAlign w:val="bottom"/>
            <w:gridSpan w:val="2"/>
            <w:shd w:val="clear" w:color="auto" w:fill="112AD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tcBorders>
              <w:right w:val="single" w:sz="8" w:color="0E32E1"/>
            </w:tcBorders>
            <w:shd w:val="clear" w:color="auto" w:fill="0E32E1"/>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3"/>
            <w:shd w:val="clear" w:color="auto" w:fill="112ADB"/>
          </w:tcPr>
          <w:p>
            <w:pPr>
              <w:spacing w:after="0" w:line="20" w:lineRule="exact"/>
              <w:rPr>
                <w:sz w:val="1"/>
                <w:szCs w:val="1"/>
                <w:color w:val="auto"/>
              </w:rPr>
            </w:pPr>
          </w:p>
        </w:tc>
      </w:tr>
      <w:tr>
        <w:trPr>
          <w:trHeight w:val="196"/>
        </w:trPr>
        <w:tc>
          <w:tcPr>
            <w:tcW w:w="1200" w:type="dxa"/>
            <w:vAlign w:val="bottom"/>
            <w:gridSpan w:val="6"/>
          </w:tcPr>
          <w:p>
            <w:pPr>
              <w:spacing w:after="0"/>
              <w:rPr>
                <w:sz w:val="20"/>
                <w:szCs w:val="20"/>
                <w:color w:val="auto"/>
              </w:rPr>
            </w:pPr>
            <w:r>
              <w:rPr>
                <w:rFonts w:ascii="Times New Roman" w:cs="Times New Roman" w:eastAsia="Times New Roman" w:hAnsi="Times New Roman"/>
                <w:sz w:val="17"/>
                <w:szCs w:val="17"/>
                <w:color w:val="112ADB"/>
              </w:rPr>
              <w:t>Item 1A.</w:t>
            </w: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Risk Factors</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27</w:t>
            </w:r>
          </w:p>
        </w:tc>
      </w:tr>
      <w:tr>
        <w:trPr>
          <w:trHeight w:val="20"/>
        </w:trPr>
        <w:tc>
          <w:tcPr>
            <w:tcW w:w="600" w:type="dxa"/>
            <w:vAlign w:val="bottom"/>
            <w:gridSpan w:val="3"/>
            <w:shd w:val="clear" w:color="auto" w:fill="112ADB"/>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3"/>
            <w:shd w:val="clear" w:color="auto" w:fill="112ADB"/>
          </w:tcPr>
          <w:p>
            <w:pPr>
              <w:spacing w:after="0" w:line="20" w:lineRule="exact"/>
              <w:rPr>
                <w:sz w:val="1"/>
                <w:szCs w:val="1"/>
                <w:color w:val="auto"/>
              </w:rPr>
            </w:pPr>
          </w:p>
        </w:tc>
      </w:tr>
      <w:tr>
        <w:trPr>
          <w:trHeight w:val="196"/>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112ADB"/>
                <w:w w:val="99"/>
              </w:rPr>
              <w:t>Item 2.</w:t>
            </w:r>
          </w:p>
        </w:tc>
        <w:tc>
          <w:tcPr>
            <w:tcW w:w="1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Unregistered Sales of Equity Securities and Use of Proceeds</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74</w:t>
            </w:r>
          </w:p>
        </w:tc>
      </w:tr>
      <w:tr>
        <w:trPr>
          <w:trHeight w:val="196"/>
        </w:trPr>
        <w:tc>
          <w:tcPr>
            <w:tcW w:w="500" w:type="dxa"/>
            <w:vAlign w:val="bottom"/>
            <w:tcBorders>
              <w:top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3.</w:t>
            </w:r>
          </w:p>
        </w:tc>
        <w:tc>
          <w:tcPr>
            <w:tcW w:w="700" w:type="dxa"/>
            <w:vAlign w:val="bottom"/>
            <w:gridSpan w:val="4"/>
          </w:tcPr>
          <w:p>
            <w:pPr>
              <w:spacing w:after="0"/>
              <w:rPr>
                <w:sz w:val="17"/>
                <w:szCs w:val="17"/>
                <w:color w:val="auto"/>
              </w:rPr>
            </w:pPr>
          </w:p>
        </w:tc>
        <w:tc>
          <w:tcPr>
            <w:tcW w:w="410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7"/>
                <w:szCs w:val="17"/>
                <w:color w:val="0E32E1"/>
              </w:rPr>
              <w:t>Defaults Upon Senior Securities</w:t>
            </w:r>
          </w:p>
        </w:tc>
        <w:tc>
          <w:tcPr>
            <w:tcW w:w="2000" w:type="dxa"/>
            <w:vAlign w:val="bottom"/>
            <w:gridSpan w:val="3"/>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top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74</w:t>
            </w:r>
          </w:p>
        </w:tc>
      </w:tr>
      <w:tr>
        <w:trPr>
          <w:trHeight w:val="196"/>
        </w:trPr>
        <w:tc>
          <w:tcPr>
            <w:tcW w:w="500" w:type="dxa"/>
            <w:vAlign w:val="bottom"/>
            <w:tcBorders>
              <w:top w:val="single" w:sz="8" w:color="112ADB"/>
              <w:bottom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4.</w:t>
            </w:r>
          </w:p>
        </w:tc>
        <w:tc>
          <w:tcPr>
            <w:tcW w:w="700" w:type="dxa"/>
            <w:vAlign w:val="bottom"/>
            <w:gridSpan w:val="4"/>
          </w:tcPr>
          <w:p>
            <w:pPr>
              <w:spacing w:after="0"/>
              <w:rPr>
                <w:sz w:val="17"/>
                <w:szCs w:val="17"/>
                <w:color w:val="auto"/>
              </w:rPr>
            </w:pPr>
          </w:p>
        </w:tc>
        <w:tc>
          <w:tcPr>
            <w:tcW w:w="168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7"/>
                <w:szCs w:val="17"/>
                <w:color w:val="0E32E1"/>
                <w:w w:val="99"/>
              </w:rPr>
              <w:t>Mine Safety Disclosures</w:t>
            </w:r>
          </w:p>
        </w:tc>
        <w:tc>
          <w:tcPr>
            <w:tcW w:w="520" w:type="dxa"/>
            <w:vAlign w:val="bottom"/>
            <w:tcBorders>
              <w:top w:val="single" w:sz="8" w:color="0E32E1"/>
            </w:tcBorders>
            <w:gridSpan w:val="3"/>
          </w:tcPr>
          <w:p>
            <w:pPr>
              <w:spacing w:after="0"/>
              <w:rPr>
                <w:sz w:val="17"/>
                <w:szCs w:val="17"/>
                <w:color w:val="auto"/>
              </w:rPr>
            </w:pPr>
          </w:p>
        </w:tc>
        <w:tc>
          <w:tcPr>
            <w:tcW w:w="3900" w:type="dxa"/>
            <w:vAlign w:val="bottom"/>
            <w:gridSpan w:val="9"/>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top w:val="single" w:sz="8" w:color="112ADB"/>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74</w:t>
            </w:r>
          </w:p>
        </w:tc>
      </w:tr>
      <w:tr>
        <w:trPr>
          <w:trHeight w:val="196"/>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112ADB"/>
                <w:w w:val="99"/>
              </w:rPr>
              <w:t>Item 5.</w:t>
            </w:r>
          </w:p>
        </w:tc>
        <w:tc>
          <w:tcPr>
            <w:tcW w:w="700" w:type="dxa"/>
            <w:vAlign w:val="bottom"/>
            <w:gridSpan w:val="4"/>
          </w:tcPr>
          <w:p>
            <w:pPr>
              <w:spacing w:after="0"/>
              <w:rPr>
                <w:sz w:val="17"/>
                <w:szCs w:val="17"/>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7"/>
                <w:szCs w:val="17"/>
                <w:color w:val="0E32E1"/>
              </w:rPr>
              <w:t>Other Information</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112ADB"/>
              </w:rPr>
              <w:t>74</w:t>
            </w:r>
          </w:p>
        </w:tc>
      </w:tr>
      <w:tr>
        <w:trPr>
          <w:trHeight w:val="196"/>
        </w:trPr>
        <w:tc>
          <w:tcPr>
            <w:tcW w:w="500" w:type="dxa"/>
            <w:vAlign w:val="bottom"/>
            <w:tcBorders>
              <w:top w:val="single" w:sz="8" w:color="112ADB"/>
              <w:bottom w:val="single" w:sz="8" w:color="112ADB"/>
            </w:tcBorders>
            <w:gridSpan w:val="2"/>
          </w:tcPr>
          <w:p>
            <w:pPr>
              <w:spacing w:after="0"/>
              <w:rPr>
                <w:sz w:val="20"/>
                <w:szCs w:val="20"/>
                <w:color w:val="auto"/>
              </w:rPr>
            </w:pPr>
            <w:r>
              <w:rPr>
                <w:rFonts w:ascii="Times New Roman" w:cs="Times New Roman" w:eastAsia="Times New Roman" w:hAnsi="Times New Roman"/>
                <w:sz w:val="17"/>
                <w:szCs w:val="17"/>
                <w:color w:val="112ADB"/>
                <w:w w:val="99"/>
              </w:rPr>
              <w:t>Item 6.</w:t>
            </w:r>
          </w:p>
        </w:tc>
        <w:tc>
          <w:tcPr>
            <w:tcW w:w="700" w:type="dxa"/>
            <w:vAlign w:val="bottom"/>
            <w:gridSpan w:val="4"/>
          </w:tcPr>
          <w:p>
            <w:pPr>
              <w:spacing w:after="0"/>
              <w:rPr>
                <w:sz w:val="17"/>
                <w:szCs w:val="17"/>
                <w:color w:val="auto"/>
              </w:rPr>
            </w:pPr>
          </w:p>
        </w:tc>
        <w:tc>
          <w:tcPr>
            <w:tcW w:w="58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7"/>
                <w:szCs w:val="17"/>
                <w:color w:val="0E32E1"/>
                <w:w w:val="98"/>
              </w:rPr>
              <w:t>Exhibits</w:t>
            </w:r>
          </w:p>
        </w:tc>
        <w:tc>
          <w:tcPr>
            <w:tcW w:w="680" w:type="dxa"/>
            <w:vAlign w:val="bottom"/>
            <w:tcBorders>
              <w:top w:val="single" w:sz="8" w:color="0E32E1"/>
            </w:tcBorders>
            <w:gridSpan w:val="2"/>
          </w:tcPr>
          <w:p>
            <w:pPr>
              <w:spacing w:after="0"/>
              <w:rPr>
                <w:sz w:val="17"/>
                <w:szCs w:val="17"/>
                <w:color w:val="auto"/>
              </w:rPr>
            </w:pPr>
          </w:p>
        </w:tc>
        <w:tc>
          <w:tcPr>
            <w:tcW w:w="4840" w:type="dxa"/>
            <w:vAlign w:val="bottom"/>
            <w:gridSpan w:val="13"/>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top w:val="single" w:sz="8" w:color="112ADB"/>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74</w:t>
            </w:r>
          </w:p>
        </w:tc>
      </w:tr>
      <w:tr>
        <w:trPr>
          <w:trHeight w:val="196"/>
        </w:trPr>
        <w:tc>
          <w:tcPr>
            <w:tcW w:w="720" w:type="dxa"/>
            <w:vAlign w:val="bottom"/>
            <w:tcBorders>
              <w:bottom w:val="single" w:sz="8" w:color="112ADB"/>
            </w:tcBorders>
            <w:gridSpan w:val="5"/>
          </w:tcPr>
          <w:p>
            <w:pPr>
              <w:spacing w:after="0"/>
              <w:rPr>
                <w:sz w:val="20"/>
                <w:szCs w:val="20"/>
                <w:color w:val="auto"/>
              </w:rPr>
            </w:pPr>
            <w:r>
              <w:rPr>
                <w:rFonts w:ascii="Times New Roman" w:cs="Times New Roman" w:eastAsia="Times New Roman" w:hAnsi="Times New Roman"/>
                <w:sz w:val="17"/>
                <w:szCs w:val="17"/>
                <w:color w:val="112ADB"/>
                <w:w w:val="97"/>
              </w:rPr>
              <w:t>Signatures</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Times New Roman" w:cs="Times New Roman" w:eastAsia="Times New Roman" w:hAnsi="Times New Roman"/>
                <w:sz w:val="17"/>
                <w:szCs w:val="17"/>
                <w:color w:val="112ADB"/>
                <w:w w:val="93"/>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67945</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40" w:top="84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express or implied statements about:</w:t>
      </w:r>
    </w:p>
    <w:p>
      <w:pPr>
        <w:spacing w:after="0" w:line="77" w:lineRule="exact"/>
        <w:rPr>
          <w:sz w:val="20"/>
          <w:szCs w:val="20"/>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cost and timing of our product development activities, including preclinical studies and clinical trials of our product candidates;</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initiate, recruit and enroll patients in, and conduct our clinical trials at the pace that we project;</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strategy to obtain and maintain regulatory approvals of our product candidates;</w:t>
      </w:r>
    </w:p>
    <w:p>
      <w:pPr>
        <w:spacing w:after="0" w:line="110" w:lineRule="exact"/>
        <w:rPr>
          <w:rFonts w:ascii="Times New Roman" w:cs="Times New Roman" w:eastAsia="Times New Roman" w:hAnsi="Times New Roman"/>
          <w:sz w:val="17"/>
          <w:szCs w:val="17"/>
          <w:color w:val="auto"/>
        </w:rPr>
      </w:pPr>
    </w:p>
    <w:p>
      <w:pPr>
        <w:ind w:left="1160" w:right="360" w:hanging="532"/>
        <w:spacing w:after="0" w:line="279"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strategy to obtain funding for our operations, including funding necessary to complete further development and, upon successful development, if approved, commercialize any of our product candidates;</w:t>
      </w:r>
    </w:p>
    <w:p>
      <w:pPr>
        <w:spacing w:after="0" w:line="54"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and impact of new, existing and proposed laws and regulations;</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 of orphan drug and Fast Track designations for any of our product candidates;</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companies currently marketing or engaged in the development of integrin-based therapeutics;</w:t>
      </w:r>
    </w:p>
    <w:p>
      <w:pPr>
        <w:spacing w:after="0" w:line="110" w:lineRule="exact"/>
        <w:rPr>
          <w:rFonts w:ascii="Times New Roman" w:cs="Times New Roman" w:eastAsia="Times New Roman" w:hAnsi="Times New Roman"/>
          <w:sz w:val="17"/>
          <w:szCs w:val="17"/>
          <w:color w:val="auto"/>
        </w:rPr>
      </w:pPr>
    </w:p>
    <w:p>
      <w:pPr>
        <w:ind w:left="1160" w:right="380" w:hanging="532"/>
        <w:spacing w:after="0" w:line="279"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strategy regarding obtaining and maintaining intellectual property protection for our product candidates and the duration of such protection;</w:t>
      </w:r>
    </w:p>
    <w:p>
      <w:pPr>
        <w:spacing w:after="0" w:line="54"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strategy regarding the manufacture of our product candidates for clinical trials and for commercial use, if approved;</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successful new collaborations;</w:t>
      </w:r>
    </w:p>
    <w:p>
      <w:pPr>
        <w:spacing w:after="0" w:line="110" w:lineRule="exact"/>
        <w:rPr>
          <w:rFonts w:ascii="Times New Roman" w:cs="Times New Roman" w:eastAsia="Times New Roman" w:hAnsi="Times New Roman"/>
          <w:sz w:val="17"/>
          <w:szCs w:val="17"/>
          <w:color w:val="auto"/>
        </w:rPr>
      </w:pPr>
    </w:p>
    <w:p>
      <w:pPr>
        <w:ind w:left="1160" w:right="800" w:hanging="532"/>
        <w:spacing w:after="0" w:line="279"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future collaborators for developing, obtaining regulatory approval for and commercializing product candidates in the collaboration;</w:t>
      </w:r>
    </w:p>
    <w:p>
      <w:pPr>
        <w:spacing w:after="0" w:line="54"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receipt and timing of any milestone payments or royalties under any future research collaboration or license agreements or arrangements;</w:t>
      </w:r>
    </w:p>
    <w:p>
      <w:pPr>
        <w:spacing w:after="0" w:line="110" w:lineRule="exact"/>
        <w:rPr>
          <w:rFonts w:ascii="Times New Roman" w:cs="Times New Roman" w:eastAsia="Times New Roman" w:hAnsi="Times New Roman"/>
          <w:sz w:val="17"/>
          <w:szCs w:val="17"/>
          <w:color w:val="auto"/>
        </w:rPr>
      </w:pPr>
    </w:p>
    <w:p>
      <w:pPr>
        <w:ind w:left="1160" w:hanging="532"/>
        <w:spacing w:after="0" w:line="279"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strategy regarding the commercialization of any products that are approved for marketing and our ability to establish adequate pricing in the U.S. and international markets;</w:t>
      </w:r>
    </w:p>
    <w:p>
      <w:pPr>
        <w:spacing w:after="0" w:line="54" w:lineRule="exact"/>
        <w:rPr>
          <w:rFonts w:ascii="Times New Roman" w:cs="Times New Roman" w:eastAsia="Times New Roman" w:hAnsi="Times New Roman"/>
          <w:sz w:val="17"/>
          <w:szCs w:val="17"/>
          <w:color w:val="auto"/>
        </w:rPr>
      </w:pPr>
    </w:p>
    <w:p>
      <w:pPr>
        <w:ind w:left="1160" w:right="120" w:hanging="532"/>
        <w:spacing w:after="0" w:line="279" w:lineRule="auto"/>
        <w:tabs>
          <w:tab w:leader="none" w:pos="11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potential of the markets for our product candidates, and our ability to serve those markets, either alone or in combination with others;</w:t>
      </w:r>
    </w:p>
    <w:p>
      <w:pPr>
        <w:spacing w:after="0" w:line="54"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employees and key personnel;</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government and third-party payor coverage and reimbursement; and</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of obtaining a positive health technology assessment recommending our products.</w:t>
      </w:r>
    </w:p>
    <w:p>
      <w:pPr>
        <w:spacing w:after="0" w:line="110" w:lineRule="exact"/>
        <w:rPr>
          <w:sz w:val="20"/>
          <w:szCs w:val="20"/>
          <w:color w:val="auto"/>
        </w:rPr>
      </w:pPr>
    </w:p>
    <w:p>
      <w:pPr>
        <w:ind w:right="160" w:firstLine="382"/>
        <w:spacing w:after="0" w:line="255" w:lineRule="auto"/>
        <w:rPr>
          <w:sz w:val="20"/>
          <w:szCs w:val="20"/>
          <w:color w:val="auto"/>
        </w:rPr>
      </w:pPr>
      <w:r>
        <w:rPr>
          <w:rFonts w:ascii="Times New Roman" w:cs="Times New Roman" w:eastAsia="Times New Roman" w:hAnsi="Times New Roman"/>
          <w:sz w:val="17"/>
          <w:szCs w:val="17"/>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OF RISKS ASSOCIATED WITH OUR BUSINESS</w:t>
      </w:r>
    </w:p>
    <w:p>
      <w:pPr>
        <w:spacing w:after="0" w:line="11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Our business involves significant risks, some of which are summarized below. The summary risk factors listed below should be read together with the text of the full risk factors discussed in the section entitled "Risk Factors" included under Part II, Item 1A in this Report. You should carefully consider the risks described below, as well as the other information in this Report, including our financial statements and the related notes and the section entitled “Management’s Discussion and Analysis of Financial Condition and Results of Operations” included under Part II, Item 2 in this Report,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Financial Position, Operations and Need for Additional Capital</w:t>
      </w:r>
    </w:p>
    <w:p>
      <w:pPr>
        <w:spacing w:after="0" w:line="114" w:lineRule="exact"/>
        <w:rPr>
          <w:sz w:val="20"/>
          <w:szCs w:val="20"/>
          <w:color w:val="auto"/>
        </w:rPr>
      </w:pPr>
    </w:p>
    <w:p>
      <w:pPr>
        <w:ind w:left="1160" w:hanging="532"/>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since inception, and we expect to continue to incur significant net losses for the foreseeable future.</w:t>
      </w:r>
    </w:p>
    <w:p>
      <w:pPr>
        <w:spacing w:after="0" w:line="110"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pursuit of internal and external opportunities may not deliver the benefits we expect or enhance stockholder value.</w:t>
      </w:r>
    </w:p>
    <w:p>
      <w:pPr>
        <w:spacing w:after="0" w:line="110" w:lineRule="exact"/>
        <w:rPr>
          <w:rFonts w:ascii="Times New Roman" w:cs="Times New Roman" w:eastAsia="Times New Roman" w:hAnsi="Times New Roman"/>
          <w:sz w:val="17"/>
          <w:szCs w:val="17"/>
          <w:color w:val="auto"/>
        </w:rPr>
      </w:pPr>
    </w:p>
    <w:p>
      <w:pPr>
        <w:jc w:val="both"/>
        <w:ind w:left="1160" w:right="160" w:hanging="532"/>
        <w:spacing w:after="0" w:line="264" w:lineRule="auto"/>
        <w:tabs>
          <w:tab w:leader="none" w:pos="1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Research and Development and the Biopharmaceutical Industry</w:t>
      </w:r>
    </w:p>
    <w:p>
      <w:pPr>
        <w:spacing w:after="0" w:line="114" w:lineRule="exact"/>
        <w:rPr>
          <w:sz w:val="20"/>
          <w:szCs w:val="20"/>
          <w:color w:val="auto"/>
        </w:rPr>
      </w:pPr>
    </w:p>
    <w:p>
      <w:pPr>
        <w:ind w:left="1160" w:hanging="532"/>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which may make it difficult to evaluate our prospects and likelihood of success.</w:t>
      </w:r>
    </w:p>
    <w:p>
      <w:pPr>
        <w:spacing w:after="0" w:line="110" w:lineRule="exact"/>
        <w:rPr>
          <w:rFonts w:ascii="Times New Roman" w:cs="Times New Roman" w:eastAsia="Times New Roman" w:hAnsi="Times New Roman"/>
          <w:sz w:val="17"/>
          <w:szCs w:val="17"/>
          <w:color w:val="auto"/>
        </w:rPr>
      </w:pPr>
    </w:p>
    <w:p>
      <w:pPr>
        <w:ind w:left="1160" w:right="80" w:hanging="532"/>
        <w:spacing w:after="0" w:line="264"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the success of our lead product candidate, PLN-101095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68"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approach to drug discovery and development in the area of integrin-based therapeutics is unproven and may not result in marketable products.</w:t>
      </w:r>
    </w:p>
    <w:p>
      <w:pPr>
        <w:spacing w:after="0" w:line="110" w:lineRule="exact"/>
        <w:rPr>
          <w:rFonts w:ascii="Times New Roman" w:cs="Times New Roman" w:eastAsia="Times New Roman" w:hAnsi="Times New Roman"/>
          <w:sz w:val="17"/>
          <w:szCs w:val="17"/>
          <w:color w:val="auto"/>
        </w:rPr>
      </w:pPr>
    </w:p>
    <w:p>
      <w:pPr>
        <w:ind w:left="1160" w:right="6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development involves a lengthy, complex, and expensive process, with an uncertain outcome to support either a marketing authorization or positive pricing and reimbursement decisions.</w:t>
      </w:r>
    </w:p>
    <w:p>
      <w:pPr>
        <w:spacing w:after="0" w:line="54" w:lineRule="exact"/>
        <w:rPr>
          <w:rFonts w:ascii="Times New Roman" w:cs="Times New Roman" w:eastAsia="Times New Roman" w:hAnsi="Times New Roman"/>
          <w:sz w:val="17"/>
          <w:szCs w:val="17"/>
          <w:color w:val="auto"/>
        </w:rPr>
      </w:pPr>
    </w:p>
    <w:p>
      <w:pPr>
        <w:ind w:left="1160" w:right="14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additional costs or experience delays in completing, or ultimately be unable to complete, the development and commercialization of our product candidates.</w:t>
      </w:r>
    </w:p>
    <w:p>
      <w:pPr>
        <w:spacing w:after="0" w:line="54" w:lineRule="exact"/>
        <w:rPr>
          <w:rFonts w:ascii="Times New Roman" w:cs="Times New Roman" w:eastAsia="Times New Roman" w:hAnsi="Times New Roman"/>
          <w:sz w:val="17"/>
          <w:szCs w:val="17"/>
          <w:color w:val="auto"/>
        </w:rPr>
      </w:pPr>
    </w:p>
    <w:p>
      <w:pPr>
        <w:ind w:left="1160" w:right="4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obtain and maintain certain regulatory exclusivities and orphan designations in some jurisdictions and therefore fail to secure orphan exclusivity or other exclusivity extensions in those jurisdictions.</w:t>
      </w:r>
    </w:p>
    <w:p>
      <w:pPr>
        <w:spacing w:after="0" w:line="54" w:lineRule="exact"/>
        <w:rPr>
          <w:rFonts w:ascii="Times New Roman" w:cs="Times New Roman" w:eastAsia="Times New Roman" w:hAnsi="Times New Roman"/>
          <w:sz w:val="17"/>
          <w:szCs w:val="17"/>
          <w:color w:val="auto"/>
        </w:rPr>
      </w:pPr>
    </w:p>
    <w:p>
      <w:pPr>
        <w:ind w:left="1160" w:right="10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54" w:lineRule="exact"/>
        <w:rPr>
          <w:rFonts w:ascii="Times New Roman" w:cs="Times New Roman" w:eastAsia="Times New Roman" w:hAnsi="Times New Roman"/>
          <w:sz w:val="17"/>
          <w:szCs w:val="17"/>
          <w:color w:val="auto"/>
        </w:rPr>
      </w:pPr>
    </w:p>
    <w:p>
      <w:pPr>
        <w:ind w:left="1160" w:right="46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difficulties enrolling patients in our clinical trials, our clinical development activities could be delayed or otherwise adversely affected.</w:t>
      </w:r>
    </w:p>
    <w:p>
      <w:pPr>
        <w:spacing w:after="0" w:line="54" w:lineRule="exact"/>
        <w:rPr>
          <w:rFonts w:ascii="Times New Roman" w:cs="Times New Roman" w:eastAsia="Times New Roman" w:hAnsi="Times New Roman"/>
          <w:sz w:val="17"/>
          <w:szCs w:val="17"/>
          <w:color w:val="auto"/>
        </w:rPr>
      </w:pPr>
    </w:p>
    <w:p>
      <w:pPr>
        <w:ind w:left="1160" w:right="60" w:hanging="532"/>
        <w:spacing w:after="0" w:line="279" w:lineRule="auto"/>
        <w:tabs>
          <w:tab w:leader="none" w:pos="1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which may result in others discovering, developing, or commercializing products before or more successfully than us.</w:t>
      </w:r>
    </w:p>
    <w:p>
      <w:pPr>
        <w:spacing w:after="0" w:line="54"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secure an appropriate reimbursement price or a positive health technology assessment.</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114" w:lineRule="exact"/>
        <w:rPr>
          <w:sz w:val="20"/>
          <w:szCs w:val="20"/>
          <w:color w:val="auto"/>
        </w:rPr>
      </w:pPr>
    </w:p>
    <w:p>
      <w:pPr>
        <w:ind w:left="1160" w:right="740" w:hanging="532"/>
        <w:spacing w:after="0" w:line="279" w:lineRule="auto"/>
        <w:tabs>
          <w:tab w:leader="none" w:pos="115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54" w:lineRule="exact"/>
        <w:rPr>
          <w:rFonts w:ascii="Times New Roman" w:cs="Times New Roman" w:eastAsia="Times New Roman" w:hAnsi="Times New Roman"/>
          <w:sz w:val="17"/>
          <w:szCs w:val="17"/>
          <w:color w:val="auto"/>
        </w:rPr>
      </w:pPr>
    </w:p>
    <w:p>
      <w:pPr>
        <w:ind w:left="1160" w:right="140" w:hanging="532"/>
        <w:spacing w:after="0" w:line="279" w:lineRule="auto"/>
        <w:tabs>
          <w:tab w:leader="none" w:pos="115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collaborators may assert ownership or commercial rights to inventions they develop from research we support, or that we develop from our use of the tissue samples or other biological materials that they provide to us, or otherwise arising from such collaboration.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Reliance on Third Parties</w:t>
      </w:r>
    </w:p>
    <w:p>
      <w:pPr>
        <w:spacing w:after="0" w:line="114" w:lineRule="exact"/>
        <w:rPr>
          <w:sz w:val="20"/>
          <w:szCs w:val="20"/>
          <w:color w:val="auto"/>
        </w:rPr>
      </w:pPr>
    </w:p>
    <w:p>
      <w:pPr>
        <w:ind w:left="780" w:right="180" w:hanging="532"/>
        <w:spacing w:after="0" w:line="264" w:lineRule="auto"/>
        <w:tabs>
          <w:tab w:leader="none" w:pos="7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PLN-101005 or any other potential product candidates.</w:t>
      </w:r>
    </w:p>
    <w:p>
      <w:pPr>
        <w:spacing w:after="0" w:line="68" w:lineRule="exact"/>
        <w:rPr>
          <w:rFonts w:ascii="Times New Roman" w:cs="Times New Roman" w:eastAsia="Times New Roman" w:hAnsi="Times New Roman"/>
          <w:sz w:val="17"/>
          <w:szCs w:val="17"/>
          <w:color w:val="auto"/>
        </w:rPr>
      </w:pPr>
    </w:p>
    <w:p>
      <w:pPr>
        <w:ind w:left="780" w:hanging="532"/>
        <w:spacing w:after="0" w:line="264" w:lineRule="auto"/>
        <w:tabs>
          <w:tab w:leader="none" w:pos="7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rely on third-party manufacturing and supply vendors, including single-source vendors and vendors located in foreign jurisdictions, including China, our supply of research and development, preclinical and clinical development materials may become limited or interrupted or may not be of satisfactory quantity or quality.</w:t>
      </w:r>
    </w:p>
    <w:p>
      <w:pPr>
        <w:spacing w:after="0" w:line="68" w:lineRule="exact"/>
        <w:rPr>
          <w:rFonts w:ascii="Times New Roman" w:cs="Times New Roman" w:eastAsia="Times New Roman" w:hAnsi="Times New Roman"/>
          <w:sz w:val="17"/>
          <w:szCs w:val="17"/>
          <w:color w:val="auto"/>
        </w:rPr>
      </w:pPr>
    </w:p>
    <w:p>
      <w:pPr>
        <w:ind w:left="780" w:hanging="532"/>
        <w:spacing w:after="0"/>
        <w:tabs>
          <w:tab w:leader="none" w:pos="78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color w:val="auto"/>
        </w:rPr>
        <w:t>If we are unable to enter into new collaborations, or if these collaborations are not successful, our business could be adversely affected.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Managing Our Business and Operations</w:t>
      </w:r>
    </w:p>
    <w:p>
      <w:pPr>
        <w:spacing w:after="0" w:line="114" w:lineRule="exact"/>
        <w:rPr>
          <w:sz w:val="20"/>
          <w:szCs w:val="20"/>
          <w:color w:val="auto"/>
        </w:rPr>
      </w:pPr>
    </w:p>
    <w:p>
      <w:pPr>
        <w:jc w:val="both"/>
        <w:ind w:left="780" w:right="60" w:hanging="532"/>
        <w:spacing w:after="0" w:line="264" w:lineRule="auto"/>
        <w:tabs>
          <w:tab w:leader="none" w:pos="7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loss of key management personnel, or our failure to recruit additional highly skilled personnel, will impair our ability to develop PLN-101095 or other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67945</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800"/>
          </w:cols>
          <w:pgMar w:left="700" w:top="947" w:right="39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Financial Statements.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per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20" w:type="dxa"/>
            <w:vAlign w:val="bottom"/>
          </w:tcPr>
          <w:p>
            <w:pPr>
              <w:spacing w:after="0"/>
              <w:rPr>
                <w:sz w:val="15"/>
                <w:szCs w:val="15"/>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94"/>
        </w:trPr>
        <w:tc>
          <w:tcPr>
            <w:tcW w:w="7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45,445</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145,499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 (Note 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Property and equipment held for sale (Note 4)</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196,448</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(Note 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 (Note 15)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23,966</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09"/>
        </w:trPr>
        <w:tc>
          <w:tcPr>
            <w:tcW w:w="770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202,596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225,228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 (Note 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 (Note 15)</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 (Note 15)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(Note 7)</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37,430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44,023</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$0.0001 par value per share; 10,000,000 shares authorized at March 31, 2026 and December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31, 2025, 300,000 shares designated as Series A Junior Participating Preferred Stock at March 31, 2026</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and December 31, 2025; and none issued or outstanding at March 31, 2026 and December 31, 2025 (Note</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 and 10)</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line="175" w:lineRule="exact"/>
              <w:rPr>
                <w:sz w:val="20"/>
                <w:szCs w:val="20"/>
                <w:color w:val="auto"/>
              </w:rPr>
            </w:pPr>
            <w:r>
              <w:rPr>
                <w:rFonts w:ascii="Times New Roman" w:cs="Times New Roman" w:eastAsia="Times New Roman" w:hAnsi="Times New Roman"/>
                <w:sz w:val="17"/>
                <w:szCs w:val="17"/>
                <w:color w:val="auto"/>
              </w:rPr>
              <w:t>Common stock, $0.0001 par value per share; 300,000,000 shares authorized at March 31, 2026 and</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60"/>
              <w:spacing w:after="0" w:line="169" w:lineRule="exact"/>
              <w:rPr>
                <w:sz w:val="20"/>
                <w:szCs w:val="20"/>
                <w:color w:val="auto"/>
              </w:rPr>
            </w:pPr>
            <w:r>
              <w:rPr>
                <w:rFonts w:ascii="Times New Roman" w:cs="Times New Roman" w:eastAsia="Times New Roman" w:hAnsi="Times New Roman"/>
                <w:sz w:val="17"/>
                <w:szCs w:val="17"/>
                <w:color w:val="auto"/>
              </w:rPr>
              <w:t>December 31, 2025; and 61,914,569 and 61,449,290 shares issued and outstanding at March 31, 2026 and</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December 31, 2025, respectively; (Note 9)</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1,040,610</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(859,396)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181,205</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225,228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1" w:right="4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Statements of Operations and Comprehensive Loss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198"/>
        </w:trPr>
        <w:tc>
          <w:tcPr>
            <w:tcW w:w="7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7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(13,584)</w:t>
            </w:r>
          </w:p>
        </w:tc>
        <w:tc>
          <w:tcPr>
            <w:tcW w:w="10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(43,436)</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(15,499)</w:t>
            </w:r>
          </w:p>
        </w:tc>
      </w:tr>
      <w:tr>
        <w:trPr>
          <w:trHeight w:val="209"/>
        </w:trPr>
        <w:tc>
          <w:tcPr>
            <w:tcW w:w="74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(58,935)</w:t>
            </w: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(58,935)</w:t>
            </w:r>
          </w:p>
        </w:tc>
      </w:tr>
      <w:tr>
        <w:trPr>
          <w:trHeight w:val="216"/>
        </w:trPr>
        <w:tc>
          <w:tcPr>
            <w:tcW w:w="7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(56,166)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48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Shares used in computing net loss per share - basic and diluted</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61,803,467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61,222,676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2"/>
        </w:trPr>
        <w:tc>
          <w:tcPr>
            <w:tcW w:w="74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Comprehensive loss:</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7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10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(56,166)</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unrealized (loss) on short-term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09"/>
        </w:trPr>
        <w:tc>
          <w:tcPr>
            <w:tcW w:w="74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other comprehensive (loss)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(56,328)</w:t>
            </w:r>
          </w:p>
        </w:tc>
      </w:tr>
      <w:tr>
        <w:trPr>
          <w:trHeight w:val="20"/>
        </w:trPr>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67945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660"/>
          </w:cols>
          <w:pgMar w:left="620" w:top="845" w:right="6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p>
      <w:pPr>
        <w:spacing w:after="0" w:line="28" w:lineRule="exact"/>
        <w:rPr>
          <w:sz w:val="20"/>
          <w:szCs w:val="20"/>
          <w:color w:val="auto"/>
        </w:rPr>
      </w:pPr>
    </w:p>
    <w:p>
      <w:pPr>
        <w:ind w:left="300" w:hanging="152"/>
        <w:spacing w:after="0" w:line="234" w:lineRule="auto"/>
        <w:rPr>
          <w:sz w:val="20"/>
          <w:szCs w:val="20"/>
          <w:color w:val="auto"/>
        </w:rPr>
      </w:pPr>
      <w:r>
        <w:rPr>
          <w:rFonts w:ascii="Times New Roman" w:cs="Times New Roman" w:eastAsia="Times New Roman" w:hAnsi="Times New Roman"/>
          <w:sz w:val="17"/>
          <w:szCs w:val="17"/>
          <w:color w:val="auto"/>
        </w:rPr>
        <w:t>Issuance of common stock under benefit plans</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24" w:lineRule="exact"/>
        <w:rPr>
          <w:sz w:val="20"/>
          <w:szCs w:val="20"/>
          <w:color w:val="auto"/>
        </w:rPr>
      </w:pPr>
    </w:p>
    <w:p>
      <w:pPr>
        <w:ind w:left="300" w:right="480" w:hanging="152"/>
        <w:spacing w:after="0" w:line="234" w:lineRule="auto"/>
        <w:rPr>
          <w:sz w:val="20"/>
          <w:szCs w:val="20"/>
          <w:color w:val="auto"/>
        </w:rPr>
      </w:pPr>
      <w:r>
        <w:rPr>
          <w:rFonts w:ascii="Times New Roman" w:cs="Times New Roman" w:eastAsia="Times New Roman" w:hAnsi="Times New Roman"/>
          <w:sz w:val="17"/>
          <w:szCs w:val="17"/>
          <w:color w:val="auto"/>
        </w:rPr>
        <w:t>Net unrealized loss on short-term investments</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Net loss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at March 31, 2026</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b w:val="1"/>
          <w:bCs w:val="1"/>
          <w:color w:val="auto"/>
        </w:rPr>
        <w:t>Condensed Statements of Stockholders’ Equity</w:t>
      </w:r>
    </w:p>
    <w:p>
      <w:pPr>
        <w:spacing w:after="0" w:line="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and per share amounts)</w:t>
      </w:r>
    </w:p>
    <w:p>
      <w:pPr>
        <w:spacing w:after="0" w:line="10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3"/>
        </w:trPr>
        <w:tc>
          <w:tcPr>
            <w:tcW w:w="1960" w:type="dxa"/>
            <w:vAlign w:val="bottom"/>
            <w:gridSpan w:val="3"/>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16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6"/>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00" w:type="dxa"/>
            <w:vAlign w:val="bottom"/>
          </w:tcPr>
          <w:p>
            <w:pPr>
              <w:spacing w:after="0"/>
              <w:rPr>
                <w:sz w:val="17"/>
                <w:szCs w:val="17"/>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3"/>
        </w:trPr>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61,449,290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1,040,610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(859,396)</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181,205</w:t>
            </w:r>
          </w:p>
        </w:tc>
        <w:tc>
          <w:tcPr>
            <w:tcW w:w="0" w:type="dxa"/>
            <w:vAlign w:val="bottom"/>
          </w:tcPr>
          <w:p>
            <w:pPr>
              <w:spacing w:after="0"/>
              <w:rPr>
                <w:sz w:val="1"/>
                <w:szCs w:val="1"/>
                <w:color w:val="auto"/>
              </w:rPr>
            </w:pPr>
          </w:p>
        </w:tc>
      </w:tr>
      <w:tr>
        <w:trPr>
          <w:trHeight w:val="388"/>
        </w:trPr>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465,279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9"/>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20"/>
        </w:trPr>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0" w:type="dxa"/>
            <w:vAlign w:val="bottom"/>
          </w:tcPr>
          <w:p>
            <w:pPr>
              <w:spacing w:after="0"/>
              <w:rPr>
                <w:sz w:val="1"/>
                <w:szCs w:val="1"/>
                <w:color w:val="auto"/>
              </w:rPr>
            </w:pPr>
          </w:p>
        </w:tc>
      </w:tr>
      <w:tr>
        <w:trPr>
          <w:trHeight w:val="21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61,914,569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1,044,937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(879,436)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165,166</w:t>
            </w: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-1099185</wp:posOffset>
            </wp:positionV>
            <wp:extent cx="64039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03975" cy="1454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-702945</wp:posOffset>
            </wp:positionV>
            <wp:extent cx="64039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03975"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-314960</wp:posOffset>
            </wp:positionV>
            <wp:extent cx="64039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039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180"/>
            <w:col w:w="7000"/>
          </w:cols>
          <w:pgMar w:left="920" w:top="845" w:right="8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67945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080"/>
          </w:cols>
          <w:pgMar w:left="920" w:top="845" w:right="89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960" w:type="dxa"/>
            <w:vAlign w:val="bottom"/>
            <w:gridSpan w:val="3"/>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16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Gain/(Loss)</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00" w:type="dxa"/>
            <w:vAlign w:val="bottom"/>
          </w:tcPr>
          <w:p>
            <w:pPr>
              <w:spacing w:after="0"/>
              <w:rPr>
                <w:sz w:val="17"/>
                <w:szCs w:val="17"/>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60,860,838</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1,013,806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(710,052)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304,081</w:t>
            </w:r>
          </w:p>
        </w:tc>
        <w:tc>
          <w:tcPr>
            <w:tcW w:w="0" w:type="dxa"/>
            <w:vAlign w:val="bottom"/>
          </w:tcPr>
          <w:p>
            <w:pPr>
              <w:spacing w:after="0"/>
              <w:rPr>
                <w:sz w:val="1"/>
                <w:szCs w:val="1"/>
                <w:color w:val="auto"/>
              </w:rPr>
            </w:pPr>
          </w:p>
        </w:tc>
      </w:tr>
      <w:tr>
        <w:trPr>
          <w:trHeight w:val="175"/>
        </w:trPr>
        <w:tc>
          <w:tcPr>
            <w:tcW w:w="3260" w:type="dxa"/>
            <w:vAlign w:val="bottom"/>
          </w:tcPr>
          <w:p>
            <w:pPr>
              <w:ind w:left="180"/>
              <w:spacing w:after="0" w:line="175" w:lineRule="exact"/>
              <w:rPr>
                <w:sz w:val="20"/>
                <w:szCs w:val="20"/>
                <w:color w:val="auto"/>
              </w:rPr>
            </w:pPr>
            <w:r>
              <w:rPr>
                <w:rFonts w:ascii="Times New Roman" w:cs="Times New Roman" w:eastAsia="Times New Roman" w:hAnsi="Times New Roman"/>
                <w:sz w:val="17"/>
                <w:szCs w:val="17"/>
                <w:color w:val="auto"/>
              </w:rPr>
              <w:t>Issuance of common stock under benefit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525,345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0" w:type="dxa"/>
            <w:vAlign w:val="bottom"/>
          </w:tcPr>
          <w:p>
            <w:pPr>
              <w:spacing w:after="0"/>
              <w:rPr>
                <w:sz w:val="1"/>
                <w:szCs w:val="1"/>
                <w:color w:val="auto"/>
              </w:rPr>
            </w:pPr>
          </w:p>
        </w:tc>
      </w:tr>
      <w:tr>
        <w:trPr>
          <w:trHeight w:val="175"/>
        </w:trPr>
        <w:tc>
          <w:tcPr>
            <w:tcW w:w="3260" w:type="dxa"/>
            <w:vAlign w:val="bottom"/>
          </w:tcPr>
          <w:p>
            <w:pPr>
              <w:ind w:left="180"/>
              <w:spacing w:after="0" w:line="175" w:lineRule="exact"/>
              <w:rPr>
                <w:sz w:val="20"/>
                <w:szCs w:val="20"/>
                <w:color w:val="auto"/>
              </w:rPr>
            </w:pPr>
            <w:r>
              <w:rPr>
                <w:rFonts w:ascii="Times New Roman" w:cs="Times New Roman" w:eastAsia="Times New Roman" w:hAnsi="Times New Roman"/>
                <w:sz w:val="17"/>
                <w:szCs w:val="17"/>
                <w:color w:val="auto"/>
              </w:rPr>
              <w:t>Net unrealized loss on short-term</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(56,166)</w:t>
            </w:r>
          </w:p>
        </w:tc>
        <w:tc>
          <w:tcPr>
            <w:tcW w:w="0" w:type="dxa"/>
            <w:vAlign w:val="bottom"/>
          </w:tcPr>
          <w:p>
            <w:pPr>
              <w:spacing w:after="0"/>
              <w:rPr>
                <w:sz w:val="1"/>
                <w:szCs w:val="1"/>
                <w:color w:val="auto"/>
              </w:rPr>
            </w:pPr>
          </w:p>
        </w:tc>
      </w:tr>
      <w:tr>
        <w:trPr>
          <w:trHeight w:val="209"/>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61,386,183</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1,023,217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(766,218)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257,164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67945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100"/>
          </w:cols>
          <w:pgMar w:left="900" w:top="1049" w:right="89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Condensed Statements of Cash Flows</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98"/>
        </w:trPr>
        <w:tc>
          <w:tcPr>
            <w:tcW w:w="77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(56,166)</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property plant and equipment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amortization (accretion) on short-term investments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216"/>
        </w:trPr>
        <w:tc>
          <w:tcPr>
            <w:tcW w:w="7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6"/>
        </w:trPr>
        <w:tc>
          <w:tcPr>
            <w:tcW w:w="7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(48,864)</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Maturity of short-term investments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83,525</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property, plant and equipment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69,114</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Proceeds from issuances of common stock under benefit plans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at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72,670</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93,418</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reported in the balance sheets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22,190</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91,936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93,418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 in accounts payable and accrued liabilities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5"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Pliant Therapeutics,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18" w:lineRule="exact"/>
        <w:rPr>
          <w:sz w:val="20"/>
          <w:szCs w:val="20"/>
          <w:color w:val="auto"/>
        </w:rPr>
      </w:pPr>
    </w:p>
    <w:p>
      <w:pPr>
        <w:ind w:right="340" w:firstLine="382"/>
        <w:spacing w:after="0" w:line="271" w:lineRule="auto"/>
        <w:rPr>
          <w:sz w:val="20"/>
          <w:szCs w:val="20"/>
          <w:color w:val="auto"/>
        </w:rPr>
      </w:pPr>
      <w:r>
        <w:rPr>
          <w:rFonts w:ascii="Times New Roman" w:cs="Times New Roman" w:eastAsia="Times New Roman" w:hAnsi="Times New Roman"/>
          <w:sz w:val="16"/>
          <w:szCs w:val="16"/>
          <w:color w:val="auto"/>
        </w:rPr>
        <w:t>Pliant Therapeutics, Inc. (the “Company” or “Pliant” or “we” or “our” or “us”) is a clinical-stage biopharmaceutical company focused on discovering and developing integrin-based therapeutics. The Company is located in South San Francisco, California, and was incorporated in the state of Delaware in June 2015.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Bexotegrast in Idiopathic Pulmonary Fibrosis (IPF)</w:t>
      </w:r>
    </w:p>
    <w:p>
      <w:pPr>
        <w:spacing w:after="0" w:line="114"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In March 2025, we announced that we were discontinuing the BEACON-IPF Phase 2b trial following a prespecified data review and recommendation by the trial’s independent Data Safety Monitoring Board (“DSMB”), as well as a secondary review and recommendation by an outside expert panel, due to an imbalance in safety events between the treatment and placebo groups. In June 2025, we announced that we were discontinuing the development of bexotegrast in IPF as the results of BEACON-IPF demonstrated an unfavorable risk-benefit profile.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14" w:lineRule="exact"/>
        <w:rPr>
          <w:sz w:val="20"/>
          <w:szCs w:val="20"/>
          <w:color w:val="auto"/>
        </w:rPr>
      </w:pPr>
    </w:p>
    <w:p>
      <w:pPr>
        <w:ind w:right="200" w:firstLine="382"/>
        <w:spacing w:after="0" w:line="254" w:lineRule="auto"/>
        <w:rPr>
          <w:sz w:val="20"/>
          <w:szCs w:val="20"/>
          <w:color w:val="auto"/>
        </w:rPr>
      </w:pPr>
      <w:r>
        <w:rPr>
          <w:rFonts w:ascii="Times New Roman" w:cs="Times New Roman" w:eastAsia="Times New Roman" w:hAnsi="Times New Roman"/>
          <w:sz w:val="17"/>
          <w:szCs w:val="17"/>
          <w:color w:val="auto"/>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2026 are not necessarily indicative of the results to be expected for the year ending December 31, 2026 or for any other interim period or for any other future year.</w:t>
      </w:r>
    </w:p>
    <w:p>
      <w:pPr>
        <w:spacing w:after="0" w:line="77" w:lineRule="exact"/>
        <w:rPr>
          <w:sz w:val="20"/>
          <w:szCs w:val="20"/>
          <w:color w:val="auto"/>
        </w:rPr>
      </w:pPr>
    </w:p>
    <w:p>
      <w:pPr>
        <w:ind w:right="460" w:firstLine="382"/>
        <w:spacing w:after="0" w:line="279" w:lineRule="auto"/>
        <w:rPr>
          <w:sz w:val="20"/>
          <w:szCs w:val="20"/>
          <w:color w:val="auto"/>
        </w:rPr>
      </w:pPr>
      <w:r>
        <w:rPr>
          <w:rFonts w:ascii="Times New Roman" w:cs="Times New Roman" w:eastAsia="Times New Roman" w:hAnsi="Times New Roman"/>
          <w:sz w:val="17"/>
          <w:szCs w:val="17"/>
          <w:color w:val="auto"/>
        </w:rPr>
        <w:t>The financial information included herein should be read in conjunction with the audited financial statements and related notes in the Company’s Annual Report on Form 10-K for the year ended December 31, 2025, filed with the SEC on March 11, 2026 (the “2025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4" w:lineRule="exact"/>
        <w:rPr>
          <w:sz w:val="20"/>
          <w:szCs w:val="20"/>
          <w:color w:val="auto"/>
        </w:rPr>
      </w:pPr>
    </w:p>
    <w:p>
      <w:pPr>
        <w:ind w:right="120" w:firstLine="382"/>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14" w:lineRule="exact"/>
        <w:rPr>
          <w:sz w:val="20"/>
          <w:szCs w:val="20"/>
          <w:color w:val="auto"/>
        </w:rPr>
      </w:pPr>
    </w:p>
    <w:p>
      <w:pPr>
        <w:ind w:right="260" w:firstLine="382"/>
        <w:spacing w:after="0" w:line="279" w:lineRule="auto"/>
        <w:rPr>
          <w:sz w:val="20"/>
          <w:szCs w:val="20"/>
          <w:color w:val="auto"/>
        </w:rPr>
      </w:pPr>
      <w:r>
        <w:rPr>
          <w:rFonts w:ascii="Times New Roman" w:cs="Times New Roman" w:eastAsia="Times New Roman" w:hAnsi="Times New Roman"/>
          <w:sz w:val="17"/>
          <w:szCs w:val="17"/>
          <w:color w:val="auto"/>
        </w:rPr>
        <w:t>There have been no significant changes to the accounting policies during the three months ended March 31, 2026, as compared to the significant accounting policies described in Note 2 of the "Notes to the Financial Statements" in the Company's audited financial statements included in its 2025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Pronouncements Not Yet Adopted</w:t>
      </w:r>
    </w:p>
    <w:p>
      <w:pPr>
        <w:spacing w:after="0" w:line="114"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Financial Instruments</w:t>
      </w:r>
    </w:p>
    <w:p>
      <w:pPr>
        <w:spacing w:after="0" w:line="114"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for reasons including, but not limited to, managing liquidity, credit risk, duration and asset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1" w:name="page12"/>
    <w:bookmarkEnd w:id="11"/>
    <w:p>
      <w:pPr>
        <w:jc w:val="both"/>
        <w:ind w:right="260"/>
        <w:spacing w:after="0" w:line="264" w:lineRule="auto"/>
        <w:rPr>
          <w:sz w:val="20"/>
          <w:szCs w:val="20"/>
          <w:color w:val="auto"/>
        </w:rPr>
      </w:pPr>
      <w:r>
        <w:rPr>
          <w:rFonts w:ascii="Times New Roman" w:cs="Times New Roman" w:eastAsia="Times New Roman" w:hAnsi="Times New Roman"/>
          <w:sz w:val="17"/>
          <w:szCs w:val="17"/>
          <w:color w:val="auto"/>
        </w:rPr>
        <w:t>allocation and such investments represent cash available for current operations. As a result, short-term investments may include securities with maturities beyond twelve months that are classified within current assets in the condensed balance sheets. The Company’s short-term investments classified as available-for-sale are carried at fair market value with unrealized gains or losses recognized in the statements of operations and comprehensive loss.</w:t>
      </w:r>
    </w:p>
    <w:p>
      <w:pPr>
        <w:spacing w:after="0" w:line="68" w:lineRule="exact"/>
        <w:rPr>
          <w:sz w:val="20"/>
          <w:szCs w:val="20"/>
          <w:color w:val="auto"/>
        </w:rPr>
      </w:pPr>
    </w:p>
    <w:p>
      <w:pPr>
        <w:ind w:right="160" w:firstLine="382"/>
        <w:spacing w:after="0" w:line="281" w:lineRule="auto"/>
        <w:rPr>
          <w:sz w:val="20"/>
          <w:szCs w:val="20"/>
          <w:color w:val="auto"/>
        </w:rPr>
      </w:pPr>
      <w:r>
        <w:rPr>
          <w:rFonts w:ascii="Times New Roman" w:cs="Times New Roman" w:eastAsia="Times New Roman" w:hAnsi="Times New Roman"/>
          <w:sz w:val="16"/>
          <w:szCs w:val="16"/>
          <w:color w:val="auto"/>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There were no assets or liabilities recorded at fair value to the condensed balance sheets using Level 3 inputs as of March 31, 2026 and as of December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tables show the Company’s short-term investments and cash equivalents by significant investment category as of March 31, 2026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10"/>
        </w:trPr>
        <w:tc>
          <w:tcPr>
            <w:tcW w:w="2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120" w:type="dxa"/>
            <w:vAlign w:val="bottom"/>
          </w:tcPr>
          <w:p>
            <w:pPr>
              <w:spacing w:after="0"/>
              <w:rPr>
                <w:sz w:val="9"/>
                <w:szCs w:val="9"/>
                <w:color w:val="auto"/>
              </w:rPr>
            </w:pPr>
          </w:p>
        </w:tc>
        <w:tc>
          <w:tcPr>
            <w:tcW w:w="8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80" w:type="dxa"/>
            <w:vAlign w:val="bottom"/>
          </w:tcPr>
          <w:p>
            <w:pPr>
              <w:spacing w:after="0"/>
              <w:rPr>
                <w:sz w:val="9"/>
                <w:szCs w:val="9"/>
                <w:color w:val="auto"/>
              </w:rPr>
            </w:pPr>
          </w:p>
        </w:tc>
        <w:tc>
          <w:tcPr>
            <w:tcW w:w="740" w:type="dxa"/>
            <w:vAlign w:val="bottom"/>
          </w:tcPr>
          <w:p>
            <w:pPr>
              <w:jc w:val="center"/>
              <w:ind w:right="88"/>
              <w:spacing w:after="0" w:line="110"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180" w:type="dxa"/>
            <w:vAlign w:val="bottom"/>
          </w:tcPr>
          <w:p>
            <w:pPr>
              <w:spacing w:after="0"/>
              <w:rPr>
                <w:sz w:val="9"/>
                <w:szCs w:val="9"/>
                <w:color w:val="auto"/>
              </w:rPr>
            </w:pPr>
          </w:p>
        </w:tc>
        <w:tc>
          <w:tcPr>
            <w:tcW w:w="740" w:type="dxa"/>
            <w:vAlign w:val="bottom"/>
          </w:tcPr>
          <w:p>
            <w:pPr>
              <w:jc w:val="right"/>
              <w:ind w:right="188"/>
              <w:spacing w:after="0" w:line="110" w:lineRule="exact"/>
              <w:rPr>
                <w:sz w:val="20"/>
                <w:szCs w:val="20"/>
                <w:color w:val="auto"/>
              </w:rPr>
            </w:pPr>
            <w:r>
              <w:rPr>
                <w:rFonts w:ascii="Times New Roman" w:cs="Times New Roman" w:eastAsia="Times New Roman" w:hAnsi="Times New Roman"/>
                <w:sz w:val="12"/>
                <w:szCs w:val="12"/>
                <w:b w:val="1"/>
                <w:bCs w:val="1"/>
                <w:color w:val="auto"/>
              </w:rPr>
              <w:t>Market</w:t>
            </w:r>
          </w:p>
        </w:tc>
      </w:tr>
      <w:tr>
        <w:trPr>
          <w:trHeight w:val="158"/>
        </w:trPr>
        <w:tc>
          <w:tcPr>
            <w:tcW w:w="2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6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Pr>
          <w:p>
            <w:pPr>
              <w:spacing w:after="0"/>
              <w:rPr>
                <w:sz w:val="13"/>
                <w:szCs w:val="13"/>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Value</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Money Market Funds</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Level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24,811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24,811</w:t>
            </w:r>
          </w:p>
        </w:tc>
      </w:tr>
      <w:tr>
        <w:trPr>
          <w:trHeight w:val="20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 Treasury securities</w:t>
            </w:r>
          </w:p>
        </w:tc>
        <w:tc>
          <w:tcPr>
            <w:tcW w:w="8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Level 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8,064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8,065</w:t>
            </w:r>
          </w:p>
        </w:tc>
      </w:tr>
      <w:tr>
        <w:trPr>
          <w:trHeight w:val="20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Government agency securities</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Level 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1,001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w:t>
            </w:r>
          </w:p>
        </w:tc>
      </w:tr>
      <w:tr>
        <w:trPr>
          <w:trHeight w:val="20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8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2"/>
                <w:szCs w:val="12"/>
                <w:color w:val="auto"/>
              </w:rPr>
              <w:t>Level 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126,925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126,653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color w:val="auto"/>
              </w:rPr>
              <w:t>139,941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139,925</w:t>
            </w:r>
          </w:p>
        </w:tc>
      </w:tr>
      <w:tr>
        <w:trPr>
          <w:trHeight w:val="219"/>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financial assets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173,817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173,802</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180" w:type="dxa"/>
            <w:vAlign w:val="bottom"/>
          </w:tcPr>
          <w:p>
            <w:pPr>
              <w:spacing w:after="0"/>
              <w:rPr>
                <w:sz w:val="9"/>
                <w:szCs w:val="9"/>
                <w:color w:val="auto"/>
              </w:rPr>
            </w:pPr>
          </w:p>
        </w:tc>
        <w:tc>
          <w:tcPr>
            <w:tcW w:w="780" w:type="dxa"/>
            <w:vAlign w:val="bottom"/>
          </w:tcPr>
          <w:p>
            <w:pPr>
              <w:jc w:val="center"/>
              <w:ind w:right="130"/>
              <w:spacing w:after="0" w:line="110"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200" w:type="dxa"/>
            <w:vAlign w:val="bottom"/>
          </w:tcPr>
          <w:p>
            <w:pPr>
              <w:spacing w:after="0"/>
              <w:rPr>
                <w:sz w:val="9"/>
                <w:szCs w:val="9"/>
                <w:color w:val="auto"/>
              </w:rPr>
            </w:pPr>
          </w:p>
        </w:tc>
        <w:tc>
          <w:tcPr>
            <w:tcW w:w="760" w:type="dxa"/>
            <w:vAlign w:val="bottom"/>
          </w:tcPr>
          <w:p>
            <w:pPr>
              <w:jc w:val="right"/>
              <w:ind w:right="210"/>
              <w:spacing w:after="0" w:line="110" w:lineRule="exact"/>
              <w:rPr>
                <w:sz w:val="20"/>
                <w:szCs w:val="20"/>
                <w:color w:val="auto"/>
              </w:rPr>
            </w:pPr>
            <w:r>
              <w:rPr>
                <w:rFonts w:ascii="Times New Roman" w:cs="Times New Roman" w:eastAsia="Times New Roman" w:hAnsi="Times New Roman"/>
                <w:sz w:val="12"/>
                <w:szCs w:val="12"/>
                <w:b w:val="1"/>
                <w:bCs w:val="1"/>
                <w:color w:val="auto"/>
              </w:rPr>
              <w:t>Market</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0" w:type="dxa"/>
            <w:vAlign w:val="bottom"/>
          </w:tcPr>
          <w:p>
            <w:pPr>
              <w:spacing w:after="0"/>
              <w:rPr>
                <w:sz w:val="13"/>
                <w:szCs w:val="13"/>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Classified as: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13,747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28,303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28,303</w:t>
            </w:r>
          </w:p>
        </w:tc>
        <w:tc>
          <w:tcPr>
            <w:tcW w:w="0" w:type="dxa"/>
            <w:vAlign w:val="bottom"/>
          </w:tcPr>
          <w:p>
            <w:pPr>
              <w:spacing w:after="0"/>
              <w:rPr>
                <w:sz w:val="1"/>
                <w:szCs w:val="1"/>
                <w:color w:val="auto"/>
              </w:rPr>
            </w:pPr>
          </w:p>
        </w:tc>
      </w:tr>
      <w:tr>
        <w:trPr>
          <w:trHeight w:val="201"/>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rPr>
              <w:t>148,702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rPr>
              <w:t>145,514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145,499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162,449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173,817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173,802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right="100" w:firstLine="382"/>
        <w:spacing w:after="0" w:line="264" w:lineRule="auto"/>
        <w:rPr>
          <w:sz w:val="20"/>
          <w:szCs w:val="20"/>
          <w:color w:val="auto"/>
        </w:rPr>
      </w:pPr>
      <w:r>
        <w:rPr>
          <w:rFonts w:ascii="Times New Roman" w:cs="Times New Roman" w:eastAsia="Times New Roman" w:hAnsi="Times New Roman"/>
          <w:sz w:val="17"/>
          <w:szCs w:val="17"/>
          <w:color w:val="auto"/>
        </w:rPr>
        <w:t>There were no liabilities measured at fair value on a recurring basis as of March 31, 2026 and December 31, 2025. The Company evaluates transfers between levels at the end of each reporting period and there have been no transfers between fair value measurement levels during the three months ended March 31, 2026. In addition, there were no assets or liabilities measured at fair value on a non-recurring basis as of March 31, 2026 and December 31, 2025.</w:t>
      </w:r>
    </w:p>
    <w:p>
      <w:pPr>
        <w:spacing w:after="0" w:line="170" w:lineRule="exact"/>
        <w:rPr>
          <w:sz w:val="20"/>
          <w:szCs w:val="20"/>
          <w:color w:val="auto"/>
        </w:rPr>
      </w:pPr>
    </w:p>
    <w:p>
      <w:pPr>
        <w:ind w:right="120" w:firstLine="382"/>
        <w:spacing w:after="0" w:line="279" w:lineRule="auto"/>
        <w:rPr>
          <w:sz w:val="20"/>
          <w:szCs w:val="20"/>
          <w:color w:val="auto"/>
        </w:rPr>
      </w:pPr>
      <w:r>
        <w:rPr>
          <w:rFonts w:ascii="Times New Roman" w:cs="Times New Roman" w:eastAsia="Times New Roman" w:hAnsi="Times New Roman"/>
          <w:sz w:val="17"/>
          <w:szCs w:val="17"/>
          <w:color w:val="auto"/>
        </w:rPr>
        <w:t>The Company records interest income, accretion income and amortization expense on short-term investments to interest and other income (expense), net in its condensed statement of operations and comprehensive loss.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4. Property and Equipment, net</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00" w:type="dxa"/>
            <w:vAlign w:val="bottom"/>
          </w:tcPr>
          <w:p>
            <w:pPr>
              <w:spacing w:after="0"/>
              <w:rPr>
                <w:sz w:val="17"/>
                <w:szCs w:val="17"/>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Construction-in-progress</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0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13,809</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(10,869)</w:t>
            </w:r>
          </w:p>
        </w:tc>
      </w:tr>
      <w:tr>
        <w:trPr>
          <w:trHeight w:val="20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Depreciation expense was $0.3 million and $0.4 million for the three months ended March 31, 2026 and 2025, respectively.</w:t>
      </w:r>
    </w:p>
    <w:p>
      <w:pPr>
        <w:spacing w:after="0" w:line="110" w:lineRule="exact"/>
        <w:rPr>
          <w:sz w:val="20"/>
          <w:szCs w:val="20"/>
          <w:color w:val="auto"/>
        </w:rPr>
      </w:pPr>
    </w:p>
    <w:p>
      <w:pPr>
        <w:jc w:val="both"/>
        <w:ind w:right="120" w:firstLine="382"/>
        <w:spacing w:after="0" w:line="256" w:lineRule="auto"/>
        <w:rPr>
          <w:sz w:val="20"/>
          <w:szCs w:val="20"/>
          <w:color w:val="auto"/>
        </w:rPr>
      </w:pPr>
      <w:r>
        <w:rPr>
          <w:rFonts w:ascii="Times New Roman" w:cs="Times New Roman" w:eastAsia="Times New Roman" w:hAnsi="Times New Roman"/>
          <w:sz w:val="17"/>
          <w:szCs w:val="17"/>
          <w:color w:val="auto"/>
        </w:rPr>
        <w:t>In the fourth quarter of 2025, the Company committed to a plan to sell certain laboratory equipment that was no longer required following the restructuring of operations initiated May 1, 2025. Management determined that the assets met the criteria for classification as held for sale in accordance with ASC 360, "Property, Plant and Equipment."</w:t>
      </w:r>
    </w:p>
    <w:p>
      <w:pPr>
        <w:spacing w:after="0" w:line="62"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7"/>
          <w:szCs w:val="17"/>
          <w:color w:val="auto"/>
        </w:rPr>
        <w:t>The Company intended to divest these assets as part of their strategic realignment of resources, focusing on the development of PLN-101095 and the drug discovery platform. The assets were measured at the lower of their carrying value or fair value less cost to sell, and reclassified to "Property and equipment held for sale" within current assets on the Balance Sheets as of December 31, 2025. Depreciation ceased to be recognized on the assets after the date of its held-for-sale classification.</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Laboratory equipment held for sale: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 held for sale</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held for sale</w:t>
            </w:r>
          </w:p>
        </w:tc>
        <w:tc>
          <w:tcPr>
            <w:tcW w:w="1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Prepaid Expenses and Other Current Assets</w:t>
            </w:r>
          </w:p>
        </w:tc>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0" w:type="dxa"/>
            <w:vAlign w:val="bottom"/>
          </w:tcPr>
          <w:p>
            <w:pPr>
              <w:spacing w:after="0"/>
              <w:rPr>
                <w:sz w:val="1"/>
                <w:szCs w:val="1"/>
                <w:color w:val="auto"/>
              </w:rPr>
            </w:pP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licenses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research and development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2,114</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4,464</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Accrued Liabilities</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0" w:type="dxa"/>
            <w:vAlign w:val="bottom"/>
          </w:tcPr>
          <w:p>
            <w:pPr>
              <w:spacing w:after="0"/>
              <w:rPr>
                <w:sz w:val="1"/>
                <w:szCs w:val="1"/>
                <w:color w:val="auto"/>
              </w:rPr>
            </w:pP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8,298</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34"/>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9,634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3" w:name="page14"/>
    <w:bookmarkEnd w:id="13"/>
    <w:p>
      <w:pPr>
        <w:ind w:right="160" w:firstLine="382"/>
        <w:spacing w:after="0" w:line="279" w:lineRule="auto"/>
        <w:rPr>
          <w:sz w:val="20"/>
          <w:szCs w:val="20"/>
          <w:color w:val="auto"/>
        </w:rPr>
      </w:pPr>
      <w:r>
        <w:rPr>
          <w:rFonts w:ascii="Times New Roman" w:cs="Times New Roman" w:eastAsia="Times New Roman" w:hAnsi="Times New Roman"/>
          <w:sz w:val="17"/>
          <w:szCs w:val="17"/>
          <w:color w:val="auto"/>
        </w:rPr>
        <w:t>Accrued compensation and benefits consist primarily of accrued bonuses and accrued vacation. As of December 31, 2025, the amount also included accrued severance costs of $2.5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Long-term Debt</w:t>
      </w:r>
    </w:p>
    <w:p>
      <w:pPr>
        <w:spacing w:after="0" w:line="114" w:lineRule="exact"/>
        <w:rPr>
          <w:sz w:val="20"/>
          <w:szCs w:val="20"/>
          <w:color w:val="auto"/>
        </w:rPr>
      </w:pPr>
    </w:p>
    <w:p>
      <w:pPr>
        <w:ind w:right="140" w:firstLine="382"/>
        <w:spacing w:after="0" w:line="288" w:lineRule="auto"/>
        <w:rPr>
          <w:sz w:val="20"/>
          <w:szCs w:val="20"/>
          <w:color w:val="auto"/>
        </w:rPr>
      </w:pPr>
      <w:r>
        <w:rPr>
          <w:rFonts w:ascii="Times New Roman" w:cs="Times New Roman" w:eastAsia="Times New Roman" w:hAnsi="Times New Roman"/>
          <w:sz w:val="16"/>
          <w:szCs w:val="16"/>
          <w:color w:val="auto"/>
        </w:rPr>
        <w:t>In March 2024 we entered into an Amended and Restated Loan and Security Agreement (the “Amended Loan Agreement”) with Oxford Finance LLC (“Oxford”) to borrow a series of term loans up to an aggregate principal amount of $150.0 million. Pursuant to the Amended Loan Agreement, we drew an initial term loan of $30.0 million, inclusive of $10.0 million in principal amount previously outstanding under the initial Oxford Loan Agreement executed in May 2022.</w:t>
      </w:r>
    </w:p>
    <w:p>
      <w:pPr>
        <w:spacing w:after="0" w:line="51" w:lineRule="exact"/>
        <w:rPr>
          <w:sz w:val="20"/>
          <w:szCs w:val="20"/>
          <w:color w:val="auto"/>
        </w:rPr>
      </w:pPr>
    </w:p>
    <w:p>
      <w:pPr>
        <w:ind w:right="480" w:firstLine="382"/>
        <w:spacing w:after="0" w:line="279" w:lineRule="auto"/>
        <w:rPr>
          <w:sz w:val="20"/>
          <w:szCs w:val="20"/>
          <w:color w:val="auto"/>
        </w:rPr>
      </w:pPr>
      <w:r>
        <w:rPr>
          <w:rFonts w:ascii="Times New Roman" w:cs="Times New Roman" w:eastAsia="Times New Roman" w:hAnsi="Times New Roman"/>
          <w:sz w:val="17"/>
          <w:szCs w:val="17"/>
          <w:color w:val="auto"/>
        </w:rPr>
        <w:t>In October 2025, we made a full voluntary prepayment of $32.4 million to extinguish outstanding term loans. Upon prepayment, the term loans, related security interests, and all other obligations, covenants, debts and liabilities under the Amended Loan Agreement were satisfied and discharged in full.</w:t>
      </w:r>
    </w:p>
    <w:p>
      <w:pPr>
        <w:spacing w:after="0" w:line="55" w:lineRule="exact"/>
        <w:rPr>
          <w:sz w:val="20"/>
          <w:szCs w:val="20"/>
          <w:color w:val="auto"/>
        </w:rPr>
      </w:pPr>
    </w:p>
    <w:p>
      <w:pPr>
        <w:ind w:right="420" w:firstLine="382"/>
        <w:spacing w:after="0" w:line="279" w:lineRule="auto"/>
        <w:rPr>
          <w:sz w:val="20"/>
          <w:szCs w:val="20"/>
          <w:color w:val="auto"/>
        </w:rPr>
      </w:pPr>
      <w:r>
        <w:rPr>
          <w:rFonts w:ascii="Times New Roman" w:cs="Times New Roman" w:eastAsia="Times New Roman" w:hAnsi="Times New Roman"/>
          <w:sz w:val="17"/>
          <w:szCs w:val="17"/>
          <w:color w:val="auto"/>
        </w:rPr>
        <w:t>There was no debt outstanding nor interest expense incurred during the three months ended March 31, 2026. Interest expense for the three months ended March 31, 2025 was $0.8 million.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Preferred Stock</w:t>
      </w:r>
    </w:p>
    <w:p>
      <w:pPr>
        <w:spacing w:after="0" w:line="114" w:lineRule="exact"/>
        <w:rPr>
          <w:sz w:val="20"/>
          <w:szCs w:val="20"/>
          <w:color w:val="auto"/>
        </w:rPr>
      </w:pPr>
    </w:p>
    <w:p>
      <w:pPr>
        <w:ind w:right="200" w:firstLine="382"/>
        <w:spacing w:after="0" w:line="257" w:lineRule="auto"/>
        <w:rPr>
          <w:sz w:val="20"/>
          <w:szCs w:val="20"/>
          <w:color w:val="auto"/>
        </w:rPr>
      </w:pPr>
      <w:r>
        <w:rPr>
          <w:rFonts w:ascii="Times New Roman" w:cs="Times New Roman" w:eastAsia="Times New Roman" w:hAnsi="Times New Roman"/>
          <w:sz w:val="17"/>
          <w:szCs w:val="17"/>
          <w:color w:val="auto"/>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March 31, 2026 and December 31, 2025, the Company was authorized to issue 10,000,000 shares of preferred stock and there was no outstanding preferred stock as of March 31, 2026 and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Common Stock</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March 31, 2026 and December 31, 2025, the Company was authorized to issue 300,000,000 shares of common stock at a par value of $0.0001 per share.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Common Stock has the following rights and privileges: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pacing w:after="0" w:line="114" w:lineRule="exact"/>
        <w:rPr>
          <w:sz w:val="20"/>
          <w:szCs w:val="20"/>
          <w:color w:val="auto"/>
        </w:rPr>
      </w:pPr>
    </w:p>
    <w:p>
      <w:pPr>
        <w:ind w:right="300" w:firstLine="382"/>
        <w:spacing w:after="0" w:line="279" w:lineRule="auto"/>
        <w:rPr>
          <w:sz w:val="20"/>
          <w:szCs w:val="20"/>
          <w:color w:val="auto"/>
        </w:rPr>
      </w:pPr>
      <w:r>
        <w:rPr>
          <w:rFonts w:ascii="Times New Roman" w:cs="Times New Roman" w:eastAsia="Times New Roman" w:hAnsi="Times New Roman"/>
          <w:sz w:val="17"/>
          <w:szCs w:val="17"/>
          <w:color w:val="auto"/>
        </w:rPr>
        <w:t>The holders of shares of common stock are entitled to one vote for each share of common stock held at any meeting of stockholders and at the time of any written action in lieu of a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4" w:lineRule="exact"/>
        <w:rPr>
          <w:sz w:val="20"/>
          <w:szCs w:val="20"/>
          <w:color w:val="auto"/>
        </w:rPr>
      </w:pPr>
    </w:p>
    <w:p>
      <w:pPr>
        <w:ind w:right="280" w:firstLine="382"/>
        <w:spacing w:after="0" w:line="288" w:lineRule="auto"/>
        <w:rPr>
          <w:sz w:val="20"/>
          <w:szCs w:val="20"/>
          <w:color w:val="auto"/>
        </w:rPr>
      </w:pPr>
      <w:r>
        <w:rPr>
          <w:rFonts w:ascii="Times New Roman" w:cs="Times New Roman" w:eastAsia="Times New Roman" w:hAnsi="Times New Roman"/>
          <w:sz w:val="16"/>
          <w:szCs w:val="16"/>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Amended Loan Agreement restrict our ability to declare and pay dividends.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114"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7"/>
          <w:szCs w:val="17"/>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reserved for future issuance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r>
      <w:tr>
        <w:trPr>
          <w:trHeight w:val="212"/>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stock option awards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11,368,230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7,456,066</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557,456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858,247</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available for future grants under the 2020 Stock Option and Incentive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6,893,636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7,832,167</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available for future issuance under the 2020 Employee Stock Purchase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1,626,484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1,692,136</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available for future grants under the 2022 Inducement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1,425,000</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1,425,000</w:t>
            </w:r>
          </w:p>
        </w:tc>
      </w:tr>
      <w:tr>
        <w:trPr>
          <w:trHeight w:val="209"/>
        </w:trPr>
        <w:tc>
          <w:tcPr>
            <w:tcW w:w="7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shares reserved for future issuance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21,870,806</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19,263,616</w:t>
            </w:r>
          </w:p>
        </w:tc>
      </w:tr>
      <w:tr>
        <w:trPr>
          <w:trHeight w:val="20"/>
        </w:trPr>
        <w:tc>
          <w:tcPr>
            <w:tcW w:w="7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Stockholder Rights Agreement</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1" w:right="419" w:bottom="1440" w:gutter="0" w:footer="0" w:header="0"/>
        </w:sectPr>
      </w:pPr>
    </w:p>
    <w:bookmarkStart w:id="14" w:name="page15"/>
    <w:bookmarkEnd w:id="14"/>
    <w:p>
      <w:pPr>
        <w:ind w:firstLine="382"/>
        <w:spacing w:after="0" w:line="253" w:lineRule="auto"/>
        <w:rPr>
          <w:sz w:val="20"/>
          <w:szCs w:val="20"/>
          <w:color w:val="auto"/>
        </w:rPr>
      </w:pPr>
      <w:r>
        <w:rPr>
          <w:rFonts w:ascii="Times New Roman" w:cs="Times New Roman" w:eastAsia="Times New Roman" w:hAnsi="Times New Roman"/>
          <w:sz w:val="17"/>
          <w:szCs w:val="17"/>
          <w:color w:val="auto"/>
        </w:rPr>
        <w:t>On March 12, 2025, the Company's board of directors adopted the Rights Plan and declared a dividend of one right (each, a “Right”) for each outstanding share of our common stock to stockholders of record at the close of business on March 25, 2025. Each Right entitles its holder, subject to the terms of the Rights Plan, to purchase from the Company one one-thousandth of a share of Series A Junior Participating Preferred Stock, par value $0.0001 per share, of the Company at an exercise price of $12.64 per Right, subject to adjustment. The description and terms of the Rights are set forth in the Rights Plan, dated as of March 12, 2025, by and between the Company and Computershare Trust Company, N.A., a federally chartered trust company, as rights agent. Subject to certain exceptions, Rights become exercisable and trade separately from our common stock only upon the earlier of (i) the close of business on the tenth business day following the public announcement of an Acquiring Person (as defined in the Rights Plan) beneficially owning 20%, when referring to a passive investor, and 10%, when referring to a person that is not a passive investor, or more of our common stock, and (ii) the close of business on the tenth business day after the commencement of a tender offer or exchange offer that, if consummated, would result in a person or group becoming an Acquiring Person. On March 3, 2026, the Company entered into an Amendment to the Stockholder Rights Agreement to extend the expiration time of the Rights for one year from March 11, 2026 to March 11, 2027, unless the Rights are earlier redeemed, exchanged, or terminated in accordance with the terms and conditions of the Rights Agreement.</w:t>
      </w:r>
    </w:p>
    <w:p>
      <w:pPr>
        <w:spacing w:after="0" w:line="76"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The Rights Plan is intended to reduce the likelihood that any entity, person or group is able to gain control of the Company through open market accumulation without paying all stockholders an appropriate control premium or providing the board of directors sufficient opportunity to make informed judgments and take actions that are in the best interests of the Company and all stockholders. The Rights Plan is not intended to interfere with any merger or other business combination approved by the board of directors.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Equity Incentive Plans and Stock-Based Compensation</w:t>
      </w:r>
    </w:p>
    <w:p>
      <w:pPr>
        <w:spacing w:after="0" w:line="114"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spacing w:after="0" w:line="74" w:lineRule="exact"/>
        <w:rPr>
          <w:sz w:val="20"/>
          <w:szCs w:val="20"/>
          <w:color w:val="auto"/>
        </w:rPr>
      </w:pPr>
    </w:p>
    <w:p>
      <w:pPr>
        <w:ind w:right="80" w:firstLine="382"/>
        <w:spacing w:after="0" w:line="279" w:lineRule="auto"/>
        <w:rPr>
          <w:sz w:val="20"/>
          <w:szCs w:val="20"/>
          <w:color w:val="auto"/>
        </w:rPr>
      </w:pPr>
      <w:r>
        <w:rPr>
          <w:rFonts w:ascii="Times New Roman" w:cs="Times New Roman" w:eastAsia="Times New Roman" w:hAnsi="Times New Roman"/>
          <w:sz w:val="17"/>
          <w:szCs w:val="17"/>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spacing w:after="0" w:line="55" w:lineRule="exact"/>
        <w:rPr>
          <w:sz w:val="20"/>
          <w:szCs w:val="20"/>
          <w:color w:val="auto"/>
        </w:rPr>
      </w:pPr>
    </w:p>
    <w:p>
      <w:pPr>
        <w:ind w:right="120" w:firstLine="382"/>
        <w:spacing w:after="0" w:line="279" w:lineRule="auto"/>
        <w:rPr>
          <w:sz w:val="20"/>
          <w:szCs w:val="20"/>
          <w:color w:val="auto"/>
        </w:rPr>
      </w:pPr>
      <w:r>
        <w:rPr>
          <w:rFonts w:ascii="Times New Roman" w:cs="Times New Roman" w:eastAsia="Times New Roman" w:hAnsi="Times New Roman"/>
          <w:sz w:val="17"/>
          <w:szCs w:val="17"/>
          <w:color w:val="auto"/>
        </w:rPr>
        <w:t>In 2022, the board of directors adopted the 2022 Inducement Plan (the “2022 Plan”), under which the Company may grant nonqualified stock options or other awards including stock appreciation rights and restricted stock awards.</w:t>
      </w:r>
    </w:p>
    <w:p>
      <w:pPr>
        <w:spacing w:after="0" w:line="55"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7"/>
          <w:szCs w:val="17"/>
          <w:color w:val="auto"/>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Incentive Stock Options and Nonqualified Stock Options</w:t>
      </w:r>
    </w:p>
    <w:p>
      <w:pPr>
        <w:spacing w:after="0" w:line="114" w:lineRule="exact"/>
        <w:rPr>
          <w:sz w:val="20"/>
          <w:szCs w:val="20"/>
          <w:color w:val="auto"/>
        </w:rPr>
      </w:pPr>
    </w:p>
    <w:p>
      <w:pPr>
        <w:ind w:right="400" w:firstLine="382"/>
        <w:spacing w:after="0" w:line="279" w:lineRule="auto"/>
        <w:rPr>
          <w:sz w:val="20"/>
          <w:szCs w:val="20"/>
          <w:color w:val="auto"/>
        </w:rPr>
      </w:pPr>
      <w:r>
        <w:rPr>
          <w:rFonts w:ascii="Times New Roman" w:cs="Times New Roman" w:eastAsia="Times New Roman" w:hAnsi="Times New Roman"/>
          <w:sz w:val="17"/>
          <w:szCs w:val="17"/>
          <w:color w:val="auto"/>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spacing w:after="0" w:line="55" w:lineRule="exact"/>
        <w:rPr>
          <w:sz w:val="20"/>
          <w:szCs w:val="20"/>
          <w:color w:val="auto"/>
        </w:rPr>
      </w:pPr>
    </w:p>
    <w:p>
      <w:pPr>
        <w:ind w:right="920" w:firstLine="382"/>
        <w:spacing w:after="0" w:line="279" w:lineRule="auto"/>
        <w:rPr>
          <w:sz w:val="20"/>
          <w:szCs w:val="20"/>
          <w:color w:val="auto"/>
        </w:rPr>
      </w:pPr>
      <w:r>
        <w:rPr>
          <w:rFonts w:ascii="Times New Roman" w:cs="Times New Roman" w:eastAsia="Times New Roman" w:hAnsi="Times New Roman"/>
          <w:sz w:val="17"/>
          <w:szCs w:val="17"/>
          <w:color w:val="auto"/>
        </w:rPr>
        <w:t>The Company used Black-Scholes option pricing model to estimate stock-based compensation expense for stock option awards with the following assumptions: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40" w:type="dxa"/>
            <w:vAlign w:val="bottom"/>
            <w:gridSpan w:val="5"/>
          </w:tcPr>
          <w:p>
            <w:pPr>
              <w:ind w:left="9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12"/>
        </w:trPr>
        <w:tc>
          <w:tcPr>
            <w:tcW w:w="40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00" w:type="dxa"/>
            <w:vAlign w:val="bottom"/>
            <w:tcBorders>
              <w:top w:val="single" w:sz="8" w:color="auto"/>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18"/>
                <w:szCs w:val="18"/>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318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87.39%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- 86.99%</w:t>
            </w:r>
          </w:p>
        </w:tc>
        <w:tc>
          <w:tcPr>
            <w:tcW w:w="1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080" w:type="dxa"/>
            <w:vAlign w:val="bottom"/>
            <w:gridSpan w:val="2"/>
          </w:tcPr>
          <w:p>
            <w:pPr>
              <w:jc w:val="center"/>
              <w:ind w:left="3115"/>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- 4.45%</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w:t>
            </w:r>
          </w:p>
        </w:tc>
        <w:tc>
          <w:tcPr>
            <w:tcW w:w="3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080" w:type="dxa"/>
            <w:vAlign w:val="bottom"/>
            <w:gridSpan w:val="2"/>
          </w:tcPr>
          <w:p>
            <w:pPr>
              <w:jc w:val="center"/>
              <w:ind w:left="3095"/>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- 6.08</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Underlying common stock fair value</w:t>
            </w:r>
          </w:p>
        </w:tc>
        <w:tc>
          <w:tcPr>
            <w:tcW w:w="5080" w:type="dxa"/>
            <w:vAlign w:val="bottom"/>
            <w:gridSpan w:val="2"/>
            <w:shd w:val="clear" w:color="auto" w:fill="CCEEFF"/>
          </w:tcPr>
          <w:p>
            <w:pPr>
              <w:jc w:val="center"/>
              <w:ind w:left="3095"/>
              <w:spacing w:after="0"/>
              <w:rPr>
                <w:sz w:val="20"/>
                <w:szCs w:val="20"/>
                <w:color w:val="auto"/>
              </w:rPr>
            </w:pPr>
            <w:r>
              <w:rPr>
                <w:rFonts w:ascii="Times New Roman" w:cs="Times New Roman" w:eastAsia="Times New Roman" w:hAnsi="Times New Roman"/>
                <w:sz w:val="17"/>
                <w:szCs w:val="17"/>
                <w:color w:val="auto"/>
                <w:w w:val="99"/>
              </w:rPr>
              <w:t>$1.30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$1.54 - $12.63</w:t>
            </w:r>
          </w:p>
        </w:tc>
        <w:tc>
          <w:tcPr>
            <w:tcW w:w="160" w:type="dxa"/>
            <w:vAlign w:val="bottom"/>
          </w:tcPr>
          <w:p>
            <w:pPr>
              <w:spacing w:after="0"/>
              <w:rPr>
                <w:sz w:val="18"/>
                <w:szCs w:val="18"/>
                <w:color w:val="auto"/>
              </w:rPr>
            </w:pPr>
          </w:p>
        </w:tc>
      </w:tr>
      <w:tr>
        <w:trPr>
          <w:trHeight w:val="814"/>
        </w:trPr>
        <w:tc>
          <w:tcPr>
            <w:tcW w:w="4020" w:type="dxa"/>
            <w:vAlign w:val="bottom"/>
          </w:tcPr>
          <w:p>
            <w:pPr>
              <w:spacing w:after="0"/>
              <w:rPr>
                <w:sz w:val="24"/>
                <w:szCs w:val="24"/>
                <w:color w:val="auto"/>
              </w:rPr>
            </w:pPr>
          </w:p>
        </w:tc>
        <w:tc>
          <w:tcPr>
            <w:tcW w:w="3180" w:type="dxa"/>
            <w:vAlign w:val="bottom"/>
          </w:tcPr>
          <w:p>
            <w:pPr>
              <w:jc w:val="right"/>
              <w:ind w:right="1415"/>
              <w:spacing w:after="0"/>
              <w:rPr>
                <w:sz w:val="20"/>
                <w:szCs w:val="20"/>
                <w:color w:val="auto"/>
              </w:rPr>
            </w:pPr>
            <w:r>
              <w:rPr>
                <w:rFonts w:ascii="Times New Roman" w:cs="Times New Roman" w:eastAsia="Times New Roman" w:hAnsi="Times New Roman"/>
                <w:sz w:val="17"/>
                <w:szCs w:val="17"/>
                <w:color w:val="auto"/>
              </w:rPr>
              <w:t>15</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8"/>
        </w:trPr>
        <w:tc>
          <w:tcPr>
            <w:tcW w:w="40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17"/>
          <w:szCs w:val="17"/>
          <w:color w:val="auto"/>
        </w:rPr>
        <w:t>A summary of option activity under the 2015 Plan, 2020 Plan and 2022 Plan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5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00" w:type="dxa"/>
            <w:vAlign w:val="bottom"/>
          </w:tcPr>
          <w:p>
            <w:pPr>
              <w:spacing w:after="0"/>
              <w:rPr>
                <w:sz w:val="12"/>
                <w:szCs w:val="12"/>
                <w:color w:val="auto"/>
              </w:rPr>
            </w:pPr>
          </w:p>
        </w:tc>
        <w:tc>
          <w:tcPr>
            <w:tcW w:w="14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1520" w:type="dxa"/>
            <w:vAlign w:val="bottom"/>
            <w:gridSpan w:val="2"/>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260" w:type="dxa"/>
            <w:vAlign w:val="bottom"/>
          </w:tcPr>
          <w:p>
            <w:pPr>
              <w:spacing w:after="0"/>
              <w:rPr>
                <w:sz w:val="12"/>
                <w:szCs w:val="12"/>
                <w:color w:val="auto"/>
              </w:rPr>
            </w:pPr>
          </w:p>
        </w:tc>
        <w:tc>
          <w:tcPr>
            <w:tcW w:w="1160" w:type="dxa"/>
            <w:vAlign w:val="bottom"/>
          </w:tcPr>
          <w:p>
            <w:pPr>
              <w:jc w:val="center"/>
              <w:ind w:right="182"/>
              <w:spacing w:after="0" w:line="140"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Price per Share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(in Years)</w:t>
            </w:r>
          </w:p>
        </w:tc>
        <w:tc>
          <w:tcPr>
            <w:tcW w:w="26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7,456,066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4,642,500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(730,336)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11,368,230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as of March 31, 2026</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0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5,178,672</w:t>
            </w:r>
          </w:p>
        </w:tc>
        <w:tc>
          <w:tcPr>
            <w:tcW w:w="2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15.17</w:t>
            </w:r>
          </w:p>
        </w:tc>
        <w:tc>
          <w:tcPr>
            <w:tcW w:w="120" w:type="dxa"/>
            <w:vAlign w:val="bottom"/>
          </w:tcPr>
          <w:p>
            <w:pPr>
              <w:spacing w:after="0"/>
              <w:rPr>
                <w:sz w:val="16"/>
                <w:szCs w:val="16"/>
                <w:color w:val="auto"/>
              </w:rPr>
            </w:pPr>
          </w:p>
        </w:tc>
        <w:tc>
          <w:tcPr>
            <w:tcW w:w="14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5.55</w:t>
            </w:r>
          </w:p>
        </w:tc>
        <w:tc>
          <w:tcPr>
            <w:tcW w:w="100" w:type="dxa"/>
            <w:vAlign w:val="bottom"/>
          </w:tcPr>
          <w:p>
            <w:pPr>
              <w:spacing w:after="0"/>
              <w:rPr>
                <w:sz w:val="16"/>
                <w:szCs w:val="16"/>
                <w:color w:val="auto"/>
              </w:rPr>
            </w:pPr>
          </w:p>
        </w:tc>
        <w:tc>
          <w:tcPr>
            <w:tcW w:w="260" w:type="dxa"/>
            <w:vAlign w:val="bottom"/>
          </w:tcPr>
          <w:p>
            <w:pPr>
              <w:jc w:val="right"/>
              <w:ind w:right="7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9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11,368,230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7"/>
          <w:szCs w:val="17"/>
          <w:color w:val="auto"/>
        </w:rPr>
        <w:t>As of March 31, 2026, there were $20.0 million of unrecognized compensation costs that are expected to be recognized over the weighted-average period of 3.28 years related to stock options. Aggregate intrinsic value represents the difference between the fair value of the underlying common stock and the exercise price as of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service-based condition for restricted stock units (“RSUs”) is generally satisfied over three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Restricted Stock Units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and outstanding as of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Released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(399,627)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and outstanding as of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557,456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80" w:firstLine="382"/>
        <w:spacing w:after="0" w:line="279" w:lineRule="auto"/>
        <w:rPr>
          <w:sz w:val="20"/>
          <w:szCs w:val="20"/>
          <w:color w:val="auto"/>
        </w:rPr>
      </w:pPr>
      <w:r>
        <w:rPr>
          <w:rFonts w:ascii="Times New Roman" w:cs="Times New Roman" w:eastAsia="Times New Roman" w:hAnsi="Times New Roman"/>
          <w:sz w:val="17"/>
          <w:szCs w:val="17"/>
          <w:color w:val="auto"/>
        </w:rPr>
        <w:t>As of March 31, 2026, the Company had $4.7 million of unrecognized stock-based compensation expense related to outstanding RSUs expected to be recognized over a weighted-average period of 1.96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2020 Employee Stock Purchase Plan</w:t>
      </w:r>
    </w:p>
    <w:p>
      <w:pPr>
        <w:spacing w:after="0" w:line="114"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7"/>
          <w:szCs w:val="17"/>
          <w:color w:val="auto"/>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73" w:lineRule="exact"/>
        <w:rPr>
          <w:sz w:val="20"/>
          <w:szCs w:val="20"/>
          <w:color w:val="auto"/>
        </w:rPr>
      </w:pPr>
    </w:p>
    <w:p>
      <w:pPr>
        <w:ind w:right="60" w:firstLine="382"/>
        <w:spacing w:after="0" w:line="273" w:lineRule="auto"/>
        <w:rPr>
          <w:sz w:val="20"/>
          <w:szCs w:val="20"/>
          <w:color w:val="auto"/>
        </w:rPr>
      </w:pPr>
      <w:r>
        <w:rPr>
          <w:rFonts w:ascii="Times New Roman" w:cs="Times New Roman" w:eastAsia="Times New Roman" w:hAnsi="Times New Roman"/>
          <w:sz w:val="16"/>
          <w:szCs w:val="16"/>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$29.8 thousand and $19.3 thousand in stock-based compensation expense for the three months ended March 31, 2026 and 2025, respectively. During the three months ended March 31, 2026 and 2025, 65,652 and 149,987 shares of common stock were issued, respectively, under the 2020 ESPP with 1,626,484 shares remaining available for issuance as of March 31, 2026. The Company used Black-Scholes option pricing model to estimate stock-based compensation expense for the 2020 ESPP with the following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5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198"/>
        </w:trPr>
        <w:tc>
          <w:tcPr>
            <w:tcW w:w="362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30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62.35%</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209.54%</w:t>
            </w: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360" w:type="dxa"/>
            <w:vAlign w:val="bottom"/>
            <w:gridSpan w:val="2"/>
          </w:tcPr>
          <w:p>
            <w:pPr>
              <w:jc w:val="center"/>
              <w:ind w:left="2995"/>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4.31%</w:t>
            </w: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w:t>
            </w:r>
          </w:p>
        </w:tc>
        <w:tc>
          <w:tcPr>
            <w:tcW w:w="30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360" w:type="dxa"/>
            <w:vAlign w:val="bottom"/>
            <w:gridSpan w:val="2"/>
          </w:tcPr>
          <w:p>
            <w:pPr>
              <w:jc w:val="center"/>
              <w:ind w:left="2995"/>
              <w:spacing w:after="0"/>
              <w:rPr>
                <w:sz w:val="20"/>
                <w:szCs w:val="20"/>
                <w:color w:val="auto"/>
              </w:rPr>
            </w:pPr>
            <w:r>
              <w:rPr>
                <w:rFonts w:ascii="Times New Roman" w:cs="Times New Roman" w:eastAsia="Times New Roman" w:hAnsi="Times New Roman"/>
                <w:sz w:val="17"/>
                <w:szCs w:val="17"/>
                <w:color w:val="auto"/>
                <w:w w:val="93"/>
              </w:rPr>
              <w:t>0.50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w:t>
            </w:r>
          </w:p>
        </w:tc>
      </w:tr>
      <w:tr>
        <w:trPr>
          <w:trHeight w:val="811"/>
        </w:trPr>
        <w:tc>
          <w:tcPr>
            <w:tcW w:w="3620" w:type="dxa"/>
            <w:vAlign w:val="bottom"/>
          </w:tcPr>
          <w:p>
            <w:pPr>
              <w:spacing w:after="0"/>
              <w:rPr>
                <w:sz w:val="24"/>
                <w:szCs w:val="24"/>
                <w:color w:val="auto"/>
              </w:rPr>
            </w:pPr>
          </w:p>
        </w:tc>
        <w:tc>
          <w:tcPr>
            <w:tcW w:w="308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16</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14" w:lineRule="exact"/>
        <w:rPr>
          <w:sz w:val="20"/>
          <w:szCs w:val="20"/>
          <w:color w:val="auto"/>
        </w:rPr>
      </w:pPr>
    </w:p>
    <w:p>
      <w:pPr>
        <w:ind w:right="440" w:firstLine="382"/>
        <w:spacing w:after="0" w:line="279" w:lineRule="auto"/>
        <w:rPr>
          <w:sz w:val="20"/>
          <w:szCs w:val="20"/>
          <w:color w:val="auto"/>
        </w:rPr>
      </w:pPr>
      <w:r>
        <w:rPr>
          <w:rFonts w:ascii="Times New Roman" w:cs="Times New Roman" w:eastAsia="Times New Roman" w:hAnsi="Times New Roman"/>
          <w:sz w:val="17"/>
          <w:szCs w:val="17"/>
          <w:color w:val="auto"/>
        </w:rPr>
        <w:t>The following table presents the components and classification of stock-based compensation expense for the Company’s stock-based awards for the three months ended March 31, 2026 and 2025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362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2026</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ESPP</w:t>
            </w:r>
          </w:p>
        </w:tc>
        <w:tc>
          <w:tcPr>
            <w:tcW w:w="1420" w:type="dxa"/>
            <w:vAlign w:val="bottom"/>
            <w:shd w:val="clear" w:color="auto" w:fill="CCEEFF"/>
          </w:tcPr>
          <w:p>
            <w:pPr>
              <w:jc w:val="right"/>
              <w:ind w:right="12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420" w:type="dxa"/>
            <w:vAlign w:val="bottom"/>
            <w:tcBorders>
              <w:bottom w:val="single" w:sz="8" w:color="auto"/>
            </w:tcBorders>
            <w:shd w:val="clear" w:color="auto" w:fill="CCEEFF"/>
          </w:tcPr>
          <w:p>
            <w:pPr>
              <w:jc w:val="right"/>
              <w:ind w:right="12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60" w:type="dxa"/>
            <w:vAlign w:val="bottom"/>
            <w:vMerge w:val="continue"/>
          </w:tcPr>
          <w:p>
            <w:pPr>
              <w:spacing w:after="0"/>
              <w:rPr>
                <w:sz w:val="16"/>
                <w:szCs w:val="16"/>
                <w:color w:val="auto"/>
              </w:rPr>
            </w:pPr>
          </w:p>
        </w:tc>
        <w:tc>
          <w:tcPr>
            <w:tcW w:w="1420" w:type="dxa"/>
            <w:vAlign w:val="bottom"/>
          </w:tcPr>
          <w:p>
            <w:pPr>
              <w:jc w:val="right"/>
              <w:ind w:right="1238"/>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1,727</w:t>
            </w:r>
          </w:p>
        </w:tc>
        <w:tc>
          <w:tcPr>
            <w:tcW w:w="100" w:type="dxa"/>
            <w:vAlign w:val="bottom"/>
          </w:tcPr>
          <w:p>
            <w:pPr>
              <w:spacing w:after="0"/>
              <w:rPr>
                <w:sz w:val="16"/>
                <w:szCs w:val="16"/>
                <w:color w:val="auto"/>
              </w:rPr>
            </w:pPr>
          </w:p>
        </w:tc>
        <w:tc>
          <w:tcPr>
            <w:tcW w:w="1420" w:type="dxa"/>
            <w:vAlign w:val="bottom"/>
          </w:tcPr>
          <w:p>
            <w:pPr>
              <w:jc w:val="right"/>
              <w:ind w:right="1237"/>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3,702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20" w:type="dxa"/>
            <w:vAlign w:val="bottom"/>
            <w:shd w:val="clear" w:color="auto" w:fill="CCEEFF"/>
          </w:tcPr>
          <w:p>
            <w:pPr>
              <w:jc w:val="right"/>
              <w:ind w:right="12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14" w:lineRule="exact"/>
        <w:rPr>
          <w:sz w:val="20"/>
          <w:szCs w:val="20"/>
          <w:color w:val="auto"/>
        </w:rPr>
      </w:pPr>
    </w:p>
    <w:p>
      <w:pPr>
        <w:jc w:val="both"/>
        <w:ind w:right="180" w:firstLine="382"/>
        <w:spacing w:after="0" w:line="264" w:lineRule="auto"/>
        <w:rPr>
          <w:sz w:val="20"/>
          <w:szCs w:val="20"/>
          <w:color w:val="auto"/>
        </w:rPr>
      </w:pPr>
      <w:r>
        <w:rPr>
          <w:rFonts w:ascii="Times New Roman" w:cs="Times New Roman" w:eastAsia="Times New Roman" w:hAnsi="Times New Roman"/>
          <w:sz w:val="17"/>
          <w:szCs w:val="17"/>
          <w:color w:val="auto"/>
        </w:rPr>
        <w:t>For the three months ended March 31, 2026 and 2025,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55" w:lineRule="exact"/>
        <w:rPr>
          <w:sz w:val="20"/>
          <w:szCs w:val="20"/>
          <w:color w:val="auto"/>
        </w:rPr>
      </w:pPr>
    </w:p>
    <w:p>
      <w:pPr>
        <w:ind w:right="460" w:firstLine="382"/>
        <w:spacing w:after="0" w:line="239" w:lineRule="auto"/>
        <w:rPr>
          <w:sz w:val="20"/>
          <w:szCs w:val="20"/>
          <w:color w:val="auto"/>
        </w:rPr>
      </w:pPr>
      <w:r>
        <w:rPr>
          <w:rFonts w:ascii="Times New Roman" w:cs="Times New Roman" w:eastAsia="Times New Roman" w:hAnsi="Times New Roman"/>
          <w:sz w:val="17"/>
          <w:szCs w:val="17"/>
          <w:color w:val="auto"/>
        </w:rPr>
        <w:t>The One Big Beautiful Bill Act (“OBBBA”), enacted on July 4, 2025, introduced Internal Revenue Code (“IRC”) Section 174A, which permits the full expensing of domestic research and experimental (“R&amp;E”) expenditures incurred in taxable years beginning after December 31, 2024. For domestic R&amp;E expenditures incurred prior to January 1, 2025, the Company has elected to continue amortizing the remaining balances over their existing five-year periods as permitted by Rev. Proc. 2025-28.</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For the three months ended March 31, 2026, the full expensing of current domestic R&amp;E costs resulted in an increase in net operating loss carryforwards.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because the Company maintains a full valuation allowance against its deferred tax assets, these changes had no impact on the effective tax rate.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Segments</w:t>
      </w:r>
    </w:p>
    <w:p>
      <w:pPr>
        <w:spacing w:after="0" w:line="114" w:lineRule="exact"/>
        <w:rPr>
          <w:sz w:val="20"/>
          <w:szCs w:val="20"/>
          <w:color w:val="auto"/>
        </w:rPr>
      </w:pPr>
    </w:p>
    <w:p>
      <w:pPr>
        <w:ind w:right="120" w:firstLine="382"/>
        <w:spacing w:after="0" w:line="277"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and operating segment, which is the business of developing and commercializing novel therapies for patients. The Company’s chief executive officer, who is the chief operating decision maker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231F20"/>
        </w:rPr>
        <w:t>All long-lived assets are maintained in the United States of America.</w:t>
      </w:r>
    </w:p>
    <w:p>
      <w:pPr>
        <w:spacing w:after="0" w:line="110" w:lineRule="exact"/>
        <w:rPr>
          <w:sz w:val="20"/>
          <w:szCs w:val="20"/>
          <w:color w:val="auto"/>
        </w:rPr>
      </w:pPr>
    </w:p>
    <w:p>
      <w:pPr>
        <w:ind w:right="260" w:firstLine="382"/>
        <w:spacing w:after="0" w:line="259" w:lineRule="auto"/>
        <w:rPr>
          <w:sz w:val="20"/>
          <w:szCs w:val="20"/>
          <w:color w:val="auto"/>
        </w:rPr>
      </w:pPr>
      <w:r>
        <w:rPr>
          <w:rFonts w:ascii="Times New Roman" w:cs="Times New Roman" w:eastAsia="Times New Roman" w:hAnsi="Times New Roman"/>
          <w:sz w:val="17"/>
          <w:szCs w:val="17"/>
          <w:color w:val="auto"/>
        </w:rPr>
        <w:t>Our CODM is regularly provided with more detailed expense information than what is included in our Statement of Operations and Comprehensive Loss. Following our decision to discontinue development of bexotegrast, we re-prioritized development of programs formerly included in "other segment items" below. Beginning in the first quarter of 2026, significant segment expense includes the re-priortized pipeline within "Program expense - clinical trial and third party contracting costs". Prior period amounts have been reclassified to conform to current year presentation.</w:t>
      </w:r>
    </w:p>
    <w:p>
      <w:pPr>
        <w:spacing w:after="0" w:line="73" w:lineRule="exact"/>
        <w:rPr>
          <w:sz w:val="20"/>
          <w:szCs w:val="20"/>
          <w:color w:val="auto"/>
        </w:rPr>
      </w:pPr>
    </w:p>
    <w:p>
      <w:pPr>
        <w:ind w:right="340" w:firstLine="382"/>
        <w:spacing w:after="0" w:line="264" w:lineRule="auto"/>
        <w:rPr>
          <w:sz w:val="20"/>
          <w:szCs w:val="20"/>
          <w:color w:val="auto"/>
        </w:rPr>
      </w:pPr>
      <w:r>
        <w:rPr>
          <w:rFonts w:ascii="Times New Roman" w:cs="Times New Roman" w:eastAsia="Times New Roman" w:hAnsi="Times New Roman"/>
          <w:sz w:val="17"/>
          <w:szCs w:val="17"/>
          <w:color w:val="auto"/>
        </w:rPr>
        <w:t>The table below shows a reconciliation of the Company’s net loss, including the significant expense categories regularly provided to and reviewed by the CODM reflecting the changes made by the company's re-priortized pipeline, as computed under U.S. GAAP, to the Company’s total net loss in the statements of operations (in thousands).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7" w:name="page18"/>
    <w:bookmarkEnd w:id="17"/>
    <w:tbl>
      <w:tblPr>
        <w:tblLayout w:type="fixed"/>
        <w:tblInd w:w="380" w:type="dxa"/>
        <w:tblCellMar>
          <w:top w:w="0" w:type="dxa"/>
          <w:left w:w="0" w:type="dxa"/>
          <w:bottom w:w="0" w:type="dxa"/>
          <w:right w:w="0" w:type="dxa"/>
        </w:tblCellMar>
      </w:tblPr>
      <w:tr>
        <w:trPr>
          <w:trHeight w:val="224"/>
        </w:trPr>
        <w:tc>
          <w:tcPr>
            <w:tcW w:w="7380" w:type="dxa"/>
            <w:vAlign w:val="bottom"/>
          </w:tcPr>
          <w:p>
            <w:pPr>
              <w:spacing w:after="0"/>
              <w:rPr>
                <w:sz w:val="19"/>
                <w:szCs w:val="19"/>
                <w:color w:val="auto"/>
              </w:rPr>
            </w:pPr>
          </w:p>
        </w:tc>
        <w:tc>
          <w:tcPr>
            <w:tcW w:w="3380" w:type="dxa"/>
            <w:vAlign w:val="bottom"/>
            <w:tcBorders>
              <w:bottom w:val="single" w:sz="8" w:color="auto"/>
            </w:tcBorders>
            <w:gridSpan w:val="5"/>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0"/>
        </w:trPr>
        <w:tc>
          <w:tcPr>
            <w:tcW w:w="73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 expense including clinical trial and third party contracting costs</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8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Bexotegrast - clinical trial and third party contracting costs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expenses - research and development (excluding stock-based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costs (excluding stock-based compensation)</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10,289</w:t>
            </w:r>
          </w:p>
        </w:tc>
      </w:tr>
      <w:tr>
        <w:trPr>
          <w:trHeight w:val="216"/>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segment items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15,135</w:t>
            </w:r>
          </w:p>
        </w:tc>
      </w:tr>
      <w:tr>
        <w:trPr>
          <w:trHeight w:val="209"/>
        </w:trPr>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Segment loss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58,935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segment loss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34"/>
        </w:trPr>
        <w:tc>
          <w:tcPr>
            <w:tcW w:w="738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4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20" w:firstLine="382"/>
        <w:spacing w:after="0" w:line="279" w:lineRule="auto"/>
        <w:rPr>
          <w:sz w:val="20"/>
          <w:szCs w:val="20"/>
          <w:color w:val="auto"/>
        </w:rPr>
      </w:pPr>
      <w:r>
        <w:rPr>
          <w:rFonts w:ascii="Times New Roman" w:cs="Times New Roman" w:eastAsia="Times New Roman" w:hAnsi="Times New Roman"/>
          <w:sz w:val="17"/>
          <w:szCs w:val="17"/>
          <w:color w:val="auto"/>
        </w:rPr>
        <w:t>Other segment items include total stock-based compensation and research and development costs not directly associated with active, prioritized pipeline programs and other non-program costs (excluding employee-related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114" w:lineRule="exact"/>
        <w:rPr>
          <w:sz w:val="20"/>
          <w:szCs w:val="20"/>
          <w:color w:val="auto"/>
        </w:rPr>
      </w:pPr>
    </w:p>
    <w:p>
      <w:pPr>
        <w:ind w:right="20" w:firstLine="382"/>
        <w:spacing w:after="0" w:line="279" w:lineRule="auto"/>
        <w:rPr>
          <w:sz w:val="20"/>
          <w:szCs w:val="20"/>
          <w:color w:val="auto"/>
        </w:rPr>
      </w:pPr>
      <w:r>
        <w:rPr>
          <w:rFonts w:ascii="Times New Roman" w:cs="Times New Roman" w:eastAsia="Times New Roman" w:hAnsi="Times New Roman"/>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14" w:lineRule="exact"/>
        <w:rPr>
          <w:sz w:val="20"/>
          <w:szCs w:val="20"/>
          <w:color w:val="auto"/>
        </w:rPr>
      </w:pPr>
    </w:p>
    <w:p>
      <w:pPr>
        <w:ind w:firstLine="382"/>
        <w:spacing w:after="0" w:line="272" w:lineRule="auto"/>
        <w:rPr>
          <w:sz w:val="20"/>
          <w:szCs w:val="20"/>
          <w:color w:val="auto"/>
        </w:rPr>
      </w:pPr>
      <w:r>
        <w:rPr>
          <w:rFonts w:ascii="Times New Roman" w:cs="Times New Roman" w:eastAsia="Times New Roman" w:hAnsi="Times New Roman"/>
          <w:sz w:val="16"/>
          <w:szCs w:val="16"/>
          <w:color w:val="auto"/>
        </w:rPr>
        <w:t>On September 28, 2023, the Company entered into a lease agreement with HCP BTC, LLC, a Delaware limited liability company (“the Landlord”) for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 then prevailing market rates for a comparable property. Future lease payments are approximately $37.3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Our lease agreement provides us the right to sublet the premises, subject to approval by the Landlord. Additionally, the Company provided a letter of credit to the Landlord in the amount of $1.4 million in connection with the Oyster Point Lease, which is classified as restricted cash as of March 31, 2026.</w:t>
      </w:r>
    </w:p>
    <w:p>
      <w:pPr>
        <w:spacing w:after="0" w:line="64"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undiscounted future non-cancellable lease payments of the Company's operating lease liability as of March 31, 2026 were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Operating Lease</w:t>
            </w:r>
          </w:p>
        </w:tc>
      </w:tr>
      <w:tr>
        <w:trPr>
          <w:trHeight w:val="225"/>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 (remainder of the year)</w:t>
            </w: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r>
      <w:tr>
        <w:trPr>
          <w:trHeight w:val="216"/>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7,467</w:t>
            </w:r>
          </w:p>
        </w:tc>
      </w:tr>
      <w:tr>
        <w:trPr>
          <w:trHeight w:val="216"/>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2029 and thereafter</w:t>
            </w: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20,821</w:t>
            </w: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37,269</w:t>
            </w:r>
          </w:p>
        </w:tc>
      </w:tr>
      <w:tr>
        <w:trPr>
          <w:trHeight w:val="25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(8,485)</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discounted lease payments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28,784</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operating lease liabilities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non-current operating lease liabilities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27,071</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liability</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28,784</w:t>
            </w: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weighted-average remaining lease terms and discount rates related to the Company's operating leases were as follows:</w:t>
      </w:r>
    </w:p>
    <w:p>
      <w:pPr>
        <w:spacing w:after="0" w:line="13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47"/>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8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5.0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41"/>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9.3%</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bl>
    <w:p>
      <w:pPr>
        <w:spacing w:after="0" w:line="176" w:lineRule="exact"/>
        <w:rPr>
          <w:sz w:val="20"/>
          <w:szCs w:val="20"/>
          <w:color w:val="auto"/>
        </w:rPr>
      </w:pPr>
    </w:p>
    <w:p>
      <w:pPr>
        <w:ind w:right="60" w:firstLine="611"/>
        <w:spacing w:after="0" w:line="264" w:lineRule="auto"/>
        <w:rPr>
          <w:sz w:val="20"/>
          <w:szCs w:val="20"/>
          <w:color w:val="auto"/>
        </w:rPr>
      </w:pPr>
      <w:r>
        <w:rPr>
          <w:rFonts w:ascii="Times New Roman" w:cs="Times New Roman" w:eastAsia="Times New Roman" w:hAnsi="Times New Roman"/>
          <w:sz w:val="17"/>
          <w:szCs w:val="17"/>
          <w:color w:val="auto"/>
        </w:rPr>
        <w:t>Variable lease costs comprise primarily of the Company's proportionate share of operating expenses, property taxes, and insurance. Short-term lease expense and variable lease payments recorded in operating expenses were immaterial for the three months ended March 31, 2026 and 2025. Lease expenses for each of the three months ended March 31, 2026 and 2025 are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198"/>
        </w:trPr>
        <w:tc>
          <w:tcPr>
            <w:tcW w:w="7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r>
      <w:tr>
        <w:trPr>
          <w:trHeight w:val="216"/>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variable costs</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4"/>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Defined Contribution Plan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9" w:name="page20"/>
    <w:bookmarkEnd w:id="19"/>
    <w:p>
      <w:pPr>
        <w:jc w:val="both"/>
        <w:ind w:right="300" w:firstLine="382"/>
        <w:spacing w:after="0" w:line="264" w:lineRule="auto"/>
        <w:rPr>
          <w:sz w:val="20"/>
          <w:szCs w:val="20"/>
          <w:color w:val="auto"/>
        </w:rPr>
      </w:pPr>
      <w:r>
        <w:rPr>
          <w:rFonts w:ascii="Times New Roman" w:cs="Times New Roman" w:eastAsia="Times New Roman" w:hAnsi="Times New Roman"/>
          <w:sz w:val="17"/>
          <w:szCs w:val="17"/>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and $0.4 million and $0.7 million for the three months ended March 31, 2026 and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Net Loss Per Share Attributable to Common Stockholders</w:t>
      </w:r>
    </w:p>
    <w:p>
      <w:pPr>
        <w:spacing w:after="0" w:line="114" w:lineRule="exact"/>
        <w:rPr>
          <w:sz w:val="20"/>
          <w:szCs w:val="20"/>
          <w:color w:val="auto"/>
        </w:rPr>
      </w:pPr>
    </w:p>
    <w:p>
      <w:pPr>
        <w:jc w:val="both"/>
        <w:ind w:right="300" w:firstLine="382"/>
        <w:spacing w:after="0" w:line="279" w:lineRule="auto"/>
        <w:rPr>
          <w:sz w:val="20"/>
          <w:szCs w:val="20"/>
          <w:color w:val="auto"/>
        </w:rPr>
      </w:pPr>
      <w:r>
        <w:rPr>
          <w:rFonts w:ascii="Times New Roman" w:cs="Times New Roman" w:eastAsia="Times New Roman" w:hAnsi="Times New Roman"/>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198"/>
        </w:trPr>
        <w:tc>
          <w:tcPr>
            <w:tcW w:w="77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11,368,230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10,028,579</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557,456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1,347,160</w:t>
            </w:r>
          </w:p>
        </w:tc>
      </w:tr>
      <w:tr>
        <w:trPr>
          <w:trHeight w:val="234"/>
        </w:trPr>
        <w:tc>
          <w:tcPr>
            <w:tcW w:w="7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11,925,686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11,375,739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Restructuring of Operations</w:t>
      </w:r>
    </w:p>
    <w:p>
      <w:pPr>
        <w:spacing w:after="0" w:line="114" w:lineRule="exact"/>
        <w:rPr>
          <w:sz w:val="20"/>
          <w:szCs w:val="20"/>
          <w:color w:val="auto"/>
        </w:rPr>
      </w:pPr>
    </w:p>
    <w:p>
      <w:pPr>
        <w:ind w:right="380" w:firstLine="611"/>
        <w:spacing w:after="0" w:line="279" w:lineRule="auto"/>
        <w:rPr>
          <w:sz w:val="20"/>
          <w:szCs w:val="20"/>
          <w:color w:val="auto"/>
        </w:rPr>
      </w:pPr>
      <w:r>
        <w:rPr>
          <w:rFonts w:ascii="Times New Roman" w:cs="Times New Roman" w:eastAsia="Times New Roman" w:hAnsi="Times New Roman"/>
          <w:sz w:val="17"/>
          <w:szCs w:val="17"/>
          <w:color w:val="auto"/>
        </w:rPr>
        <w:t>On May 1, 2025, we announced a reduction in workforce that impacted approximately 45% of our then-current employees. The restructuring plan was completed in the third quarter of 2025 and amounted to $3.8 million.</w:t>
      </w:r>
    </w:p>
    <w:p>
      <w:pPr>
        <w:spacing w:after="0" w:line="55" w:lineRule="exact"/>
        <w:rPr>
          <w:sz w:val="20"/>
          <w:szCs w:val="20"/>
          <w:color w:val="auto"/>
        </w:rPr>
      </w:pPr>
    </w:p>
    <w:p>
      <w:pPr>
        <w:ind w:right="80" w:firstLine="611"/>
        <w:spacing w:after="0" w:line="264" w:lineRule="auto"/>
        <w:rPr>
          <w:sz w:val="20"/>
          <w:szCs w:val="20"/>
          <w:color w:val="auto"/>
        </w:rPr>
      </w:pPr>
      <w:r>
        <w:rPr>
          <w:rFonts w:ascii="Times New Roman" w:cs="Times New Roman" w:eastAsia="Times New Roman" w:hAnsi="Times New Roman"/>
          <w:sz w:val="17"/>
          <w:szCs w:val="17"/>
          <w:color w:val="auto"/>
        </w:rPr>
        <w:t>In December 2025, we initiated an additional restructuring plan totaling $2.5 million. The restructuring plan was completed on December 15, 2025 and the entire cost, consisting of severance and a benefits continuation payment was accrued within Accrued Compensation and Benefits as of December 31, 2025 and settled in cash during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114" w:lineRule="exact"/>
        <w:rPr>
          <w:sz w:val="20"/>
          <w:szCs w:val="20"/>
          <w:color w:val="auto"/>
        </w:rPr>
      </w:pPr>
    </w:p>
    <w:p>
      <w:pPr>
        <w:ind w:right="40" w:firstLine="611"/>
        <w:spacing w:after="0" w:line="257" w:lineRule="auto"/>
        <w:rPr>
          <w:sz w:val="20"/>
          <w:szCs w:val="20"/>
          <w:color w:val="auto"/>
        </w:rPr>
      </w:pPr>
      <w:r>
        <w:rPr>
          <w:rFonts w:ascii="Times New Roman" w:cs="Times New Roman" w:eastAsia="Times New Roman" w:hAnsi="Times New Roman"/>
          <w:sz w:val="17"/>
          <w:szCs w:val="17"/>
          <w:color w:val="auto"/>
        </w:rPr>
        <w:t>On April 15, 2026, upon the recommendation of its Compensation Committee, the Board approved an option repricing (the “Repricing”), effective as of April 17, 2026 (the “Effective Date”). The Repricing was undertaken in accordance with, and as permitted by, the Company’s 2015 Plan, 2020 Plan, and 2022 Plan. Pursuant to the Repricing, effective as of the Effective Date, all outstanding options granted on or before March 1, 2025 pursuant to the 2015 Plan, the 2020 Plan, or the 2022 Plan that are held by employees as of the Effective Date, including the Company’s executive officers were repriced to $1.33 per share, the closing price per share of the Company’s common stock on the Effective Date.</w:t>
      </w:r>
    </w:p>
    <w:p>
      <w:pPr>
        <w:spacing w:after="0" w:line="74"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In order to exercise the repriced options at the $1.33 per share exercise price, employees are required to remain in service with the Company through the Retention Period, which begins on the Effective Date and ends on the earliest of the following: (i) either the 18-month anniversary following the Effective Date if the employee is a member of the Company’s executive leadership team, or the 12-month anniversary following the Effective Date for all other employees; (ii) the consummation of a Corporate Transaction (as defined by the 2015 Plan); (iii) the consummation of a Sale Event (as defined by the 2020 Plan and 2022 Plan); and</w:t>
      </w:r>
    </w:p>
    <w:p>
      <w:pPr>
        <w:spacing w:after="0" w:line="3" w:lineRule="exact"/>
        <w:rPr>
          <w:sz w:val="20"/>
          <w:szCs w:val="20"/>
          <w:color w:val="auto"/>
        </w:rPr>
      </w:pPr>
    </w:p>
    <w:p>
      <w:pPr>
        <w:ind w:left="280" w:hanging="278"/>
        <w:spacing w:after="0"/>
        <w:tabs>
          <w:tab w:leader="none" w:pos="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(a) termination by the Company without cause (as defined in the Eligible Participant’s applicable severance plan) or due to a reduction in force,</w:t>
      </w:r>
    </w:p>
    <w:p>
      <w:pPr>
        <w:spacing w:after="0" w:line="8" w:lineRule="exact"/>
        <w:rPr>
          <w:rFonts w:ascii="Times New Roman" w:cs="Times New Roman" w:eastAsia="Times New Roman" w:hAnsi="Times New Roman"/>
          <w:sz w:val="17"/>
          <w:szCs w:val="17"/>
          <w:color w:val="auto"/>
        </w:rPr>
      </w:pPr>
    </w:p>
    <w:p>
      <w:pPr>
        <w:ind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death or termination due to disability, or (c) if the employee is a Vice President or above, resignation from service for good reason (as defined in the Eligible Participant’s applicable severance plan).</w:t>
      </w:r>
    </w:p>
    <w:p>
      <w:pPr>
        <w:spacing w:after="0" w:line="70" w:lineRule="exact"/>
        <w:rPr>
          <w:sz w:val="20"/>
          <w:szCs w:val="20"/>
          <w:color w:val="auto"/>
        </w:rPr>
      </w:pPr>
    </w:p>
    <w:p>
      <w:pPr>
        <w:ind w:right="60" w:firstLine="611"/>
        <w:spacing w:after="0" w:line="259" w:lineRule="auto"/>
        <w:rPr>
          <w:sz w:val="20"/>
          <w:szCs w:val="20"/>
          <w:color w:val="auto"/>
        </w:rPr>
      </w:pPr>
      <w:r>
        <w:rPr>
          <w:rFonts w:ascii="Times New Roman" w:cs="Times New Roman" w:eastAsia="Times New Roman" w:hAnsi="Times New Roman"/>
          <w:sz w:val="17"/>
          <w:szCs w:val="17"/>
          <w:color w:val="auto"/>
        </w:rPr>
        <w:t>The repriced options will be subject to the original exercise price that was in effect immediately prior to the Effective Date if the employee (i) is terminated by the Company for cause (as defined in the Eligible Participant’s applicable severance plan); (ii) resigns from the Company prior to the end of the applicable Retention Period, except for good reason (as defined in the Eligible Participant’s applicable severance plan) if the employee is a Vice President or above; or (iii) elects to exercise the repriced options prior to the end of the applicable Retention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0"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condensed financial statements and related notes appearing elsewhere in this Report, as well as our audited financial statements and related notes included in our 2025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2025 10-K. In some cases, you can identify forward-looking statements by terminology such as “anticipate,” “believe,” “continue,” “could,” “estimate,” “expect,” “intend,” “may,” “plan,” “potentially,” “predict,” “should,” “will” or the negative of these terms or other similar expressions.</w:t>
      </w:r>
    </w:p>
    <w:p>
      <w:pPr>
        <w:spacing w:after="0" w:line="74"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7"/>
          <w:szCs w:val="17"/>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4"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discovering and developing integrin-based therapeutics. Our lead program is focused on the development of treatments for solid tumors by inhibiting integrin-mediated activation of transforming growth factor-β (TGF-β). We have applied our deep understanding of integrin biology, along with our medicinal chemistry and translational medicine expertise to develop a proprietary drug discovery platform that we believe has broad applicability across multiple areas of disease.</w:t>
      </w:r>
    </w:p>
    <w:p>
      <w:pPr>
        <w:spacing w:after="0" w:line="73" w:lineRule="exact"/>
        <w:rPr>
          <w:sz w:val="20"/>
          <w:szCs w:val="20"/>
          <w:color w:val="auto"/>
        </w:rPr>
      </w:pPr>
    </w:p>
    <w:p>
      <w:pPr>
        <w:ind w:right="80" w:firstLine="382"/>
        <w:spacing w:after="0" w:line="257" w:lineRule="auto"/>
        <w:rPr>
          <w:sz w:val="20"/>
          <w:szCs w:val="20"/>
          <w:color w:val="auto"/>
        </w:rPr>
      </w:pPr>
      <w:r>
        <w:rPr>
          <w:rFonts w:ascii="Times New Roman" w:cs="Times New Roman" w:eastAsia="Times New Roman" w:hAnsi="Times New Roman"/>
          <w:sz w:val="17"/>
          <w:szCs w:val="17"/>
          <w:color w:val="auto"/>
        </w:rPr>
        <w:t>Our wholly owned lead product candidate, PLN-101095, is an oral, small molecule, dual selective inhibitor of αvβ8 and αvβ1 integrins in development for the treatment of solid tumors. In 2025, we announced positive data from a Phase 1 open-label dose-escalation trial of PLN-101095 as monotherapy and in combination with the immunotherapy pembrolizumab in patients with solid tumors that are resistant to immune checkpoint inhibitors. We also continue to explore the full potential of our drug discovery platform consisting of a proprietary library of over 15,000 integrin binding molecules, focusing on integrin-based target-mediated drug delivery.</w:t>
      </w:r>
    </w:p>
    <w:p>
      <w:pPr>
        <w:spacing w:after="0" w:line="7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Since inception, we have had significant operating losses. Our net loss was $20.0 million and $56.2 million for the three months ended March 31, 2026 and 2025, respectively. As of March 31, 2026, we had an accumulated deficit of $879.4 million and cash, cash equivalents, and short-term investments of $172.4 million. We expect to continue to incur net losses for the foreseeable future as we:</w:t>
      </w:r>
    </w:p>
    <w:p>
      <w:pPr>
        <w:spacing w:after="0" w:line="68" w:lineRule="exact"/>
        <w:rPr>
          <w:sz w:val="20"/>
          <w:szCs w:val="20"/>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research and development activities to identify and develop product candidates;</w:t>
      </w:r>
    </w:p>
    <w:p>
      <w:pPr>
        <w:spacing w:after="0" w:line="59"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product candidates into and through clinical development;</w:t>
      </w:r>
    </w:p>
    <w:p>
      <w:pPr>
        <w:spacing w:after="0" w:line="59"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manufacture of supplies to support research and development, preclinical studies and clinical trials;</w:t>
      </w:r>
    </w:p>
    <w:p>
      <w:pPr>
        <w:spacing w:after="0" w:line="59"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product candidates that successfully complete clinical trials;</w:t>
      </w:r>
    </w:p>
    <w:p>
      <w:pPr>
        <w:spacing w:after="0" w:line="59"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 and</w:t>
      </w:r>
    </w:p>
    <w:p>
      <w:pPr>
        <w:spacing w:after="0" w:line="59"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or in-license other technologies or product candidates.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and Recent Developments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Oncology Program</w:t>
      </w:r>
    </w:p>
    <w:p>
      <w:pPr>
        <w:spacing w:after="0" w:line="110" w:lineRule="exact"/>
        <w:rPr>
          <w:sz w:val="20"/>
          <w:szCs w:val="20"/>
          <w:color w:val="auto"/>
        </w:rPr>
      </w:pPr>
    </w:p>
    <w:p>
      <w:pPr>
        <w:ind w:left="620" w:right="160" w:hanging="313"/>
        <w:spacing w:after="0" w:line="25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FORTIFY, a Phase 1b indication expansion trial, enrolling and dosing patients. </w:t>
      </w:r>
      <w:r>
        <w:rPr>
          <w:rFonts w:ascii="Times New Roman" w:cs="Times New Roman" w:eastAsia="Times New Roman" w:hAnsi="Times New Roman"/>
          <w:sz w:val="17"/>
          <w:szCs w:val="17"/>
          <w:color w:val="auto"/>
        </w:rPr>
        <w:t>In April, the Company announced the dosing of its first participant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FORTIFY Phase 1b indication expansion trial. The Phase 1b open-label, single dose trial will enroll three cohorts of patients including NSCLC, clear cell renal cell carcinoma and a subset of tumors with high tumor mutational burden. Tumor selection was based on data from the Phase 1 trial, as well as strong mechanistic rationale for integrin inhibition. Patients will be treated for 14 days with PLN-101095 dosed at 1,000 mg twice daily as monotherapy, after which pembrolizumab will be added as combination therapy. Enrollment is underway with interim data expected in 2027.</w:t>
      </w:r>
    </w:p>
    <w:p>
      <w:pPr>
        <w:spacing w:after="0" w:line="69" w:lineRule="exact"/>
        <w:rPr>
          <w:rFonts w:ascii="Times New Roman" w:cs="Times New Roman" w:eastAsia="Times New Roman" w:hAnsi="Times New Roman"/>
          <w:sz w:val="17"/>
          <w:szCs w:val="17"/>
          <w:color w:val="auto"/>
        </w:rPr>
      </w:pPr>
    </w:p>
    <w:p>
      <w:pPr>
        <w:jc w:val="both"/>
        <w:ind w:left="620" w:right="20" w:hanging="313"/>
        <w:spacing w:after="0" w:line="261" w:lineRule="auto"/>
        <w:tabs>
          <w:tab w:leader="none" w:pos="616"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Oral presentation at AACR of updated Phase 1 data from PLN-101095 highlighted deepening of confirmed responses. </w:t>
      </w:r>
      <w:r>
        <w:rPr>
          <w:rFonts w:ascii="Times New Roman" w:cs="Times New Roman" w:eastAsia="Times New Roman" w:hAnsi="Times New Roman"/>
          <w:sz w:val="17"/>
          <w:szCs w:val="17"/>
          <w:color w:val="auto"/>
        </w:rPr>
        <w:t>In April, at the Clinical Trials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Mini Symposium of the American Association for Cancer Research (AACR) 2026 Annual Meeting, the Company announced positive updated data from its Phase 1 trial of PLN-101095. Results showed that, in a heavily pretreated patient population, PLN-101095 demonstrated anti-tumor activity in combination with pembrolizumab, an FDA-approved ICI. One confirmed overall complete response, two confirmed overall partial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47" w:right="359" w:bottom="1440" w:gutter="0" w:footer="0" w:header="0"/>
        </w:sectPr>
      </w:pPr>
    </w:p>
    <w:bookmarkStart w:id="21" w:name="page22"/>
    <w:bookmarkEnd w:id="21"/>
    <w:p>
      <w:pPr>
        <w:ind w:left="620" w:right="240"/>
        <w:spacing w:after="0" w:line="253" w:lineRule="auto"/>
        <w:rPr>
          <w:sz w:val="20"/>
          <w:szCs w:val="20"/>
          <w:color w:val="auto"/>
        </w:rPr>
      </w:pPr>
      <w:r>
        <w:rPr>
          <w:rFonts w:ascii="Times New Roman" w:cs="Times New Roman" w:eastAsia="Times New Roman" w:hAnsi="Times New Roman"/>
          <w:sz w:val="17"/>
          <w:szCs w:val="17"/>
          <w:color w:val="auto"/>
        </w:rPr>
        <w:t>responses, including one patient with a complete response of baseline target lesions, and one unconfirmed partial response were reported. These clinical responses were observed in patients with cholangiocarcinoma, non-small cell lung cancer (NSCLC), melanoma and head and neck squamous cell carcinoma, respectively. All responding patients showed large increases in plasma interferon gamma (IFN-γ) after 14 days of monotherapy with PLN-101095 prior to the addition of pembrolizumab. At Week 10, all responders maintained more than a 2-fold increase in IFN-γ. No non-responders showed meaningful increases in plasma IFN- γ. PLN-101095 was generally well tolerated across all doses tested. IFN-γ is known to play a multifaceted role in modulating anti-tumor immunity, with increased tumor expression levels having previously been linked with better outcomes from immune checkpoint blockade. In addition to IFN- γ increases, all responding patients showed elevated plasma PD-L1 levels, known to be induced by increased IFN-γ and a predictor of an improved ICI response. Additionally, PLN-101095 was spotlighted as a novel immunotherapy approach as part of AACR’s 2026 Annual Meeting Highlights Plenary Session.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Integrin-Targeted Delivery Platform</w:t>
      </w:r>
    </w:p>
    <w:p>
      <w:pPr>
        <w:spacing w:after="0" w:line="114" w:lineRule="exact"/>
        <w:rPr>
          <w:sz w:val="20"/>
          <w:szCs w:val="20"/>
          <w:color w:val="auto"/>
        </w:rPr>
      </w:pPr>
    </w:p>
    <w:p>
      <w:pPr>
        <w:ind w:left="620" w:right="120" w:hanging="313"/>
        <w:spacing w:after="0" w:line="259"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cell-specific integrin receptors, Pliant has developed a platform to deliver drug payloads, including siRNAs, to selective tissue types. Current programs are focused on delivering siRNAs to skeletal muscle cells and other tissues. Preclinical proof-of-concept studies are currently ongoing. The Company believes this integrin-targeting drug-delivery platform has the potential for broad applicability across multiple disease areas utilizing a variety of drug payloads.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Components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14" w:lineRule="exact"/>
        <w:rPr>
          <w:sz w:val="20"/>
          <w:szCs w:val="20"/>
          <w:color w:val="auto"/>
        </w:rPr>
      </w:pPr>
    </w:p>
    <w:p>
      <w:pPr>
        <w:ind w:firstLine="382"/>
        <w:spacing w:after="0" w:line="279" w:lineRule="auto"/>
        <w:rPr>
          <w:sz w:val="20"/>
          <w:szCs w:val="20"/>
          <w:color w:val="auto"/>
        </w:rPr>
      </w:pPr>
      <w:r>
        <w:rPr>
          <w:rFonts w:ascii="Times New Roman" w:cs="Times New Roman" w:eastAsia="Times New Roman" w:hAnsi="Times New Roman"/>
          <w:sz w:val="17"/>
          <w:szCs w:val="17"/>
          <w:color w:val="auto"/>
        </w:rPr>
        <w:t>Our research and development expenses consist of expenses incurred in connection with the development of our product candidates. Research and development expenses include:</w:t>
      </w:r>
    </w:p>
    <w:p>
      <w:pPr>
        <w:spacing w:after="0" w:line="4" w:lineRule="exact"/>
        <w:rPr>
          <w:sz w:val="20"/>
          <w:szCs w:val="20"/>
          <w:color w:val="auto"/>
        </w:rPr>
      </w:pPr>
    </w:p>
    <w:p>
      <w:pPr>
        <w:ind w:left="1220" w:hanging="607"/>
        <w:spacing w:after="0"/>
        <w:tabs>
          <w:tab w:leader="none" w:pos="12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employee-related expenses, which include salaries, benefits and stock-based compensation for our research and development personnel;</w:t>
      </w:r>
    </w:p>
    <w:p>
      <w:pPr>
        <w:spacing w:after="0" w:line="58" w:lineRule="exact"/>
        <w:rPr>
          <w:rFonts w:ascii="Arial" w:cs="Arial" w:eastAsia="Arial" w:hAnsi="Arial"/>
          <w:sz w:val="17"/>
          <w:szCs w:val="17"/>
          <w:color w:val="auto"/>
        </w:rPr>
      </w:pPr>
    </w:p>
    <w:p>
      <w:pPr>
        <w:ind w:left="1220" w:right="400" w:hanging="607"/>
        <w:spacing w:after="0" w:line="278" w:lineRule="auto"/>
        <w:tabs>
          <w:tab w:leader="none" w:pos="12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expenses incurred under agreements with third-party contract organizations for pre-clinical studies, clinical trials and consultants that conduct research and development activities on our behalf;</w:t>
      </w:r>
    </w:p>
    <w:p>
      <w:pPr>
        <w:spacing w:after="0" w:line="4" w:lineRule="exact"/>
        <w:rPr>
          <w:rFonts w:ascii="Arial" w:cs="Arial" w:eastAsia="Arial" w:hAnsi="Arial"/>
          <w:sz w:val="17"/>
          <w:szCs w:val="17"/>
          <w:color w:val="auto"/>
        </w:rPr>
      </w:pPr>
    </w:p>
    <w:p>
      <w:pPr>
        <w:ind w:left="1220" w:hanging="607"/>
        <w:spacing w:after="0"/>
        <w:tabs>
          <w:tab w:leader="none" w:pos="12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costs associated with the manufacture of supplies to support research and development, preclinical studies and clinical trials;</w:t>
      </w:r>
    </w:p>
    <w:p>
      <w:pPr>
        <w:spacing w:after="0" w:line="58" w:lineRule="exact"/>
        <w:rPr>
          <w:rFonts w:ascii="Arial" w:cs="Arial" w:eastAsia="Arial" w:hAnsi="Arial"/>
          <w:sz w:val="17"/>
          <w:szCs w:val="17"/>
          <w:color w:val="auto"/>
        </w:rPr>
      </w:pPr>
    </w:p>
    <w:p>
      <w:pPr>
        <w:ind w:left="1220" w:hanging="607"/>
        <w:spacing w:after="0"/>
        <w:tabs>
          <w:tab w:leader="none" w:pos="12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depreciation of laboratory equipment and costs of equipment and supplies;</w:t>
      </w:r>
    </w:p>
    <w:p>
      <w:pPr>
        <w:spacing w:after="0" w:line="58" w:lineRule="exact"/>
        <w:rPr>
          <w:rFonts w:ascii="Arial" w:cs="Arial" w:eastAsia="Arial" w:hAnsi="Arial"/>
          <w:sz w:val="17"/>
          <w:szCs w:val="17"/>
          <w:color w:val="auto"/>
        </w:rPr>
      </w:pPr>
    </w:p>
    <w:p>
      <w:pPr>
        <w:ind w:left="1220" w:hanging="607"/>
        <w:spacing w:after="0"/>
        <w:tabs>
          <w:tab w:leader="none" w:pos="12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facilities expenses, which include expenses for rent and other facility related costs; and</w:t>
      </w:r>
    </w:p>
    <w:p>
      <w:pPr>
        <w:spacing w:after="0" w:line="58" w:lineRule="exact"/>
        <w:rPr>
          <w:rFonts w:ascii="Arial" w:cs="Arial" w:eastAsia="Arial" w:hAnsi="Arial"/>
          <w:sz w:val="17"/>
          <w:szCs w:val="17"/>
          <w:color w:val="auto"/>
        </w:rPr>
      </w:pPr>
    </w:p>
    <w:p>
      <w:pPr>
        <w:ind w:left="1220" w:hanging="607"/>
        <w:spacing w:after="0"/>
        <w:tabs>
          <w:tab w:leader="none" w:pos="12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other expenses and other allocations associated with research and development.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three months ended March 31, 2026 and 2025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40" w:type="dxa"/>
            <w:vAlign w:val="bottom"/>
          </w:tcPr>
          <w:p>
            <w:pPr>
              <w:spacing w:after="0"/>
              <w:rPr>
                <w:sz w:val="17"/>
                <w:szCs w:val="17"/>
                <w:color w:val="auto"/>
              </w:rPr>
            </w:pPr>
          </w:p>
        </w:tc>
        <w:tc>
          <w:tcPr>
            <w:tcW w:w="3040" w:type="dxa"/>
            <w:vAlign w:val="bottom"/>
            <w:gridSpan w:val="6"/>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related expenses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w:t>
            </w:r>
          </w:p>
        </w:tc>
      </w:tr>
      <w:tr>
        <w:trPr>
          <w:trHeight w:val="166"/>
        </w:trPr>
        <w:tc>
          <w:tcPr>
            <w:tcW w:w="63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Outside and consulting services for preclinical studies and research and development</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6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activities by third-party contract organizations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r>
      <w:tr>
        <w:trPr>
          <w:trHeight w:val="21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trials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(15,528)</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of lab equipment and costs of equipment and supplies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Facilities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1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 and other allocations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w:t>
            </w:r>
          </w:p>
        </w:tc>
      </w:tr>
      <w:tr>
        <w:trPr>
          <w:trHeight w:val="234"/>
        </w:trPr>
        <w:tc>
          <w:tcPr>
            <w:tcW w:w="6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13,584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80" w:firstLine="382"/>
        <w:spacing w:after="0" w:line="272" w:lineRule="auto"/>
        <w:rPr>
          <w:sz w:val="20"/>
          <w:szCs w:val="20"/>
          <w:color w:val="auto"/>
        </w:rPr>
      </w:pPr>
      <w:r>
        <w:rPr>
          <w:rFonts w:ascii="Times New Roman" w:cs="Times New Roman" w:eastAsia="Times New Roman" w:hAnsi="Times New Roman"/>
          <w:sz w:val="16"/>
          <w:szCs w:val="16"/>
          <w:color w:val="auto"/>
        </w:rPr>
        <w:t>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7"/>
          <w:szCs w:val="17"/>
          <w:color w:val="auto"/>
        </w:rPr>
        <w:t>These expenses primarily relate to outside consultants, clinical research organizations and contract manufacturing organization. When we refer to the research and development expenses associated with a specific product candidate or preclinical program, these refer exclusively to the allocated third-party expenses associated with that product candidate.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2" w:name="page23"/>
    <w:bookmarkEnd w:id="22"/>
    <w:p>
      <w:pPr>
        <w:ind w:right="20" w:firstLine="382"/>
        <w:spacing w:after="0" w:line="257" w:lineRule="auto"/>
        <w:rPr>
          <w:sz w:val="20"/>
          <w:szCs w:val="20"/>
          <w:color w:val="auto"/>
        </w:rPr>
      </w:pPr>
      <w:r>
        <w:rPr>
          <w:rFonts w:ascii="Times New Roman" w:cs="Times New Roman" w:eastAsia="Times New Roman" w:hAnsi="Times New Roman"/>
          <w:sz w:val="17"/>
          <w:szCs w:val="17"/>
          <w:color w:val="auto"/>
        </w:rPr>
        <w:t>Following the discontinuation of bexotegrast development, our current quarter results are reflective of the re-prioritized development pipeline and research and development expenses should be relatively consistent in the near term, increasing commensurate with the progress of our phase 1b trial.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14" w:lineRule="exact"/>
        <w:rPr>
          <w:sz w:val="20"/>
          <w:szCs w:val="20"/>
          <w:color w:val="auto"/>
        </w:rPr>
      </w:pPr>
    </w:p>
    <w:p>
      <w:pPr>
        <w:ind w:right="260" w:firstLine="382"/>
        <w:spacing w:after="0" w:line="257"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remain relatively consistent for the foreseeable future.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Other Income (Expense), net</w:t>
      </w:r>
    </w:p>
    <w:p>
      <w:pPr>
        <w:spacing w:after="0" w:line="114" w:lineRule="exact"/>
        <w:rPr>
          <w:sz w:val="20"/>
          <w:szCs w:val="20"/>
          <w:color w:val="auto"/>
        </w:rPr>
      </w:pPr>
    </w:p>
    <w:p>
      <w:pPr>
        <w:ind w:right="620" w:firstLine="382"/>
        <w:spacing w:after="0" w:line="279" w:lineRule="auto"/>
        <w:rPr>
          <w:sz w:val="20"/>
          <w:szCs w:val="20"/>
          <w:color w:val="auto"/>
        </w:rPr>
      </w:pPr>
      <w:r>
        <w:rPr>
          <w:rFonts w:ascii="Times New Roman" w:cs="Times New Roman" w:eastAsia="Times New Roman" w:hAnsi="Times New Roman"/>
          <w:sz w:val="17"/>
          <w:szCs w:val="17"/>
          <w:color w:val="auto"/>
        </w:rPr>
        <w:t>Our interest and other income (expense), net consists of interest, accretion income and amortization expense on cash, cash equivalents, and short-term investments, and realized gains and losses on short-term investments.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interest expense was derived from a term loan executed under the Amended Loan Agreement with Oxford Finance LLC that was terminated in October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3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2025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26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2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(13,584)</w:t>
            </w:r>
          </w:p>
        </w:tc>
        <w:tc>
          <w:tcPr>
            <w:tcW w:w="100" w:type="dxa"/>
            <w:vAlign w:val="bottom"/>
          </w:tcPr>
          <w:p>
            <w:pPr>
              <w:spacing w:after="0"/>
              <w:rPr>
                <w:sz w:val="18"/>
                <w:szCs w:val="18"/>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(43,436)</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29,852</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(15,499)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w:t>
            </w:r>
          </w:p>
        </w:tc>
      </w:tr>
      <w:tr>
        <w:trPr>
          <w:trHeight w:val="209"/>
        </w:trPr>
        <w:tc>
          <w:tcPr>
            <w:tcW w:w="6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(21,772)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(58,935)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37,163</w:t>
            </w:r>
          </w:p>
        </w:tc>
      </w:tr>
      <w:tr>
        <w:trPr>
          <w:trHeight w:val="209"/>
        </w:trPr>
        <w:tc>
          <w:tcPr>
            <w:tcW w:w="6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Loss from operations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(21,772)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(58,935)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37,163</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9"/>
        </w:trPr>
        <w:tc>
          <w:tcPr>
            <w:tcW w:w="6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(20,040)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(56,166)</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36,126</w:t>
            </w:r>
          </w:p>
        </w:tc>
      </w:tr>
      <w:tr>
        <w:trPr>
          <w:trHeight w:val="20"/>
        </w:trPr>
        <w:tc>
          <w:tcPr>
            <w:tcW w:w="6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three months ended March 31,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2"/>
        </w:trPr>
        <w:tc>
          <w:tcPr>
            <w:tcW w:w="6960" w:type="dxa"/>
            <w:vAlign w:val="bottom"/>
          </w:tcPr>
          <w:p>
            <w:pPr>
              <w:spacing w:after="0"/>
              <w:rPr>
                <w:sz w:val="17"/>
                <w:szCs w:val="17"/>
                <w:color w:val="auto"/>
              </w:rPr>
            </w:pPr>
          </w:p>
        </w:tc>
        <w:tc>
          <w:tcPr>
            <w:tcW w:w="3000" w:type="dxa"/>
            <w:vAlign w:val="bottom"/>
            <w:gridSpan w:val="6"/>
          </w:tcPr>
          <w:p>
            <w:pPr>
              <w:ind w:left="4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69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Program-specific external expenses:</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7"/>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Program expense including clinical trial and third party contracting costs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4,149</w:t>
            </w:r>
          </w:p>
        </w:tc>
      </w:tr>
      <w:tr>
        <w:trPr>
          <w:trHeight w:val="216"/>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Bexotegrast - clinical trial and third party contracting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21,589</w:t>
            </w: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(22,366)</w:t>
            </w:r>
          </w:p>
        </w:tc>
      </w:tr>
      <w:tr>
        <w:trPr>
          <w:trHeight w:val="216"/>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R&amp;D non-program spend</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09"/>
        </w:trPr>
        <w:tc>
          <w:tcPr>
            <w:tcW w:w="69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program-specific external expenses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23,973</w:t>
            </w: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(18,353)</w:t>
            </w: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Unallocated internal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Employee-related expenses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14,188</w:t>
            </w: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(8,924)</w:t>
            </w:r>
          </w:p>
        </w:tc>
      </w:tr>
      <w:tr>
        <w:trPr>
          <w:trHeight w:val="216"/>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of lab equipment and costs of equipment and supplies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r>
      <w:tr>
        <w:trPr>
          <w:trHeight w:val="216"/>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Facilities expenses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16"/>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expenses and other allocations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r>
      <w:tr>
        <w:trPr>
          <w:trHeight w:val="209"/>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Total unallocated internal expenses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r>
      <w:tr>
        <w:trPr>
          <w:trHeight w:val="234"/>
        </w:trPr>
        <w:tc>
          <w:tcPr>
            <w:tcW w:w="69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13,584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0" w:right="460" w:firstLine="382"/>
        <w:spacing w:after="0" w:line="279"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March 31, 2026 decreased $29.9 million, primarily due to discontinuing development of bexotegrast in IPF and lower employee-related expenses, driven by a reduction in headcount resulting from our 2025 restructuring activities.</w:t>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4" w:lineRule="exact"/>
        <w:rPr>
          <w:sz w:val="20"/>
          <w:szCs w:val="20"/>
          <w:color w:val="auto"/>
        </w:rPr>
      </w:pPr>
    </w:p>
    <w:p>
      <w:pPr>
        <w:ind w:left="80" w:right="100" w:firstLine="382"/>
        <w:spacing w:after="0" w:line="279"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March 31, 2026 decreased $7.3 million, primarily due to a decrease in employee related costs driven by reduced headcount resulting from our 2025 restructuring activities.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Interest and Other Income (Expense), Net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Interest and other income (expense), net decreased $1.8 million due to lower investment balances due to continued funding of operating activities.</w:t>
      </w:r>
    </w:p>
    <w:p>
      <w:pPr>
        <w:spacing w:after="0" w:line="1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Interest expense for the three months ended March 31, 2026 decreased $0.8 million due to full repayment of the Amended Loan Agreement in 2025.</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14" w:lineRule="exact"/>
        <w:rPr>
          <w:sz w:val="20"/>
          <w:szCs w:val="20"/>
          <w:color w:val="auto"/>
        </w:rPr>
      </w:pPr>
    </w:p>
    <w:p>
      <w:pPr>
        <w:ind w:left="80" w:right="480" w:firstLine="382"/>
        <w:spacing w:after="0" w:line="279" w:lineRule="auto"/>
        <w:rPr>
          <w:sz w:val="20"/>
          <w:szCs w:val="20"/>
          <w:color w:val="auto"/>
        </w:rPr>
      </w:pPr>
      <w:r>
        <w:rPr>
          <w:rFonts w:ascii="Times New Roman" w:cs="Times New Roman" w:eastAsia="Times New Roman" w:hAnsi="Times New Roman"/>
          <w:sz w:val="17"/>
          <w:szCs w:val="17"/>
          <w:color w:val="auto"/>
        </w:rPr>
        <w:t>As of March 31, 2026, we had $172.4 million of cash, cash equivalents and short-term investments. Our short-term investments consist of U.S. Treasury securities, U.S. Government agency securities and highly rated, investment-grade corporate debt securities.</w:t>
      </w:r>
    </w:p>
    <w:p>
      <w:pPr>
        <w:spacing w:after="0" w:line="55" w:lineRule="exact"/>
        <w:rPr>
          <w:sz w:val="20"/>
          <w:szCs w:val="20"/>
          <w:color w:val="auto"/>
        </w:rPr>
      </w:pPr>
    </w:p>
    <w:p>
      <w:pPr>
        <w:ind w:left="80" w:firstLine="382"/>
        <w:spacing w:after="0" w:line="255" w:lineRule="auto"/>
        <w:rPr>
          <w:sz w:val="20"/>
          <w:szCs w:val="20"/>
          <w:color w:val="auto"/>
        </w:rPr>
      </w:pPr>
      <w:r>
        <w:rPr>
          <w:rFonts w:ascii="Times New Roman" w:cs="Times New Roman" w:eastAsia="Times New Roman" w:hAnsi="Times New Roman"/>
          <w:sz w:val="17"/>
          <w:szCs w:val="17"/>
          <w:color w:val="auto"/>
        </w:rPr>
        <w:t>On March 30, 2026 we entered into a Sales Agreement with Leerink Partners LLC (the "Leerink Sales Agreement"), as sales agent, pursuant to which we may issue and sell shares of common stock in an "at-the-market" offering. On March 30, 2026 we filed a registration statement on Form S-3 (File No. 333-294737) which included an "at the market offering" prospectus covering the offering, issuance and sale of up to $50.0 million of common stock under the Leerink Sales Agreement and a base prospectus registering the offer and sale of up to $300.0 million of debt securities, common stock, preferred stock, units and/or warrants. As of the date of this Report, we have not issued any shares pursuant to any at-the-market offerings, including pursuant to the Leerink Sales Agreement, but may do so at a future date.</w:t>
      </w:r>
    </w:p>
    <w:p>
      <w:pPr>
        <w:spacing w:after="0" w:line="78" w:lineRule="exact"/>
        <w:rPr>
          <w:sz w:val="20"/>
          <w:szCs w:val="20"/>
          <w:color w:val="auto"/>
        </w:rPr>
      </w:pPr>
    </w:p>
    <w:p>
      <w:pPr>
        <w:jc w:val="both"/>
        <w:ind w:left="80" w:right="640" w:firstLine="382"/>
        <w:spacing w:after="0" w:line="264" w:lineRule="auto"/>
        <w:rPr>
          <w:sz w:val="20"/>
          <w:szCs w:val="20"/>
          <w:color w:val="auto"/>
        </w:rPr>
      </w:pPr>
      <w:r>
        <w:rPr>
          <w:rFonts w:ascii="Times New Roman" w:cs="Times New Roman" w:eastAsia="Times New Roman" w:hAnsi="Times New Roman"/>
          <w:sz w:val="17"/>
          <w:szCs w:val="17"/>
          <w:color w:val="auto"/>
        </w:rPr>
        <w:t>In October 2025, we completed a voluntary prepayment of our Amended Loan Agreement with Oxford for $32.4 million, representing all outstanding principal, accrued and unpaid interest, fees, costs and expenses. Upon prepayment, all obligations, covenants, debts and liabilities under the Amended Loan Agreement were satisfied and discharged in full.</w:t>
      </w:r>
    </w:p>
    <w:p>
      <w:pPr>
        <w:spacing w:after="0" w:line="68" w:lineRule="exact"/>
        <w:rPr>
          <w:sz w:val="20"/>
          <w:szCs w:val="20"/>
          <w:color w:val="auto"/>
        </w:rPr>
      </w:pPr>
    </w:p>
    <w:p>
      <w:pPr>
        <w:ind w:left="80" w:right="60" w:firstLine="382"/>
        <w:spacing w:after="0" w:line="259" w:lineRule="auto"/>
        <w:rPr>
          <w:sz w:val="20"/>
          <w:szCs w:val="20"/>
          <w:color w:val="auto"/>
        </w:rPr>
      </w:pPr>
      <w:r>
        <w:rPr>
          <w:rFonts w:ascii="Times New Roman" w:cs="Times New Roman" w:eastAsia="Times New Roman" w:hAnsi="Times New Roman"/>
          <w:sz w:val="17"/>
          <w:szCs w:val="17"/>
          <w:color w:val="auto"/>
        </w:rPr>
        <w:t>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67945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00"/>
          </w:cols>
          <w:pgMar w:left="240" w:top="98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Funding Requirements</w:t>
      </w:r>
    </w:p>
    <w:p>
      <w:pPr>
        <w:spacing w:after="0" w:line="114" w:lineRule="exact"/>
        <w:rPr>
          <w:sz w:val="20"/>
          <w:szCs w:val="20"/>
          <w:color w:val="auto"/>
        </w:rPr>
      </w:pPr>
    </w:p>
    <w:p>
      <w:pPr>
        <w:ind w:right="40" w:firstLine="382"/>
        <w:spacing w:after="0" w:line="279" w:lineRule="auto"/>
        <w:rPr>
          <w:sz w:val="20"/>
          <w:szCs w:val="20"/>
          <w:color w:val="auto"/>
        </w:rPr>
      </w:pPr>
      <w:r>
        <w:rPr>
          <w:rFonts w:ascii="Times New Roman" w:cs="Times New Roman" w:eastAsia="Times New Roman" w:hAnsi="Times New Roman"/>
          <w:sz w:val="17"/>
          <w:szCs w:val="17"/>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future funding requirements will depend on many factors, including the following:</w:t>
      </w:r>
    </w:p>
    <w:p>
      <w:pPr>
        <w:spacing w:after="0" w:line="110" w:lineRule="exact"/>
        <w:rPr>
          <w:sz w:val="20"/>
          <w:szCs w:val="20"/>
          <w:color w:val="auto"/>
        </w:rPr>
      </w:pPr>
    </w:p>
    <w:p>
      <w:pPr>
        <w:ind w:left="1220" w:hanging="454"/>
        <w:spacing w:after="0"/>
        <w:tabs>
          <w:tab w:leader="none" w:pos="12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timing, costs and results of preclinical studies and clinical trials for our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clinical development plans we establish for these product candidates;</w:t>
      </w:r>
    </w:p>
    <w:p>
      <w:pPr>
        <w:spacing w:after="0" w:line="109" w:lineRule="exact"/>
        <w:rPr>
          <w:rFonts w:ascii="Arial" w:cs="Arial" w:eastAsia="Arial" w:hAnsi="Arial"/>
          <w:sz w:val="17"/>
          <w:szCs w:val="17"/>
          <w:color w:val="auto"/>
        </w:rPr>
      </w:pPr>
    </w:p>
    <w:p>
      <w:pPr>
        <w:ind w:left="1220" w:right="40" w:hanging="530"/>
        <w:spacing w:after="0" w:line="278" w:lineRule="auto"/>
        <w:tabs>
          <w:tab w:leader="none" w:pos="12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timelines of our clinical trials and the overall costs to conduct and complete the clinical trials, which may be impacted by health epidemics and pandemics, such as COVID-19;</w:t>
      </w:r>
    </w:p>
    <w:p>
      <w:pPr>
        <w:spacing w:after="0" w:line="55"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number and characteristics of product candidates that we develop;</w:t>
      </w:r>
    </w:p>
    <w:p>
      <w:pPr>
        <w:spacing w:after="0" w:line="109" w:lineRule="exact"/>
        <w:rPr>
          <w:rFonts w:ascii="Arial" w:cs="Arial" w:eastAsia="Arial" w:hAnsi="Arial"/>
          <w:sz w:val="17"/>
          <w:szCs w:val="17"/>
          <w:color w:val="auto"/>
        </w:rPr>
      </w:pPr>
    </w:p>
    <w:p>
      <w:pPr>
        <w:ind w:left="1220" w:right="340" w:hanging="530"/>
        <w:spacing w:after="0" w:line="264" w:lineRule="auto"/>
        <w:tabs>
          <w:tab w:leader="none" w:pos="12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and other comparable foreign regulatory authorities including but not limited to the European Medicines Agency (EMA) and the U.K. Medicines and Healthcare products Regulatory Agency (MHRA);</w:t>
      </w:r>
    </w:p>
    <w:p>
      <w:pPr>
        <w:spacing w:after="0" w:line="67"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whether we enter into any collaboration agreements and the terms of any such agreements;</w:t>
      </w:r>
    </w:p>
    <w:p>
      <w:pPr>
        <w:spacing w:after="0" w:line="109"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cost of filing, prosecuting, defending and enforcing our patent claims and other intellectual property rights;</w:t>
      </w:r>
    </w:p>
    <w:p>
      <w:pPr>
        <w:spacing w:after="0" w:line="109" w:lineRule="exact"/>
        <w:rPr>
          <w:rFonts w:ascii="Arial" w:cs="Arial" w:eastAsia="Arial" w:hAnsi="Arial"/>
          <w:sz w:val="17"/>
          <w:szCs w:val="17"/>
          <w:color w:val="auto"/>
        </w:rPr>
      </w:pPr>
    </w:p>
    <w:p>
      <w:pPr>
        <w:ind w:left="1220" w:right="540" w:hanging="530"/>
        <w:spacing w:after="0" w:line="278" w:lineRule="auto"/>
        <w:tabs>
          <w:tab w:leader="none" w:pos="12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cost of defending intellectual property disputes, including patent infringement actions brought by third parties against us or our product candidates;</w:t>
      </w:r>
    </w:p>
    <w:p>
      <w:pPr>
        <w:spacing w:after="0" w:line="55"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09"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cost and timing of completion of commercial-scale outsourced manufacturing activities;</w:t>
      </w:r>
    </w:p>
    <w:p>
      <w:pPr>
        <w:spacing w:after="0" w:line="109" w:lineRule="exact"/>
        <w:rPr>
          <w:rFonts w:ascii="Arial" w:cs="Arial" w:eastAsia="Arial" w:hAnsi="Arial"/>
          <w:sz w:val="17"/>
          <w:szCs w:val="17"/>
          <w:color w:val="auto"/>
        </w:rPr>
      </w:pPr>
    </w:p>
    <w:p>
      <w:pPr>
        <w:ind w:left="1220" w:right="60" w:hanging="530"/>
        <w:spacing w:after="0" w:line="279" w:lineRule="auto"/>
        <w:tabs>
          <w:tab w:leader="none" w:pos="12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spacing w:after="0" w:line="54" w:lineRule="exact"/>
        <w:rPr>
          <w:rFonts w:ascii="Times New Roman" w:cs="Times New Roman" w:eastAsia="Times New Roman" w:hAnsi="Times New Roman"/>
          <w:sz w:val="17"/>
          <w:szCs w:val="17"/>
          <w:color w:val="auto"/>
        </w:rPr>
      </w:pPr>
    </w:p>
    <w:p>
      <w:pPr>
        <w:ind w:left="1220" w:right="140" w:hanging="530"/>
        <w:spacing w:after="0" w:line="278" w:lineRule="auto"/>
        <w:tabs>
          <w:tab w:leader="none" w:pos="12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55" w:lineRule="exact"/>
        <w:rPr>
          <w:rFonts w:ascii="Arial" w:cs="Arial" w:eastAsia="Arial" w:hAnsi="Arial"/>
          <w:sz w:val="17"/>
          <w:szCs w:val="17"/>
          <w:color w:val="auto"/>
        </w:rPr>
      </w:pPr>
    </w:p>
    <w:p>
      <w:pPr>
        <w:ind w:left="1220" w:hanging="530"/>
        <w:spacing w:after="0"/>
        <w:tabs>
          <w:tab w:leader="none" w:pos="122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cost of operating as a public company.</w:t>
      </w:r>
    </w:p>
    <w:p>
      <w:pPr>
        <w:spacing w:after="0" w:line="109"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In addition, the discontinuation of our development of bexotegrast in IPF may intensify the risk that we will be unable to access capital on favorable terms, or at all, as and when needed.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2025</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summarizes our cash flows for the periods indicated (in thousands):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47" w:right="379" w:bottom="1440" w:gutter="0" w:footer="0" w:header="0"/>
        </w:sectPr>
      </w:pPr>
    </w:p>
    <w:bookmarkStart w:id="25" w:name="page26"/>
    <w:bookmarkEnd w:id="25"/>
    <w:tbl>
      <w:tblPr>
        <w:tblLayout w:type="fixed"/>
        <w:tblInd w:w="10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8"/>
        </w:trPr>
        <w:tc>
          <w:tcPr>
            <w:tcW w:w="76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(48,864)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69,114</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(23,255)</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20,748</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Used in Operating Activities</w:t>
      </w:r>
    </w:p>
    <w:p>
      <w:pPr>
        <w:spacing w:after="0" w:line="114" w:lineRule="exact"/>
        <w:rPr>
          <w:sz w:val="20"/>
          <w:szCs w:val="20"/>
          <w:color w:val="auto"/>
        </w:rPr>
      </w:pPr>
    </w:p>
    <w:p>
      <w:pPr>
        <w:ind w:right="360" w:firstLine="382"/>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decreased $29.6 million, primarily due to the discontinuation of the BEACON-IPF study in 2025 and the related restructuring of operations that reduced workforce and refocused development efforts toward PLN-101095, which is in an earlier, less capital-intensive phase of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Used in Investing Activities</w:t>
      </w:r>
    </w:p>
    <w:p>
      <w:pPr>
        <w:spacing w:after="0" w:line="114" w:lineRule="exact"/>
        <w:rPr>
          <w:sz w:val="20"/>
          <w:szCs w:val="20"/>
          <w:color w:val="auto"/>
        </w:rPr>
      </w:pPr>
    </w:p>
    <w:p>
      <w:pPr>
        <w:ind w:right="20" w:firstLine="382"/>
        <w:spacing w:after="0" w:line="311" w:lineRule="auto"/>
        <w:rPr>
          <w:sz w:val="20"/>
          <w:szCs w:val="20"/>
          <w:color w:val="auto"/>
        </w:rPr>
      </w:pPr>
      <w:r>
        <w:rPr>
          <w:rFonts w:ascii="Times New Roman" w:cs="Times New Roman" w:eastAsia="Times New Roman" w:hAnsi="Times New Roman"/>
          <w:sz w:val="16"/>
          <w:szCs w:val="16"/>
          <w:color w:val="auto"/>
        </w:rPr>
        <w:t>Net cash used in investing activities was $4.1 million compared to net cash provided by investing activities of $69.1 million. The $73.2 million change compared to the same period of the prior year was driven by purchases of marketable securities exceeding maturities during the three months ended March 31,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Provided by Financing Activities</w:t>
      </w:r>
    </w:p>
    <w:p>
      <w:pPr>
        <w:spacing w:after="0" w:line="114" w:lineRule="exact"/>
        <w:rPr>
          <w:sz w:val="20"/>
          <w:szCs w:val="20"/>
          <w:color w:val="auto"/>
        </w:rPr>
      </w:pPr>
    </w:p>
    <w:p>
      <w:pPr>
        <w:ind w:right="100" w:firstLine="382"/>
        <w:spacing w:after="0" w:line="279" w:lineRule="auto"/>
        <w:rPr>
          <w:sz w:val="20"/>
          <w:szCs w:val="20"/>
          <w:color w:val="auto"/>
        </w:rPr>
      </w:pPr>
      <w:r>
        <w:rPr>
          <w:rFonts w:ascii="Times New Roman" w:cs="Times New Roman" w:eastAsia="Times New Roman" w:hAnsi="Times New Roman"/>
          <w:sz w:val="17"/>
          <w:szCs w:val="17"/>
          <w:color w:val="auto"/>
        </w:rPr>
        <w:t>Net cash provided by financing activities decreased $0.4 million, as lower headcount and a decreased stock price yielded smaller proceeds associated with our Employee Stock Purchase Plan during the three months ended March 31,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Other Commitments</w:t>
      </w:r>
    </w:p>
    <w:p>
      <w:pPr>
        <w:spacing w:after="0" w:line="114" w:lineRule="exact"/>
        <w:rPr>
          <w:sz w:val="20"/>
          <w:szCs w:val="20"/>
          <w:color w:val="auto"/>
        </w:rPr>
      </w:pPr>
    </w:p>
    <w:p>
      <w:pPr>
        <w:ind w:right="300" w:firstLine="382"/>
        <w:spacing w:after="0" w:line="279" w:lineRule="auto"/>
        <w:rPr>
          <w:sz w:val="20"/>
          <w:szCs w:val="20"/>
          <w:color w:val="auto"/>
        </w:rPr>
      </w:pPr>
      <w:r>
        <w:rPr>
          <w:rFonts w:ascii="Times New Roman" w:cs="Times New Roman" w:eastAsia="Times New Roman" w:hAnsi="Times New Roman"/>
          <w:sz w:val="17"/>
          <w:szCs w:val="17"/>
          <w:color w:val="auto"/>
        </w:rPr>
        <w:t>At March 31, 2026, we have a non-cancelable operating lease for office and laboratory space through March 31, 2031. Refer to Note 14 and Note 15 to our financial statements appearing elsewhere in this Report for a discussion of material obligations and commitments.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periods presented, we did not have, nor do we currently have, any off-balance sheet arrangements or holdings in any variable interest entities.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Polices and Estimates</w:t>
      </w:r>
    </w:p>
    <w:p>
      <w:pPr>
        <w:spacing w:after="0" w:line="114"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8" w:lineRule="exact"/>
        <w:rPr>
          <w:sz w:val="20"/>
          <w:szCs w:val="20"/>
          <w:color w:val="auto"/>
        </w:rPr>
      </w:pPr>
    </w:p>
    <w:p>
      <w:pPr>
        <w:ind w:right="180" w:firstLine="382"/>
        <w:spacing w:after="0" w:line="279"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from those described in “Part II, Item 7. Management’s Discussion and Analysis of Financial Condition and Results of Operations” included in our 2025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See Note 2 to the Notes to Condensed Unaudited Financial Statements of this Report for more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4" w:lineRule="exact"/>
        <w:rPr>
          <w:sz w:val="20"/>
          <w:szCs w:val="20"/>
          <w:color w:val="auto"/>
        </w:rPr>
      </w:pPr>
    </w:p>
    <w:p>
      <w:pPr>
        <w:ind w:right="80" w:firstLine="382"/>
        <w:spacing w:after="0" w:line="257" w:lineRule="auto"/>
        <w:rPr>
          <w:sz w:val="20"/>
          <w:szCs w:val="20"/>
          <w:color w:val="auto"/>
        </w:rPr>
      </w:pPr>
      <w:r>
        <w:rPr>
          <w:rFonts w:ascii="Times New Roman" w:cs="Times New Roman" w:eastAsia="Times New Roman" w:hAnsi="Times New Roman"/>
          <w:sz w:val="17"/>
          <w:szCs w:val="17"/>
          <w:color w:val="auto"/>
        </w:rPr>
        <w:t>The primary objectives of our investment activities are to ensure liquidity and to preserve capital. We are exposed to market risks in the ordinary course of our business. These risks primarily include interest rate sensitivities. We had cash and cash equivalents, restricted cash and short-term investments of $172.4 million as of March 31, 2026 which consisted of bank deposits, highly liquid money market funds and short-term investments in U.S. treasury securities, U.S. government agency securities and corporate debt securities. Due to the short-term maturities of our cash equivalents and short-term investments, an immediate 100 basis point change in interest rates would not have a material effect on the fair market value of our cash equivalents or short-term investments.</w:t>
      </w:r>
    </w:p>
    <w:p>
      <w:pPr>
        <w:spacing w:after="0" w:line="74"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7"/>
          <w:szCs w:val="17"/>
          <w:color w:val="auto"/>
        </w:rPr>
        <w:t>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6" w:name="page27"/>
    <w:bookmarkEnd w:id="26"/>
    <w:p>
      <w:pPr>
        <w:ind w:right="840"/>
        <w:spacing w:after="0" w:line="279" w:lineRule="auto"/>
        <w:rPr>
          <w:sz w:val="20"/>
          <w:szCs w:val="20"/>
          <w:color w:val="auto"/>
        </w:rPr>
      </w:pPr>
      <w:r>
        <w:rPr>
          <w:rFonts w:ascii="Times New Roman" w:cs="Times New Roman" w:eastAsia="Times New Roman" w:hAnsi="Times New Roman"/>
          <w:sz w:val="17"/>
          <w:szCs w:val="17"/>
          <w:color w:val="auto"/>
        </w:rPr>
        <w:t>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4" w:lineRule="exact"/>
        <w:rPr>
          <w:sz w:val="20"/>
          <w:szCs w:val="20"/>
          <w:color w:val="auto"/>
        </w:rPr>
      </w:pPr>
    </w:p>
    <w:p>
      <w:pPr>
        <w:ind w:right="160" w:firstLine="382"/>
        <w:spacing w:after="0" w:line="257" w:lineRule="auto"/>
        <w:rPr>
          <w:sz w:val="20"/>
          <w:szCs w:val="20"/>
          <w:color w:val="auto"/>
        </w:rPr>
      </w:pPr>
      <w:r>
        <w:rPr>
          <w:rFonts w:ascii="Times New Roman" w:cs="Times New Roman" w:eastAsia="Times New Roman" w:hAnsi="Times New Roman"/>
          <w:sz w:val="17"/>
          <w:szCs w:val="17"/>
          <w:color w:val="auto"/>
        </w:rPr>
        <w:t>As of March 31, 2026,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74" w:lineRule="exact"/>
        <w:rPr>
          <w:sz w:val="20"/>
          <w:szCs w:val="20"/>
          <w:color w:val="auto"/>
        </w:rPr>
      </w:pPr>
    </w:p>
    <w:p>
      <w:pPr>
        <w:ind w:right="100" w:firstLine="382"/>
        <w:spacing w:after="0" w:line="259" w:lineRule="auto"/>
        <w:rPr>
          <w:sz w:val="20"/>
          <w:szCs w:val="20"/>
          <w:color w:val="auto"/>
        </w:rPr>
      </w:pPr>
      <w:r>
        <w:rPr>
          <w:rFonts w:ascii="Times New Roman" w:cs="Times New Roman" w:eastAsia="Times New Roman" w:hAnsi="Times New Roman"/>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2026, the design and operation of our disclosure controls and procedures were effective at a reasonable assurance level.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4"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7"/>
          <w:szCs w:val="17"/>
          <w:color w:val="auto"/>
        </w:rPr>
        <w:t>There was no change in our internal controls over financial reporting identified in connection with the evaluation required by Rule 13a-15(d) and 15d-15(d) under the Exchange Act that occurred during the quarter ended March 31, 2026 that has materially affected, or is reasonably likely to materially affect, our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95"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7"/>
          <w:szCs w:val="17"/>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we face. There may be additional risks faced by our business. Other events that we do not currently anticipate or that we currently deem immaterial may also adversely affect our financial condition or results of operations. In addition, we cannot assure investors that our assumptions and expectations will provide to be correct. Important factors could cause our actual results to differ materially from those expressed or implied by forward-looking statements. See "Special Note Regarding Forward-Looking Statements" elsewhere in this Report.</w:t>
      </w:r>
    </w:p>
    <w:p>
      <w:pPr>
        <w:spacing w:after="0" w:line="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Operations and Need for Additional Capital</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net losses since inception and we expect to continue to incur significant net losses for the foreseeable future.</w:t>
      </w:r>
    </w:p>
    <w:p>
      <w:pPr>
        <w:spacing w:after="0" w:line="114"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We have incurred significant net losses since our inception and have financed our operations principally through equity and debt financing and our prior collaboration with Novartis Institute for Biomedical Research, Inc. ("Novartis"). We continue to incur significant research and development and other expenses related to our ongoing operations. Our net loss was $20.0 million and $56.2 million for the three months ended March 31, 2026 and 2025, respectively. As of March 31, 2026, we had an accumulated deficit of $879.4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expect to continue to incur significant losses for the foreseeable future as we:</w:t>
      </w:r>
    </w:p>
    <w:p>
      <w:pPr>
        <w:spacing w:after="0" w:line="110" w:lineRule="exact"/>
        <w:rPr>
          <w:sz w:val="20"/>
          <w:szCs w:val="20"/>
          <w:color w:val="auto"/>
        </w:rPr>
      </w:pPr>
    </w:p>
    <w:p>
      <w:pPr>
        <w:ind w:left="5540" w:right="2820" w:hanging="4850"/>
        <w:spacing w:after="0" w:line="920" w:lineRule="auto"/>
        <w:tabs>
          <w:tab w:leader="none" w:pos="122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our product candidates through clinical development, and, if successful, later-stage clinical trials;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-298450</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7" w:name="page28"/>
    <w:bookmarkEnd w:id="27"/>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and develop new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our preclinical development programs into clinical development;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develop manufacturing processes and manufacture our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product candidates that successfully complete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commercialize PLN-101095 and any other future product candidates, if approved;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amount of research and development activities to identify and develop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development, quality control, scientific and management personnel;</w:t>
      </w:r>
    </w:p>
    <w:p>
      <w:pPr>
        <w:spacing w:after="0" w:line="110" w:lineRule="exact"/>
        <w:rPr>
          <w:rFonts w:ascii="Times New Roman" w:cs="Times New Roman" w:eastAsia="Times New Roman" w:hAnsi="Times New Roman"/>
          <w:sz w:val="17"/>
          <w:szCs w:val="17"/>
          <w:color w:val="auto"/>
        </w:rPr>
      </w:pPr>
    </w:p>
    <w:p>
      <w:pPr>
        <w:ind w:left="1220" w:right="400" w:hanging="530"/>
        <w:spacing w:after="0" w:line="279" w:lineRule="auto"/>
        <w:tabs>
          <w:tab w:leader="none" w:pos="1216" w:val="left"/>
        </w:tabs>
        <w:numPr>
          <w:ilvl w:val="0"/>
          <w:numId w:val="16"/>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54" w:lineRule="exact"/>
        <w:rPr>
          <w:rFonts w:ascii="Times New Roman" w:cs="Times New Roman" w:eastAsia="Times New Roman" w:hAnsi="Times New Roman"/>
          <w:sz w:val="17"/>
          <w:szCs w:val="17"/>
          <w:color w:val="auto"/>
          <w:strike w:val="1"/>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or in-license other technologies or product candidates;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build out our organization to engage in such activities.</w:t>
      </w:r>
    </w:p>
    <w:p>
      <w:pPr>
        <w:spacing w:after="0" w:line="11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Our pursuit of internal and external opportunities may not deliver the benefits we expect or enhance stockholder value.</w:t>
      </w:r>
    </w:p>
    <w:p>
      <w:pPr>
        <w:spacing w:after="0" w:line="114"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7"/>
          <w:szCs w:val="17"/>
          <w:color w:val="auto"/>
        </w:rPr>
        <w:t>Following the discontinuation of our BEACON-IPF Phase 2b trial, we have evaluated and are continuing to evaluate a broad range of opportunities designed to create stockholder value. There can be no assurance regarding the results or outcome of any opportunities we may pursue. It is possible that we may not identify or pursue opportunities, that such opportunities pursued may not be attractive, or that such opportunities may not ultimately be consummated. Further, any strategic transaction or other opportunity that is consummated ultimately may not deliver the benefits we expect or enhance stockholder value.</w:t>
      </w:r>
    </w:p>
    <w:p>
      <w:pPr>
        <w:spacing w:after="0" w:line="69"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5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7"/>
          <w:szCs w:val="17"/>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to incur significant expenses in connection with our ongoing activities, particularly as we conduct clinical trials of PLN-101095 and any future product candidates that we may develop, seek regulatory approvals for our product candidates and launch and commercialize any products for which we receive regulatory approval. Accordingly, we will need to obtain substantial additional funding in order to maintain our continuing operations, and such funding may be more difficult to obtain given the early stages of our current programs as well as financial, economic and market conditions and other factors, over which we may have limited or no control. If we are unable to raise capital when needed or on acceptable terms, we may be forced to delay, reduce, or eliminate one or more of our research and drug development programs or future commercialization efforts.</w:t>
      </w:r>
    </w:p>
    <w:p>
      <w:pPr>
        <w:spacing w:after="0" w:line="77"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7"/>
          <w:szCs w:val="17"/>
          <w:color w:val="auto"/>
        </w:rPr>
        <w:t>As of March 31, 2026, we had approximately $172.4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PLN-101095 and any other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8" w:name="page29"/>
    <w:bookmarkEnd w:id="28"/>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timing, costs and results of preclinical studies and clinical trials for our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development plans we establish for product candidates;</w:t>
      </w:r>
    </w:p>
    <w:p>
      <w:pPr>
        <w:spacing w:after="0" w:line="110" w:lineRule="exact"/>
        <w:rPr>
          <w:rFonts w:ascii="Times New Roman" w:cs="Times New Roman" w:eastAsia="Times New Roman" w:hAnsi="Times New Roman"/>
          <w:sz w:val="17"/>
          <w:szCs w:val="17"/>
          <w:color w:val="auto"/>
        </w:rPr>
      </w:pPr>
    </w:p>
    <w:p>
      <w:pPr>
        <w:ind w:left="1220" w:right="40" w:hanging="530"/>
        <w:spacing w:after="0" w:line="264" w:lineRule="auto"/>
        <w:tabs>
          <w:tab w:leader="none" w:pos="1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timelines of our clinical trials and the overall costs to conduct and complete the clinical trials, including any increased costs due to disruptions caused by marketplace conditions, including the effects of health epidemics and pandemics or other geopolitical conditions, such as recent military actions against Iran;</w:t>
      </w:r>
    </w:p>
    <w:p>
      <w:pPr>
        <w:spacing w:after="0" w:line="68" w:lineRule="exact"/>
        <w:rPr>
          <w:rFonts w:ascii="Times New Roman" w:cs="Times New Roman" w:eastAsia="Times New Roman" w:hAnsi="Times New Roman"/>
          <w:sz w:val="17"/>
          <w:szCs w:val="17"/>
          <w:color w:val="auto"/>
        </w:rPr>
      </w:pPr>
    </w:p>
    <w:p>
      <w:pPr>
        <w:ind w:left="1220" w:right="400" w:hanging="530"/>
        <w:spacing w:after="0" w:line="279" w:lineRule="auto"/>
        <w:tabs>
          <w:tab w:leader="none" w:pos="1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capital commitments required for developing manufacturing processes for our product candidates and manufacturing our product candidates at clinical and commercial scales;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product candidates that we develop;</w:t>
      </w:r>
    </w:p>
    <w:p>
      <w:pPr>
        <w:spacing w:after="0" w:line="110" w:lineRule="exact"/>
        <w:rPr>
          <w:rFonts w:ascii="Times New Roman" w:cs="Times New Roman" w:eastAsia="Times New Roman" w:hAnsi="Times New Roman"/>
          <w:sz w:val="17"/>
          <w:szCs w:val="17"/>
          <w:color w:val="auto"/>
        </w:rPr>
      </w:pPr>
    </w:p>
    <w:p>
      <w:pPr>
        <w:ind w:left="1220" w:right="540" w:hanging="530"/>
        <w:spacing w:after="0" w:line="279" w:lineRule="auto"/>
        <w:tabs>
          <w:tab w:leader="none" w:pos="1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U.S. Food and Drug Administration, or FDA, and other comparable foreign regulatory authorities;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are able to enter into future collaboration agreements and the terms of any such agreements;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and timing of achieving a favorable pricing and reimbursement decision by the pricing authorities in the markets of interest;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secure a position recommendation following the health technology assessment by the health technology bodies in the relevant market;</w:t>
      </w:r>
    </w:p>
    <w:p>
      <w:pPr>
        <w:spacing w:after="0" w:line="121" w:lineRule="exact"/>
        <w:rPr>
          <w:rFonts w:ascii="Times New Roman" w:cs="Times New Roman" w:eastAsia="Times New Roman" w:hAnsi="Times New Roman"/>
          <w:sz w:val="16"/>
          <w:szCs w:val="16"/>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filing, prosecuting, defending and enforcing our patent claims and other intellectual property rights;</w:t>
      </w:r>
    </w:p>
    <w:p>
      <w:pPr>
        <w:spacing w:after="0" w:line="110" w:lineRule="exact"/>
        <w:rPr>
          <w:rFonts w:ascii="Times New Roman" w:cs="Times New Roman" w:eastAsia="Times New Roman" w:hAnsi="Times New Roman"/>
          <w:sz w:val="17"/>
          <w:szCs w:val="17"/>
          <w:color w:val="auto"/>
        </w:rPr>
      </w:pPr>
    </w:p>
    <w:p>
      <w:pPr>
        <w:ind w:left="1220" w:right="580" w:hanging="530"/>
        <w:spacing w:after="0" w:line="279" w:lineRule="auto"/>
        <w:tabs>
          <w:tab w:leader="none" w:pos="1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defending intellectual property disputes, including patent infringement actions brought by third parties against us or our product candidates;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completion of commercial-scale outsourced manufacturing activities; and</w:t>
      </w:r>
    </w:p>
    <w:p>
      <w:pPr>
        <w:spacing w:after="0" w:line="110" w:lineRule="exact"/>
        <w:rPr>
          <w:rFonts w:ascii="Times New Roman" w:cs="Times New Roman" w:eastAsia="Times New Roman" w:hAnsi="Times New Roman"/>
          <w:sz w:val="17"/>
          <w:szCs w:val="17"/>
          <w:color w:val="auto"/>
        </w:rPr>
      </w:pPr>
    </w:p>
    <w:p>
      <w:pPr>
        <w:ind w:left="1220" w:right="180" w:hanging="530"/>
        <w:spacing w:after="0" w:line="279" w:lineRule="auto"/>
        <w:tabs>
          <w:tab w:leader="none" w:pos="1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42" w:lineRule="exact"/>
        <w:rPr>
          <w:sz w:val="20"/>
          <w:szCs w:val="20"/>
          <w:color w:val="auto"/>
        </w:rPr>
      </w:pPr>
    </w:p>
    <w:p>
      <w:pPr>
        <w:ind w:right="60" w:firstLine="382"/>
        <w:spacing w:after="0" w:line="251" w:lineRule="auto"/>
        <w:rPr>
          <w:sz w:val="20"/>
          <w:szCs w:val="20"/>
          <w:color w:val="auto"/>
        </w:rPr>
      </w:pPr>
      <w:r>
        <w:rPr>
          <w:rFonts w:ascii="Times New Roman" w:cs="Times New Roman" w:eastAsia="Times New Roman" w:hAnsi="Times New Roman"/>
          <w:sz w:val="16"/>
          <w:szCs w:val="16"/>
          <w:color w:val="auto"/>
        </w:rPr>
        <w:t>We have previously borrowed and may in the future borrow additional capital from institutional and commercial banking sources to fund future growth or potentially pursuant to new arrangements with different lenders. In addition, we have sought and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could also adversely impact our ability to access capital as and when needed. If we are unable to raise additional capital in sufficient amounts or on terms acceptable to us, we may have to significantly delay, scale back or discontinue the development or commercialization of our product candidates or other research and development initiatives. Any of the above events could significantly harm our business, prospects, financial condition and results of operations and cause the price of our common stock to decline.</w:t>
      </w:r>
    </w:p>
    <w:p>
      <w:pPr>
        <w:spacing w:after="0" w:line="74"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320" w:firstLine="382"/>
        <w:spacing w:after="0" w:line="279"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9" w:name="page30"/>
    <w:bookmarkEnd w:id="29"/>
    <w:p>
      <w:pPr>
        <w:ind w:left="1220" w:right="760" w:hanging="530"/>
        <w:spacing w:after="0" w:line="279" w:lineRule="auto"/>
        <w:tabs>
          <w:tab w:leader="none" w:pos="12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recruit and retain subjects for clinical trials, and any delays caused by difficulties in such efforts;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marketing approval for our product candidates, and the timing and scope of any such approvals we may receive;</w:t>
      </w:r>
    </w:p>
    <w:p>
      <w:pPr>
        <w:spacing w:after="0" w:line="110" w:lineRule="exact"/>
        <w:rPr>
          <w:rFonts w:ascii="Times New Roman" w:cs="Times New Roman" w:eastAsia="Times New Roman" w:hAnsi="Times New Roman"/>
          <w:sz w:val="17"/>
          <w:szCs w:val="17"/>
          <w:color w:val="auto"/>
        </w:rPr>
      </w:pPr>
    </w:p>
    <w:p>
      <w:pPr>
        <w:ind w:left="1220" w:right="120" w:hanging="530"/>
        <w:spacing w:after="0" w:line="279" w:lineRule="auto"/>
        <w:tabs>
          <w:tab w:leader="none" w:pos="12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and development activities relating to our product candidates, which may change from time to time;</w:t>
      </w:r>
    </w:p>
    <w:p>
      <w:pPr>
        <w:spacing w:after="0" w:line="54" w:lineRule="exact"/>
        <w:rPr>
          <w:rFonts w:ascii="Times New Roman" w:cs="Times New Roman" w:eastAsia="Times New Roman" w:hAnsi="Times New Roman"/>
          <w:sz w:val="17"/>
          <w:szCs w:val="17"/>
          <w:color w:val="auto"/>
        </w:rPr>
      </w:pPr>
    </w:p>
    <w:p>
      <w:pPr>
        <w:ind w:left="1220" w:hanging="530"/>
        <w:spacing w:after="0" w:line="279" w:lineRule="auto"/>
        <w:tabs>
          <w:tab w:leader="none" w:pos="12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product candidates, which may vary depending on the difficulty of manufacture, quantity of production and the terms of our agreements with manufacturers;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hire and retain qualified personnel;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that we will or may incur to develop our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for our product candidates should they receive approval, which may vary significantly;</w:t>
      </w:r>
    </w:p>
    <w:p>
      <w:pPr>
        <w:spacing w:after="0" w:line="110" w:lineRule="exact"/>
        <w:rPr>
          <w:rFonts w:ascii="Times New Roman" w:cs="Times New Roman" w:eastAsia="Times New Roman" w:hAnsi="Times New Roman"/>
          <w:sz w:val="17"/>
          <w:szCs w:val="17"/>
          <w:color w:val="auto"/>
        </w:rPr>
      </w:pPr>
    </w:p>
    <w:p>
      <w:pPr>
        <w:ind w:left="1220" w:right="460" w:hanging="530"/>
        <w:spacing w:after="0" w:line="279" w:lineRule="auto"/>
        <w:tabs>
          <w:tab w:leader="none" w:pos="12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risk/benefit profile, cost and reimbursement policies with respect to our product candidates, if approved, and existing and potential future therapeutics that compete with our product candidates;</w:t>
      </w:r>
    </w:p>
    <w:p>
      <w:pPr>
        <w:spacing w:after="0" w:line="3" w:lineRule="exact"/>
        <w:rPr>
          <w:rFonts w:ascii="Times New Roman" w:cs="Times New Roman" w:eastAsia="Times New Roman" w:hAnsi="Times New Roman"/>
          <w:sz w:val="17"/>
          <w:szCs w:val="17"/>
          <w:color w:val="auto"/>
        </w:rPr>
      </w:pPr>
    </w:p>
    <w:p>
      <w:pPr>
        <w:ind w:left="1220" w:right="520" w:hanging="530"/>
        <w:spacing w:after="0" w:line="279" w:lineRule="auto"/>
        <w:tabs>
          <w:tab w:leader="none" w:pos="12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or extraordinary external events, such as recessions, inflationary and labor market pressures, changes in domestic policies, volatility and uncertainty, as well as potential volatility in the global trade markets or interest rates;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changing and volatile U.S. and global economic and political environments;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w:t>
      </w:r>
    </w:p>
    <w:p>
      <w:pPr>
        <w:spacing w:after="0" w:line="110" w:lineRule="exact"/>
        <w:rPr>
          <w:sz w:val="20"/>
          <w:szCs w:val="20"/>
          <w:color w:val="auto"/>
        </w:rPr>
      </w:pPr>
    </w:p>
    <w:p>
      <w:pPr>
        <w:ind w:right="120" w:firstLine="382"/>
        <w:spacing w:after="0" w:line="277" w:lineRule="auto"/>
        <w:rPr>
          <w:sz w:val="20"/>
          <w:szCs w:val="20"/>
          <w:color w:val="auto"/>
        </w:rPr>
      </w:pPr>
      <w:r>
        <w:rPr>
          <w:rFonts w:ascii="Times New Roman" w:cs="Times New Roman" w:eastAsia="Times New Roman" w:hAnsi="Times New Roman"/>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Risks Related to Research and Development and the Biopharmaceutical Industry</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which may make it difficult to evaluate our prospects and likelihood of success.</w:t>
      </w:r>
    </w:p>
    <w:p>
      <w:pPr>
        <w:spacing w:after="0" w:line="114"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integrin-based therapeutics.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product at commercial scale,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spacing w:after="0" w:line="72"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on the success of the product candidates that we advance into the clinic. PLN-101095, our lead program, and our other product candidates will require significant additional development before we may be able to seek regulatory approval for and commercially launch a product.</w:t>
      </w:r>
    </w:p>
    <w:p>
      <w:pPr>
        <w:spacing w:after="0" w:line="51"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7"/>
          <w:szCs w:val="17"/>
          <w:color w:val="auto"/>
        </w:rPr>
        <w:t>We a</w:t>
      </w:r>
      <w:r>
        <w:rPr>
          <w:rFonts w:ascii="Times New Roman" w:cs="Times New Roman" w:eastAsia="Times New Roman" w:hAnsi="Times New Roman"/>
          <w:sz w:val="17"/>
          <w:szCs w:val="17"/>
          <w:color w:val="242424"/>
        </w:rPr>
        <w:t>re currently conducting a Phase 1 clinical trial of PLN-101095 in solid tumors</w:t>
      </w:r>
      <w:r>
        <w:rPr>
          <w:rFonts w:ascii="Times New Roman" w:cs="Times New Roman" w:eastAsia="Times New Roman" w:hAnsi="Times New Roman"/>
          <w:sz w:val="17"/>
          <w:szCs w:val="17"/>
          <w:color w:val="auto"/>
        </w:rPr>
        <w:t>. We have no products that are approved for commercial sale and may never be able to develop marketable products. If PLN-101095 or any of our other product candidates encounter safety or efficacy problems, development delays, regulatory issues or other problems, our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0" w:name="page31"/>
    <w:bookmarkEnd w:id="30"/>
    <w:p>
      <w:pPr>
        <w:spacing w:after="0" w:line="259" w:lineRule="auto"/>
        <w:rPr>
          <w:sz w:val="20"/>
          <w:szCs w:val="20"/>
          <w:color w:val="auto"/>
        </w:rPr>
      </w:pPr>
      <w:r>
        <w:rPr>
          <w:rFonts w:ascii="Times New Roman" w:cs="Times New Roman" w:eastAsia="Times New Roman" w:hAnsi="Times New Roman"/>
          <w:sz w:val="17"/>
          <w:szCs w:val="17"/>
          <w:color w:val="auto"/>
        </w:rPr>
        <w:t>development plans and business would be significantly harmed. For example, in March 2025, we announced that we were discontinuing the BEACON-IPF Phase 2b trial following a prespecified data review and recommendation by the trial’s independent data safety monitoring board, or DSMB, as well as a secondary review and recommendation by an outside expert panel. Subsequently, in June 2025, we announced that we were discontinuing the development of bexotegrast in idiopathic pulmonary fibrosis, or IPF.</w:t>
      </w:r>
    </w:p>
    <w:p>
      <w:pPr>
        <w:spacing w:after="0" w:line="73"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7"/>
          <w:szCs w:val="17"/>
          <w:color w:val="auto"/>
        </w:rPr>
        <w:t>Before we can generate any revenue from sales of PLN-101095 or any of our other product candidates, we must undergo additional preclinical and clinical development and regulatory review and obtain marketing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PLN-101095 or any of our other product candidates.</w:t>
      </w:r>
    </w:p>
    <w:p>
      <w:pPr>
        <w:spacing w:after="0" w:line="74" w:lineRule="exact"/>
        <w:rPr>
          <w:sz w:val="20"/>
          <w:szCs w:val="20"/>
          <w:color w:val="auto"/>
        </w:rPr>
      </w:pPr>
    </w:p>
    <w:p>
      <w:pPr>
        <w:ind w:right="400" w:firstLine="382"/>
        <w:spacing w:after="0" w:line="279" w:lineRule="auto"/>
        <w:rPr>
          <w:sz w:val="20"/>
          <w:szCs w:val="20"/>
          <w:color w:val="auto"/>
        </w:rPr>
      </w:pPr>
      <w:r>
        <w:rPr>
          <w:rFonts w:ascii="Times New Roman" w:cs="Times New Roman" w:eastAsia="Times New Roman" w:hAnsi="Times New Roman"/>
          <w:sz w:val="17"/>
          <w:szCs w:val="17"/>
          <w:color w:val="auto"/>
        </w:rPr>
        <w:t>We may experience setbacks that could delay or prevent regulatory approval of, or the extent of regulatory protection or our ability to commercialize, our product candidates, including:</w:t>
      </w:r>
    </w:p>
    <w:p>
      <w:pPr>
        <w:spacing w:after="0" w:line="55" w:lineRule="exact"/>
        <w:rPr>
          <w:sz w:val="20"/>
          <w:szCs w:val="20"/>
          <w:color w:val="auto"/>
        </w:rPr>
      </w:pPr>
    </w:p>
    <w:p>
      <w:pPr>
        <w:ind w:left="1220" w:right="20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7"/>
          <w:szCs w:val="17"/>
          <w:color w:val="auto"/>
        </w:rPr>
      </w:pPr>
    </w:p>
    <w:p>
      <w:pPr>
        <w:ind w:left="1220" w:right="52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product-related side effects experienced by subjects in our clinical trials or by individuals using drugs or therapeutics similar to our product candidates;</w:t>
      </w:r>
    </w:p>
    <w:p>
      <w:pPr>
        <w:spacing w:after="0" w:line="54" w:lineRule="exact"/>
        <w:rPr>
          <w:rFonts w:ascii="Times New Roman" w:cs="Times New Roman" w:eastAsia="Times New Roman" w:hAnsi="Times New Roman"/>
          <w:sz w:val="17"/>
          <w:szCs w:val="17"/>
          <w:color w:val="auto"/>
        </w:rPr>
      </w:pPr>
    </w:p>
    <w:p>
      <w:pPr>
        <w:ind w:left="1220" w:right="56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submitting investigational new drug, or IND, applications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imposed by the FDA or comparable foreign authorities regarding the scope or design of our clinical trials;</w:t>
      </w:r>
    </w:p>
    <w:p>
      <w:pPr>
        <w:spacing w:after="0" w:line="110" w:lineRule="exact"/>
        <w:rPr>
          <w:rFonts w:ascii="Times New Roman" w:cs="Times New Roman" w:eastAsia="Times New Roman" w:hAnsi="Times New Roman"/>
          <w:sz w:val="17"/>
          <w:szCs w:val="17"/>
          <w:color w:val="auto"/>
        </w:rPr>
      </w:pPr>
    </w:p>
    <w:p>
      <w:pPr>
        <w:ind w:left="1220" w:right="30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enrolling subjects in clinical trials, including due to operational challenges, competition with other clinical trials, the effects of health epidemics and pandemics or geopolitical events, such as recent military action against Iran;</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drop-out rates or screening failures of subjects from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supply or quality of product candidates or other materials necessary for the conduct of our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manufacturing our product candidates to regulatory requirements in a cost effective manner;</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than anticipated clinical trial costs;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compete with other therapies;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secure or maintain orphan designation in some jurisdictions;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efficacy of our product candidates during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FDA or other regulatory agency inspection and review of a clinical trial site;</w:t>
      </w:r>
    </w:p>
    <w:p>
      <w:pPr>
        <w:spacing w:after="0" w:line="110" w:lineRule="exact"/>
        <w:rPr>
          <w:rFonts w:ascii="Times New Roman" w:cs="Times New Roman" w:eastAsia="Times New Roman" w:hAnsi="Times New Roman"/>
          <w:sz w:val="17"/>
          <w:szCs w:val="17"/>
          <w:color w:val="auto"/>
        </w:rPr>
      </w:pPr>
    </w:p>
    <w:p>
      <w:pPr>
        <w:ind w:left="1220" w:right="20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third-party contractors or investigators to comply with regulatory requirements or otherwise meet their contractual obligations in a timely manner, or at all;</w:t>
      </w:r>
    </w:p>
    <w:p>
      <w:pPr>
        <w:spacing w:after="0" w:line="54" w:lineRule="exact"/>
        <w:rPr>
          <w:rFonts w:ascii="Times New Roman" w:cs="Times New Roman" w:eastAsia="Times New Roman" w:hAnsi="Times New Roman"/>
          <w:sz w:val="17"/>
          <w:szCs w:val="17"/>
          <w:color w:val="auto"/>
        </w:rPr>
      </w:pPr>
    </w:p>
    <w:p>
      <w:pPr>
        <w:ind w:left="1220" w:right="180" w:hanging="530"/>
        <w:spacing w:after="0" w:line="279"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interpretations of data by the FDA and similar foreign regulatory agencies.</w:t>
      </w:r>
    </w:p>
    <w:p>
      <w:pPr>
        <w:spacing w:after="0" w:line="110" w:lineRule="exact"/>
        <w:rPr>
          <w:sz w:val="20"/>
          <w:szCs w:val="20"/>
          <w:color w:val="auto"/>
        </w:rPr>
      </w:pPr>
    </w:p>
    <w:p>
      <w:pPr>
        <w:ind w:firstLine="382"/>
        <w:spacing w:after="0" w:line="279"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Our approach to drug discovery and development of integrin-based therapeutics is unproven and may not result in a marketable product.</w:t>
      </w:r>
    </w:p>
    <w:p>
      <w:pPr>
        <w:spacing w:after="0" w:line="114" w:lineRule="exact"/>
        <w:rPr>
          <w:sz w:val="20"/>
          <w:szCs w:val="20"/>
          <w:color w:val="auto"/>
        </w:rPr>
      </w:pPr>
    </w:p>
    <w:p>
      <w:pPr>
        <w:ind w:right="80" w:firstLine="382"/>
        <w:spacing w:after="0" w:line="279" w:lineRule="auto"/>
        <w:rPr>
          <w:sz w:val="20"/>
          <w:szCs w:val="20"/>
          <w:color w:val="auto"/>
        </w:rPr>
      </w:pPr>
      <w:r>
        <w:rPr>
          <w:rFonts w:ascii="Times New Roman" w:cs="Times New Roman" w:eastAsia="Times New Roman" w:hAnsi="Times New Roman"/>
          <w:sz w:val="17"/>
          <w:szCs w:val="17"/>
          <w:color w:val="auto"/>
        </w:rPr>
        <w:t>Our approach to discover and develop integrin-based therapeutics is a novel approach in a rapidly developing field, and there can be no assurance that we will not experience currently unknown problems or delays in developing PLN-101095 or our</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31" w:name="page32"/>
    <w:bookmarkEnd w:id="31"/>
    <w:p>
      <w:pPr>
        <w:ind w:right="220"/>
        <w:spacing w:after="0" w:line="279" w:lineRule="auto"/>
        <w:rPr>
          <w:sz w:val="20"/>
          <w:szCs w:val="20"/>
          <w:color w:val="auto"/>
        </w:rPr>
      </w:pPr>
      <w:r>
        <w:rPr>
          <w:rFonts w:ascii="Times New Roman" w:cs="Times New Roman" w:eastAsia="Times New Roman" w:hAnsi="Times New Roman"/>
          <w:sz w:val="17"/>
          <w:szCs w:val="17"/>
          <w:color w:val="auto"/>
        </w:rPr>
        <w:t>other product candidates, that such problems or delays will not result in unanticipated costs, or that any such development problems can be solved. As a result, we may never succeed in developing a marketable integrin-based product.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Clinical development involves a lengthy, complex, and expensive process, with an uncertain outcome.</w:t>
      </w:r>
    </w:p>
    <w:p>
      <w:pPr>
        <w:spacing w:after="0" w:line="114"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242424"/>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in March 2025, we announced that we were discontinuing the BEACON-IPF Phase 2b trial following a prespecified data review and recommendation by the trial’s independent DSMB, as well as a secondary review and recommendation by an outside expert panel, and subsequently announced in June 2025 that we were discontinuing development of bexotegrast in IPF.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institutional review boards, or IRBs, DSMBs or others in connection with such findings.</w:t>
      </w:r>
    </w:p>
    <w:p>
      <w:pPr>
        <w:spacing w:after="0" w:line="81" w:lineRule="exact"/>
        <w:rPr>
          <w:sz w:val="20"/>
          <w:szCs w:val="20"/>
          <w:color w:val="auto"/>
        </w:rPr>
      </w:pPr>
    </w:p>
    <w:p>
      <w:pPr>
        <w:jc w:val="both"/>
        <w:ind w:right="260" w:firstLine="382"/>
        <w:spacing w:after="0" w:line="264" w:lineRule="auto"/>
        <w:rPr>
          <w:sz w:val="20"/>
          <w:szCs w:val="20"/>
          <w:color w:val="auto"/>
        </w:rPr>
      </w:pPr>
      <w:r>
        <w:rPr>
          <w:rFonts w:ascii="Times New Roman" w:cs="Times New Roman" w:eastAsia="Times New Roman" w:hAnsi="Times New Roman"/>
          <w:sz w:val="17"/>
          <w:szCs w:val="17"/>
          <w:color w:val="242424"/>
        </w:rPr>
        <w:t>Most product candidates that commence clinical trials are never approved as products and there can be no assurance that any of our future clinical trials will ultimately be successful or support further clinical development of any of our product candidates. Product candidates that appear promising in the early phases of development may fail to reach the market for several reasons, including:</w:t>
      </w:r>
    </w:p>
    <w:p>
      <w:pPr>
        <w:spacing w:after="0" w:line="68" w:lineRule="exact"/>
        <w:rPr>
          <w:sz w:val="20"/>
          <w:szCs w:val="20"/>
          <w:color w:val="auto"/>
        </w:rPr>
      </w:pPr>
    </w:p>
    <w:p>
      <w:pPr>
        <w:ind w:left="1220" w:right="300" w:hanging="530"/>
        <w:spacing w:after="0" w:line="279" w:lineRule="auto"/>
        <w:tabs>
          <w:tab w:leader="none" w:pos="12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establish clinical endpoints that applicable regulatory authorities would consider clinically meaningful;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the necessary regulatory approvals;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competing products in the same disease state;</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costs, formulation issues, pricing or reimbursement issues, or other factors that make a product candidate uneconomical;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inability to perform by our third-party vendors, including vendors in foreign jurisdictions such as China; and</w:t>
      </w:r>
    </w:p>
    <w:p>
      <w:pPr>
        <w:spacing w:after="0" w:line="110" w:lineRule="exact"/>
        <w:rPr>
          <w:rFonts w:ascii="Times New Roman" w:cs="Times New Roman" w:eastAsia="Times New Roman" w:hAnsi="Times New Roman"/>
          <w:sz w:val="17"/>
          <w:szCs w:val="17"/>
          <w:color w:val="auto"/>
        </w:rPr>
      </w:pPr>
    </w:p>
    <w:p>
      <w:pPr>
        <w:ind w:left="1220" w:right="700" w:hanging="530"/>
        <w:spacing w:after="0" w:line="279" w:lineRule="auto"/>
        <w:tabs>
          <w:tab w:leader="none" w:pos="12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proprietary rights of others and their competing products and technologies that may prevent one of our product candidates from being commercialized.</w:t>
      </w:r>
    </w:p>
    <w:p>
      <w:pPr>
        <w:spacing w:after="0" w:line="55" w:lineRule="exact"/>
        <w:rPr>
          <w:sz w:val="20"/>
          <w:szCs w:val="20"/>
          <w:color w:val="auto"/>
        </w:rPr>
      </w:pPr>
    </w:p>
    <w:p>
      <w:pPr>
        <w:ind w:right="40" w:firstLine="382"/>
        <w:spacing w:after="0" w:line="252" w:lineRule="auto"/>
        <w:rPr>
          <w:sz w:val="20"/>
          <w:szCs w:val="20"/>
          <w:color w:val="auto"/>
        </w:rPr>
      </w:pPr>
      <w:r>
        <w:rPr>
          <w:rFonts w:ascii="Times New Roman" w:cs="Times New Roman" w:eastAsia="Times New Roman" w:hAnsi="Times New Roman"/>
          <w:sz w:val="17"/>
          <w:szCs w:val="17"/>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For example, PLN-101095 is currently being evaluated in an ongoing first-in-human Phase 1 dose-escalation open label trial where patients are either receiving PLN-101095 alone or in combination with the immunotherapy pembrolizumab. Open label clinical trials are subject to various limitations that may exaggerate any therapeutic effect as patients in open label clinical trials are aware of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2" w:name="page33"/>
    <w:bookmarkEnd w:id="32"/>
    <w:p>
      <w:pPr>
        <w:ind w:firstLine="382"/>
        <w:spacing w:after="0" w:line="253" w:lineRule="auto"/>
        <w:rPr>
          <w:sz w:val="20"/>
          <w:szCs w:val="20"/>
          <w:color w:val="auto"/>
        </w:rPr>
      </w:pPr>
      <w:r>
        <w:rPr>
          <w:rFonts w:ascii="Times New Roman" w:cs="Times New Roman" w:eastAsia="Times New Roman" w:hAnsi="Times New Roman"/>
          <w:sz w:val="17"/>
          <w:szCs w:val="17"/>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subject us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79" w:lineRule="exact"/>
        <w:rPr>
          <w:sz w:val="20"/>
          <w:szCs w:val="20"/>
          <w:color w:val="auto"/>
        </w:rPr>
      </w:pPr>
    </w:p>
    <w:p>
      <w:pPr>
        <w:ind w:right="80" w:firstLine="382"/>
        <w:spacing w:after="0" w:line="257" w:lineRule="auto"/>
        <w:rPr>
          <w:sz w:val="20"/>
          <w:szCs w:val="20"/>
          <w:color w:val="auto"/>
        </w:rPr>
      </w:pPr>
      <w:r>
        <w:rPr>
          <w:rFonts w:ascii="Times New Roman" w:cs="Times New Roman" w:eastAsia="Times New Roman" w:hAnsi="Times New Roman"/>
          <w:sz w:val="17"/>
          <w:szCs w:val="17"/>
          <w:color w:val="auto"/>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74" w:lineRule="exact"/>
        <w:rPr>
          <w:sz w:val="20"/>
          <w:szCs w:val="20"/>
          <w:color w:val="auto"/>
        </w:rPr>
      </w:pPr>
    </w:p>
    <w:p>
      <w:pPr>
        <w:jc w:val="both"/>
        <w:ind w:right="180" w:firstLine="382"/>
        <w:spacing w:after="0" w:line="259" w:lineRule="auto"/>
        <w:rPr>
          <w:sz w:val="20"/>
          <w:szCs w:val="20"/>
          <w:color w:val="auto"/>
        </w:rPr>
      </w:pPr>
      <w:r>
        <w:rPr>
          <w:rFonts w:ascii="Times New Roman" w:cs="Times New Roman" w:eastAsia="Times New Roman" w:hAnsi="Times New Roman"/>
          <w:sz w:val="17"/>
          <w:szCs w:val="17"/>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69" w:lineRule="exact"/>
        <w:rPr>
          <w:sz w:val="20"/>
          <w:szCs w:val="20"/>
          <w:color w:val="auto"/>
        </w:rPr>
      </w:pPr>
    </w:p>
    <w:p>
      <w:pPr>
        <w:ind w:right="2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incur additional costs or experience delays in completing, or ultimately be unable to complete, the development and commercialization of PLN-101095 or any other product candidates.</w:t>
      </w:r>
    </w:p>
    <w:p>
      <w:pPr>
        <w:spacing w:after="0" w:line="51" w:lineRule="exact"/>
        <w:rPr>
          <w:sz w:val="20"/>
          <w:szCs w:val="20"/>
          <w:color w:val="auto"/>
        </w:rPr>
      </w:pPr>
    </w:p>
    <w:p>
      <w:pPr>
        <w:ind w:right="160" w:firstLine="382"/>
        <w:spacing w:after="0" w:line="311" w:lineRule="auto"/>
        <w:rPr>
          <w:sz w:val="20"/>
          <w:szCs w:val="20"/>
          <w:color w:val="auto"/>
        </w:rPr>
      </w:pPr>
      <w:r>
        <w:rPr>
          <w:rFonts w:ascii="Times New Roman" w:cs="Times New Roman" w:eastAsia="Times New Roman" w:hAnsi="Times New Roman"/>
          <w:sz w:val="16"/>
          <w:szCs w:val="16"/>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PLN-101095 or any other product candidates, including:</w:t>
      </w:r>
    </w:p>
    <w:p>
      <w:pPr>
        <w:spacing w:after="0" w:line="33" w:lineRule="exact"/>
        <w:rPr>
          <w:sz w:val="20"/>
          <w:szCs w:val="20"/>
          <w:color w:val="auto"/>
        </w:rPr>
      </w:pPr>
    </w:p>
    <w:p>
      <w:pPr>
        <w:ind w:left="1220" w:right="600" w:hanging="530"/>
        <w:spacing w:after="0" w:line="279"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ethics committees may not authorize us or our investigators to commence a clinical trial or conduct a clinical trial at a prospective trial site;</w:t>
      </w:r>
    </w:p>
    <w:p>
      <w:pPr>
        <w:spacing w:after="0" w:line="54" w:lineRule="exact"/>
        <w:rPr>
          <w:rFonts w:ascii="Times New Roman" w:cs="Times New Roman" w:eastAsia="Times New Roman" w:hAnsi="Times New Roman"/>
          <w:sz w:val="17"/>
          <w:szCs w:val="17"/>
          <w:color w:val="auto"/>
        </w:rPr>
      </w:pPr>
    </w:p>
    <w:p>
      <w:pPr>
        <w:ind w:left="1220" w:right="180" w:hanging="530"/>
        <w:spacing w:after="0" w:line="264"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comparable regulatory authorities may disagree with our clinical trial design, including with respect to dosing levels and dose selection administered in our planned clinical trials, which may delay or prevent us from initiating our clinical trials with our originally intended trial design or impact our ability to demonstrate favorable safety or efficacy traits;</w:t>
      </w:r>
    </w:p>
    <w:p>
      <w:pPr>
        <w:spacing w:after="0" w:line="68" w:lineRule="exact"/>
        <w:rPr>
          <w:rFonts w:ascii="Times New Roman" w:cs="Times New Roman" w:eastAsia="Times New Roman" w:hAnsi="Times New Roman"/>
          <w:sz w:val="17"/>
          <w:szCs w:val="17"/>
          <w:color w:val="auto"/>
        </w:rPr>
      </w:pPr>
    </w:p>
    <w:p>
      <w:pPr>
        <w:ind w:left="1220" w:hanging="530"/>
        <w:spacing w:after="0" w:line="279"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54" w:lineRule="exact"/>
        <w:rPr>
          <w:rFonts w:ascii="Times New Roman" w:cs="Times New Roman" w:eastAsia="Times New Roman" w:hAnsi="Times New Roman"/>
          <w:sz w:val="17"/>
          <w:szCs w:val="17"/>
          <w:color w:val="auto"/>
        </w:rPr>
      </w:pPr>
    </w:p>
    <w:p>
      <w:pPr>
        <w:ind w:left="1220" w:right="60" w:hanging="530"/>
        <w:spacing w:after="0" w:line="264"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 or we may have enrollment issues due to disruptions related to uncertainty caused by geopolitical events (such as recent military action against Iran) or health pandemics;</w:t>
      </w:r>
    </w:p>
    <w:p>
      <w:pPr>
        <w:spacing w:after="0" w:line="68" w:lineRule="exact"/>
        <w:rPr>
          <w:rFonts w:ascii="Times New Roman" w:cs="Times New Roman" w:eastAsia="Times New Roman" w:hAnsi="Times New Roman"/>
          <w:sz w:val="17"/>
          <w:szCs w:val="17"/>
          <w:color w:val="auto"/>
        </w:rPr>
      </w:pPr>
    </w:p>
    <w:p>
      <w:pPr>
        <w:ind w:left="1220" w:right="20" w:hanging="530"/>
        <w:spacing w:after="0" w:line="279"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54" w:lineRule="exact"/>
        <w:rPr>
          <w:rFonts w:ascii="Times New Roman" w:cs="Times New Roman" w:eastAsia="Times New Roman" w:hAnsi="Times New Roman"/>
          <w:sz w:val="17"/>
          <w:szCs w:val="17"/>
          <w:color w:val="auto"/>
        </w:rPr>
      </w:pPr>
    </w:p>
    <w:p>
      <w:pPr>
        <w:ind w:left="1220" w:right="420" w:hanging="530"/>
        <w:spacing w:after="0" w:line="279"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or interruptions to our manufacturing supply chain, or we could suffer delays in reaching, or we may fail to reach, agreement on acceptable terms with third-party service providers on whom we rely;</w:t>
      </w:r>
    </w:p>
    <w:p>
      <w:pPr>
        <w:spacing w:after="0" w:line="54" w:lineRule="exact"/>
        <w:rPr>
          <w:rFonts w:ascii="Times New Roman" w:cs="Times New Roman" w:eastAsia="Times New Roman" w:hAnsi="Times New Roman"/>
          <w:sz w:val="17"/>
          <w:szCs w:val="17"/>
          <w:color w:val="auto"/>
        </w:rPr>
      </w:pPr>
    </w:p>
    <w:p>
      <w:pPr>
        <w:ind w:left="1220" w:right="220" w:hanging="530"/>
        <w:spacing w:after="0" w:line="279" w:lineRule="auto"/>
        <w:tabs>
          <w:tab w:leader="none" w:pos="12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delays and interruptions to our clinical trials could extend the duration of the trials and increase the overall costs to finish the trials as our fixed costs are not substantially reduced during delays;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33" w:name="page34"/>
    <w:bookmarkEnd w:id="33"/>
    <w:p>
      <w:pPr>
        <w:ind w:left="1220" w:right="40" w:hanging="530"/>
        <w:spacing w:after="0" w:line="264" w:lineRule="auto"/>
        <w:tabs>
          <w:tab w:leader="none" w:pos="12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68" w:lineRule="exact"/>
        <w:rPr>
          <w:rFonts w:ascii="Times New Roman" w:cs="Times New Roman" w:eastAsia="Times New Roman" w:hAnsi="Times New Roman"/>
          <w:sz w:val="17"/>
          <w:szCs w:val="17"/>
          <w:color w:val="auto"/>
        </w:rPr>
      </w:pPr>
    </w:p>
    <w:p>
      <w:pPr>
        <w:ind w:left="1220" w:right="160" w:hanging="530"/>
        <w:spacing w:after="0" w:line="279" w:lineRule="auto"/>
        <w:tabs>
          <w:tab w:leader="none" w:pos="12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the financial resources available to begin and complete the planned trials, or the cost of clinical trials of any product candidates may be greater than we anticipate;</w:t>
      </w:r>
    </w:p>
    <w:p>
      <w:pPr>
        <w:spacing w:after="0" w:line="54" w:lineRule="exact"/>
        <w:rPr>
          <w:rFonts w:ascii="Times New Roman" w:cs="Times New Roman" w:eastAsia="Times New Roman" w:hAnsi="Times New Roman"/>
          <w:sz w:val="17"/>
          <w:szCs w:val="17"/>
          <w:color w:val="auto"/>
        </w:rPr>
      </w:pPr>
    </w:p>
    <w:p>
      <w:pPr>
        <w:ind w:left="1220" w:right="60" w:hanging="530"/>
        <w:spacing w:after="0" w:line="279" w:lineRule="auto"/>
        <w:tabs>
          <w:tab w:leader="none" w:pos="12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 to initiate or complete a given clinical trial; and</w:t>
      </w:r>
    </w:p>
    <w:p>
      <w:pPr>
        <w:spacing w:after="0" w:line="54" w:lineRule="exact"/>
        <w:rPr>
          <w:rFonts w:ascii="Times New Roman" w:cs="Times New Roman" w:eastAsia="Times New Roman" w:hAnsi="Times New Roman"/>
          <w:sz w:val="17"/>
          <w:szCs w:val="17"/>
          <w:color w:val="auto"/>
        </w:rPr>
      </w:pPr>
    </w:p>
    <w:p>
      <w:pPr>
        <w:ind w:left="1220" w:right="420" w:hanging="530"/>
        <w:spacing w:after="0" w:line="279" w:lineRule="auto"/>
        <w:tabs>
          <w:tab w:leader="none" w:pos="12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comparable foreign regulatory authorities may require us to submit additional data such as long-term toxicology studies, or impose other requirements before permitting us to initiate a clinical trial.</w:t>
      </w:r>
    </w:p>
    <w:p>
      <w:pPr>
        <w:spacing w:after="0" w:line="55"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242424"/>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70" w:lineRule="exact"/>
        <w:rPr>
          <w:sz w:val="20"/>
          <w:szCs w:val="20"/>
          <w:color w:val="auto"/>
        </w:rPr>
      </w:pPr>
    </w:p>
    <w:p>
      <w:pPr>
        <w:ind w:right="160" w:firstLine="382"/>
        <w:spacing w:after="0" w:line="316" w:lineRule="auto"/>
        <w:rPr>
          <w:sz w:val="20"/>
          <w:szCs w:val="20"/>
          <w:color w:val="auto"/>
        </w:rPr>
      </w:pPr>
      <w:r>
        <w:rPr>
          <w:rFonts w:ascii="Times New Roman" w:cs="Times New Roman" w:eastAsia="Times New Roman" w:hAnsi="Times New Roman"/>
          <w:sz w:val="16"/>
          <w:szCs w:val="16"/>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PLN-101095 or any of our other product candidates.</w:t>
      </w:r>
    </w:p>
    <w:p>
      <w:pPr>
        <w:spacing w:after="0" w:line="29"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242424"/>
        </w:rPr>
        <w:t>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For example,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subsequently announced in June 2025 that we were discontinuing development of bexotegrast in IPF. We may also encounter unexpected drug-drug interactions in our ongoing or planned trials, and may be required to further test our candidates, including additional drug-drug interaction studies, which may be expensive, time consuming and result in delays to our programs.</w:t>
      </w:r>
    </w:p>
    <w:p>
      <w:pPr>
        <w:spacing w:after="0" w:line="74"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7"/>
          <w:szCs w:val="17"/>
          <w:color w:val="242424"/>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our clinical development activities could be delayed or otherwise adversely affected.</w:t>
      </w:r>
    </w:p>
    <w:p>
      <w:pPr>
        <w:spacing w:after="0" w:line="114" w:lineRule="exact"/>
        <w:rPr>
          <w:sz w:val="20"/>
          <w:szCs w:val="20"/>
          <w:color w:val="auto"/>
        </w:rPr>
      </w:pPr>
    </w:p>
    <w:p>
      <w:pPr>
        <w:jc w:val="both"/>
        <w:ind w:right="220" w:firstLine="382"/>
        <w:spacing w:after="0" w:line="264" w:lineRule="auto"/>
        <w:rPr>
          <w:sz w:val="20"/>
          <w:szCs w:val="20"/>
          <w:color w:val="auto"/>
        </w:rPr>
      </w:pPr>
      <w:r>
        <w:rPr>
          <w:rFonts w:ascii="Times New Roman" w:cs="Times New Roman" w:eastAsia="Times New Roman" w:hAnsi="Times New Roman"/>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68" w:lineRule="exact"/>
        <w:rPr>
          <w:sz w:val="20"/>
          <w:szCs w:val="20"/>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eligibility and exclusion criteria defined in the protocol;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 required for analysis of the trial’s primary endpoints and the process for identifying patients;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or availability of patients to participate in our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of patients to trial sites;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trial;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110" w:lineRule="exact"/>
        <w:rPr>
          <w:rFonts w:ascii="Times New Roman" w:cs="Times New Roman" w:eastAsia="Times New Roman" w:hAnsi="Times New Roman"/>
          <w:sz w:val="17"/>
          <w:szCs w:val="17"/>
          <w:color w:val="auto"/>
        </w:rPr>
      </w:pPr>
    </w:p>
    <w:p>
      <w:pPr>
        <w:ind w:left="1220" w:right="60" w:hanging="530"/>
        <w:spacing w:after="0" w:line="311" w:lineRule="auto"/>
        <w:tabs>
          <w:tab w:leader="none" w:pos="121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spacing w:after="0" w:line="32" w:lineRule="exact"/>
        <w:rPr>
          <w:rFonts w:ascii="Times New Roman" w:cs="Times New Roman" w:eastAsia="Times New Roman" w:hAnsi="Times New Roman"/>
          <w:sz w:val="16"/>
          <w:szCs w:val="16"/>
          <w:color w:val="auto"/>
        </w:rPr>
      </w:pPr>
    </w:p>
    <w:p>
      <w:pPr>
        <w:ind w:left="1220" w:hanging="5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competing commercially available therapies and other competing product candidates’ clinical trials;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34" w:name="page35"/>
    <w:bookmarkEnd w:id="34"/>
    <w:p>
      <w:pPr>
        <w:ind w:left="1220" w:hanging="5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patient informed consents;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drop out of the trials before completion.</w:t>
      </w:r>
    </w:p>
    <w:p>
      <w:pPr>
        <w:spacing w:after="0" w:line="110" w:lineRule="exact"/>
        <w:rPr>
          <w:sz w:val="20"/>
          <w:szCs w:val="20"/>
          <w:color w:val="auto"/>
        </w:rPr>
      </w:pPr>
    </w:p>
    <w:p>
      <w:pPr>
        <w:ind w:right="100" w:firstLine="382"/>
        <w:spacing w:after="0" w:line="257" w:lineRule="auto"/>
        <w:rPr>
          <w:sz w:val="20"/>
          <w:szCs w:val="20"/>
          <w:color w:val="auto"/>
        </w:rPr>
      </w:pPr>
      <w:r>
        <w:rPr>
          <w:rFonts w:ascii="Times New Roman" w:cs="Times New Roman" w:eastAsia="Times New Roman" w:hAnsi="Times New Roman"/>
          <w:sz w:val="17"/>
          <w:szCs w:val="17"/>
          <w:color w:val="auto"/>
        </w:rPr>
        <w:t>Our clinical trials compete with other clinical trials for product candidates that are in the same therapeutic areas as PLN-101095 or our other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74"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7"/>
          <w:szCs w:val="17"/>
          <w:color w:val="auto"/>
        </w:rPr>
        <w:t>Additionally, the FDA may modify or enhance trial requirements, which may affect enrollment. For example, the FDA has published guidance documents and rulemaking on informed consent. The FDA’s guidance and rulemaking may present new or evolving requirements for informed consent which may affect recruitment and retention of patients in clinical trials. Also, we may have enrollment issues due to clinical site disruptions related to uncertainty caused by geopolitical events (such as recent military action against Iran) or health pandemics. Effects on recruitment and retention of patients or site disruptions may hinder or delay a clinical trial and could cause a significant setback to an applicable program.</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The design or execution of our ongoing and future clinical trials may not support marketing approval.</w:t>
      </w:r>
    </w:p>
    <w:p>
      <w:pPr>
        <w:spacing w:after="0" w:line="114" w:lineRule="exact"/>
        <w:rPr>
          <w:sz w:val="20"/>
          <w:szCs w:val="20"/>
          <w:color w:val="auto"/>
        </w:rPr>
      </w:pPr>
    </w:p>
    <w:p>
      <w:pPr>
        <w:ind w:right="180" w:firstLine="382"/>
        <w:spacing w:after="0" w:line="279" w:lineRule="auto"/>
        <w:rPr>
          <w:sz w:val="20"/>
          <w:szCs w:val="20"/>
          <w:color w:val="auto"/>
        </w:rPr>
      </w:pPr>
      <w:r>
        <w:rPr>
          <w:rFonts w:ascii="Times New Roman" w:cs="Times New Roman" w:eastAsia="Times New Roman" w:hAnsi="Times New Roman"/>
          <w:sz w:val="17"/>
          <w:szCs w:val="17"/>
          <w:color w:val="auto"/>
        </w:rPr>
        <w:t>The design or execution of a clinical trial can determine whether its results will support marketing approval, and flaws in the design or execution of a clinical trial may not become apparent until the clinical trial is well advanced.</w:t>
      </w:r>
    </w:p>
    <w:p>
      <w:pPr>
        <w:spacing w:after="0" w:line="55" w:lineRule="exact"/>
        <w:rPr>
          <w:sz w:val="20"/>
          <w:szCs w:val="20"/>
          <w:color w:val="auto"/>
        </w:rPr>
      </w:pPr>
    </w:p>
    <w:p>
      <w:pPr>
        <w:ind w:firstLine="382"/>
        <w:spacing w:after="0" w:line="274" w:lineRule="auto"/>
        <w:rPr>
          <w:sz w:val="20"/>
          <w:szCs w:val="20"/>
          <w:color w:val="auto"/>
        </w:rPr>
      </w:pPr>
      <w:r>
        <w:rPr>
          <w:rFonts w:ascii="Times New Roman" w:cs="Times New Roman" w:eastAsia="Times New Roman" w:hAnsi="Times New Roman"/>
          <w:sz w:val="16"/>
          <w:szCs w:val="16"/>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PLN-101095 or our other product candidates. For example, in March 2025, we announced that we were discontinuing the BEACON-IPF Phase 2b trial following a prespecified data review and recommendation by the trial’s independent DSMB, as well as a secondary review and recommendation by an outside expert panel. We subsequently announced in June 2025 that we were discontinuing our development of bexotegrast in IPF.</w:t>
      </w:r>
    </w:p>
    <w:p>
      <w:pPr>
        <w:spacing w:after="0" w:line="64"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7"/>
          <w:szCs w:val="17"/>
          <w:color w:val="auto"/>
        </w:rPr>
        <w:t>Further, the FDA and comparable foreign regulatory authorities have substantial discretion in the approval process and in determining when or whether marketing approval will be obtained for PLN-101095 or any of our other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and the FDA has published draft guidance on unification of standards for clinical trial data. Changes to data requirements may cause the FDA or comparable foreign regulatory authorities to disagree with data from preclinical studies or clinical trials, and may require further studies.</w:t>
      </w:r>
    </w:p>
    <w:p>
      <w:pPr>
        <w:spacing w:after="0" w:line="74"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7"/>
          <w:szCs w:val="17"/>
          <w:color w:val="auto"/>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PLN-101095 or our other product candidates, if approved.</w:t>
      </w:r>
    </w:p>
    <w:p>
      <w:pPr>
        <w:spacing w:after="0" w:line="74" w:lineRule="exact"/>
        <w:rPr>
          <w:sz w:val="20"/>
          <w:szCs w:val="20"/>
          <w:color w:val="auto"/>
        </w:rPr>
      </w:pPr>
    </w:p>
    <w:p>
      <w:pPr>
        <w:ind w:right="160" w:firstLine="382"/>
        <w:spacing w:after="0" w:line="279" w:lineRule="auto"/>
        <w:rPr>
          <w:sz w:val="20"/>
          <w:szCs w:val="20"/>
          <w:color w:val="auto"/>
        </w:rPr>
      </w:pPr>
      <w:r>
        <w:rPr>
          <w:rFonts w:ascii="Times New Roman" w:cs="Times New Roman" w:eastAsia="Times New Roman" w:hAnsi="Times New Roman"/>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PLN-101095 or our other product candidates.</w:t>
      </w:r>
    </w:p>
    <w:p>
      <w:pPr>
        <w:spacing w:after="0" w:line="51" w:lineRule="exact"/>
        <w:rPr>
          <w:sz w:val="20"/>
          <w:szCs w:val="20"/>
          <w:color w:val="auto"/>
        </w:rPr>
      </w:pPr>
    </w:p>
    <w:p>
      <w:pPr>
        <w:ind w:right="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obtain and maintain orphan drug designation for our product candidates and, even if we obtain such designation, we may not be able to realize the benefits of such designation, including potential marketing exclusivity of our product candidates, if approved.</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or EEA, and the U.K., the product must fulfill certain challenging criteria. Under Article 3 of Regulation (EC) 141/2000 in the EU,</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5" w:name="page36"/>
    <w:bookmarkEnd w:id="35"/>
    <w:p>
      <w:pPr>
        <w:ind w:right="40"/>
        <w:spacing w:after="0" w:line="254" w:lineRule="auto"/>
        <w:rPr>
          <w:sz w:val="20"/>
          <w:szCs w:val="20"/>
          <w:color w:val="auto"/>
        </w:rPr>
      </w:pPr>
      <w:r>
        <w:rPr>
          <w:rFonts w:ascii="Times New Roman" w:cs="Times New Roman" w:eastAsia="Times New Roman" w:hAnsi="Times New Roman"/>
          <w:sz w:val="17"/>
          <w:szCs w:val="17"/>
          <w:color w:val="auto"/>
        </w:rPr>
        <w:t>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 or U.K. to justify the investment needed for its development; and (3) there exists no satisfactory method of diagnosis, prevention or treatment of such condition authorized for marketing in the EU or 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 The authorities reassess then whether the product still fulfills the criteria for orphan status.</w:t>
      </w:r>
    </w:p>
    <w:p>
      <w:pPr>
        <w:spacing w:after="0" w:line="77" w:lineRule="exact"/>
        <w:rPr>
          <w:sz w:val="20"/>
          <w:szCs w:val="20"/>
          <w:color w:val="auto"/>
        </w:rPr>
      </w:pPr>
    </w:p>
    <w:p>
      <w:pPr>
        <w:jc w:val="both"/>
        <w:ind w:right="80" w:firstLine="382"/>
        <w:spacing w:after="0" w:line="259" w:lineRule="auto"/>
        <w:rPr>
          <w:sz w:val="20"/>
          <w:szCs w:val="20"/>
          <w:color w:val="auto"/>
        </w:rPr>
      </w:pPr>
      <w:r>
        <w:rPr>
          <w:rFonts w:ascii="Times New Roman" w:cs="Times New Roman" w:eastAsia="Times New Roman" w:hAnsi="Times New Roman"/>
          <w:sz w:val="17"/>
          <w:szCs w:val="17"/>
          <w:color w:val="auto"/>
        </w:rPr>
        <w:t>Should we seek orphan drug designation for one or more of our future product candidates, we may be unable to obtain and maintain such designation. Even if we obtain such designation,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73"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On December 11, 2025, the European Council and Parliament reached a provisional agreement on the proposal. The provisional agreement is now subject to formal approval by the European Parliament and the Council before being formally adopted and entering into force upon publication in the EU's Official Journal. If made into law, the proposals will revise and replace the existing general pharmaceutical legislation and may make it more difficult to obtain orphan designation in the EEA.</w:t>
      </w:r>
    </w:p>
    <w:p>
      <w:pPr>
        <w:spacing w:after="0" w:line="84"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spacing w:after="0" w:line="69" w:lineRule="exact"/>
        <w:rPr>
          <w:sz w:val="20"/>
          <w:szCs w:val="20"/>
          <w:color w:val="auto"/>
        </w:rPr>
      </w:pPr>
    </w:p>
    <w:p>
      <w:pPr>
        <w:ind w:right="1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by the FDA, even if granted for current or future product candidates, may not lead to a faster development or regulatory review or approval process and does not increase the likelihood that PLN-101095 or our other product candidates will receive marketing approval.</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7"/>
          <w:szCs w:val="17"/>
          <w:color w:val="auto"/>
        </w:rPr>
        <w:t>We may seek Fast Track designation for PLN-101095 or our other future product candidates.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or pathways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candidate manufacturing or formulation may result in additional costs or delay.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6" w:name="page37"/>
    <w:bookmarkEnd w:id="36"/>
    <w:p>
      <w:pPr>
        <w:ind w:right="120" w:firstLine="382"/>
        <w:spacing w:after="0" w:line="255" w:lineRule="auto"/>
        <w:rPr>
          <w:sz w:val="20"/>
          <w:szCs w:val="20"/>
          <w:color w:val="auto"/>
        </w:rPr>
      </w:pPr>
      <w:r>
        <w:rPr>
          <w:rFonts w:ascii="Times New Roman" w:cs="Times New Roman" w:eastAsia="Times New Roman" w:hAnsi="Times New Roman"/>
          <w:sz w:val="17"/>
          <w:szCs w:val="17"/>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PLN-101095 or one of our other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74"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PLN-101095 or any of our other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81"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Additionally,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or discover additional product candidates in the future.</w:t>
      </w:r>
    </w:p>
    <w:p>
      <w:pPr>
        <w:spacing w:after="0" w:line="114" w:lineRule="exact"/>
        <w:rPr>
          <w:sz w:val="20"/>
          <w:szCs w:val="20"/>
          <w:color w:val="auto"/>
        </w:rPr>
      </w:pPr>
    </w:p>
    <w:p>
      <w:pPr>
        <w:ind w:right="120" w:firstLine="382"/>
        <w:spacing w:after="0" w:line="279" w:lineRule="auto"/>
        <w:rPr>
          <w:sz w:val="20"/>
          <w:szCs w:val="20"/>
          <w:color w:val="auto"/>
        </w:rPr>
      </w:pPr>
      <w:r>
        <w:rPr>
          <w:rFonts w:ascii="Times New Roman" w:cs="Times New Roman" w:eastAsia="Times New Roman" w:hAnsi="Times New Roman"/>
          <w:sz w:val="17"/>
          <w:szCs w:val="17"/>
          <w:color w:val="auto"/>
        </w:rPr>
        <w:t>Our research programs may initially show promise in identifying potential product candidates, yet fail to yield product candidates for clinical development for a number of reasons, including:</w:t>
      </w:r>
    </w:p>
    <w:p>
      <w:pPr>
        <w:spacing w:after="0" w:line="55" w:lineRule="exact"/>
        <w:rPr>
          <w:sz w:val="20"/>
          <w:szCs w:val="20"/>
          <w:color w:val="auto"/>
        </w:rPr>
      </w:pPr>
    </w:p>
    <w:p>
      <w:pPr>
        <w:ind w:left="1220" w:hanging="5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design such product candidates with the pharmacological properties that we desire or attractive pharmacokinetics; or</w:t>
      </w:r>
    </w:p>
    <w:p>
      <w:pPr>
        <w:spacing w:after="0" w:line="110" w:lineRule="exact"/>
        <w:rPr>
          <w:rFonts w:ascii="Times New Roman" w:cs="Times New Roman" w:eastAsia="Times New Roman" w:hAnsi="Times New Roman"/>
          <w:sz w:val="17"/>
          <w:szCs w:val="17"/>
          <w:color w:val="auto"/>
        </w:rPr>
      </w:pPr>
    </w:p>
    <w:p>
      <w:pPr>
        <w:ind w:left="1220" w:right="20" w:hanging="530"/>
        <w:spacing w:after="0" w:line="279" w:lineRule="auto"/>
        <w:tabs>
          <w:tab w:leader="none" w:pos="12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55"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Research programs and efforts to identify new product candidates require substantial technical, financial, and human resources. While we continue to evaluate a range of opportunities to create stockholder value, if we are unable to identify suitable compounds for preclinical and clinical development or other opportunities to create stockholder value, we may experience harm to our business, financial position and stock price.</w:t>
      </w:r>
    </w:p>
    <w:p>
      <w:pPr>
        <w:spacing w:after="0" w:line="64" w:lineRule="exact"/>
        <w:rPr>
          <w:sz w:val="20"/>
          <w:szCs w:val="20"/>
          <w:color w:val="auto"/>
        </w:rPr>
      </w:pPr>
    </w:p>
    <w:p>
      <w:pPr>
        <w:ind w:right="3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7"/>
          <w:szCs w:val="17"/>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78"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ind w:right="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financial or other liabilities and may be required to limit commercialization of PLN-101095 or our other product candidates.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7" w:name="page38"/>
    <w:bookmarkEnd w:id="37"/>
    <w:p>
      <w:pPr>
        <w:ind w:right="140" w:firstLine="382"/>
        <w:spacing w:after="0" w:line="255"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testing any of PLN-101095 or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bring a product candidate to the market;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 and inability to continue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injunctions or criminal penalties;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time and our resources;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commercialize any product candidate, if approved;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our share price.</w:t>
      </w:r>
    </w:p>
    <w:p>
      <w:pPr>
        <w:spacing w:after="0" w:line="110"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7"/>
          <w:szCs w:val="17"/>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PLN-101095 and our other product candidates continue clinical development and as additional product candidates may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us.</w:t>
      </w:r>
    </w:p>
    <w:p>
      <w:pPr>
        <w:spacing w:after="0" w:line="114" w:lineRule="exact"/>
        <w:rPr>
          <w:sz w:val="20"/>
          <w:szCs w:val="20"/>
          <w:color w:val="auto"/>
        </w:rPr>
      </w:pPr>
    </w:p>
    <w:p>
      <w:pPr>
        <w:ind w:right="280" w:firstLine="382"/>
        <w:spacing w:after="0" w:line="257"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We may face competition with respect to PLN-101095 and any other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260" w:firstLine="382"/>
        <w:spacing w:after="0" w:line="264" w:lineRule="auto"/>
        <w:rPr>
          <w:sz w:val="20"/>
          <w:szCs w:val="20"/>
          <w:color w:val="auto"/>
        </w:rPr>
      </w:pPr>
      <w:r>
        <w:rPr>
          <w:rFonts w:ascii="Times New Roman" w:cs="Times New Roman" w:eastAsia="Times New Roman" w:hAnsi="Times New Roman"/>
          <w:sz w:val="17"/>
          <w:szCs w:val="17"/>
          <w:color w:val="auto"/>
        </w:rPr>
        <w:t>Many of our current or potential competitors, such as AbbVie Inc., Bicara Therapeutics Inc., Incyte Corporation, and Pfizer Inc.,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7"/>
          <w:szCs w:val="17"/>
          <w:color w:val="auto"/>
        </w:rPr>
        <w:t>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as well, which could give such products significant regulatory and market timing advantages over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PLN-101095 or any other product candidates we may develop against competitors. The availability of competitive products could limit the demand, and the price we are able to charge, for any products that we may develop and commercialize.</w:t>
      </w:r>
    </w:p>
    <w:p>
      <w:pPr>
        <w:spacing w:after="0" w:line="73" w:lineRule="exact"/>
        <w:rPr>
          <w:sz w:val="20"/>
          <w:szCs w:val="20"/>
          <w:color w:val="auto"/>
        </w:rPr>
      </w:pPr>
    </w:p>
    <w:p>
      <w:pPr>
        <w:ind w:right="1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spacing w:after="0" w:line="51" w:lineRule="exact"/>
        <w:rPr>
          <w:sz w:val="20"/>
          <w:szCs w:val="20"/>
          <w:color w:val="auto"/>
        </w:rPr>
      </w:pPr>
    </w:p>
    <w:p>
      <w:pPr>
        <w:ind w:right="60" w:firstLine="382"/>
        <w:spacing w:after="0" w:line="282" w:lineRule="auto"/>
        <w:rPr>
          <w:sz w:val="20"/>
          <w:szCs w:val="20"/>
          <w:color w:val="auto"/>
        </w:rPr>
      </w:pPr>
      <w:r>
        <w:rPr>
          <w:rFonts w:ascii="Times New Roman" w:cs="Times New Roman" w:eastAsia="Times New Roman" w:hAnsi="Times New Roman"/>
          <w:sz w:val="16"/>
          <w:szCs w:val="16"/>
          <w:color w:val="auto"/>
        </w:rPr>
        <w:t>In June 2024, the U.S. Supreme Court issued an opinion holding that courts reviewing agency action pursuant to the Administrative Procedure Act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the U.S. Department of Health and Human</w:t>
      </w:r>
    </w:p>
    <w:p>
      <w:pPr>
        <w:spacing w:after="0" w:line="1"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Services, or HHS, Centers for Medicare and Medicaid Services, or CMS, and other agencies with significant oversight of the biopharmaceutical industry. The new framework may increase both the frequency of such challenges and their odds of success by eliminating one way in which the government previously prevailed in such cases. As a result, significant regulatory policies may be subject to increased litigation and judicial scrutiny.</w:t>
      </w:r>
    </w:p>
    <w:p>
      <w:pPr>
        <w:spacing w:after="0" w:line="68"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In addition, federal agency activities, priorities, leadership, policies, rulemaking, communications, spending, and staffing may be significantly impacted by election cycles and legislative developments. For example, the current U.S. presidential administration has committed to significantly reduce government spending through cuts to federal healthcare programs and reductions in the workforces of key government agencies, such as HHS, FDA, and CMS. Efforts by the current administration to further limit federal agency budgets may result in reduced agency workforces and/or changes in agency operations, which may lead to slower response times, less guidance and longer review periods, potentially affecting our ability to progress development of our product candidates or obtain regulatory approval for our product candidates. The administration and government agencies have also made abrupt announcements about new or changed regulatory policies, such as policies related to the use of artificial intelligence to review product applications. And, a federal government shutdown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longer review periods, unexpected delays, increased costs or other negative impacts on our business that are difficult to predict. These changes may potentially affect our ability to develop our product candidates or obtain regulatory approval of our product candidates.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Risks Related to Marketing, Reimbursement, Healthcare Regulations and Ongoing Regulatory Compliance</w:t>
      </w:r>
    </w:p>
    <w:p>
      <w:pPr>
        <w:spacing w:after="0" w:line="110" w:lineRule="exact"/>
        <w:rPr>
          <w:sz w:val="20"/>
          <w:szCs w:val="20"/>
          <w:color w:val="auto"/>
        </w:rPr>
      </w:pPr>
    </w:p>
    <w:p>
      <w:pPr>
        <w:ind w:right="1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0" w:firstLine="382"/>
        <w:spacing w:after="0" w:line="259" w:lineRule="auto"/>
        <w:rPr>
          <w:sz w:val="20"/>
          <w:szCs w:val="20"/>
          <w:color w:val="auto"/>
        </w:rPr>
      </w:pPr>
      <w:r>
        <w:rPr>
          <w:rFonts w:ascii="Times New Roman" w:cs="Times New Roman" w:eastAsia="Times New Roman" w:hAnsi="Times New Roman"/>
          <w:sz w:val="17"/>
          <w:szCs w:val="17"/>
          <w:color w:val="auto"/>
        </w:rPr>
        <w:t>Even if PLN-101095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spacing w:after="0" w:line="73" w:lineRule="exact"/>
        <w:rPr>
          <w:sz w:val="20"/>
          <w:szCs w:val="20"/>
          <w:color w:val="auto"/>
        </w:rPr>
      </w:pPr>
    </w:p>
    <w:p>
      <w:pPr>
        <w:ind w:right="600" w:firstLine="382"/>
        <w:spacing w:after="0" w:line="279" w:lineRule="auto"/>
        <w:rPr>
          <w:sz w:val="20"/>
          <w:szCs w:val="20"/>
          <w:color w:val="auto"/>
        </w:rPr>
      </w:pPr>
      <w:r>
        <w:rPr>
          <w:rFonts w:ascii="Times New Roman" w:cs="Times New Roman" w:eastAsia="Times New Roman" w:hAnsi="Times New Roman"/>
          <w:sz w:val="17"/>
          <w:szCs w:val="17"/>
          <w:color w:val="auto"/>
        </w:rPr>
        <w:t>The degree of market acceptance of PLN-101095 or any other product candidate, if approved for commercial sale, will depend on a number of factors, including:</w:t>
      </w:r>
    </w:p>
    <w:p>
      <w:pPr>
        <w:spacing w:after="0" w:line="55" w:lineRule="exact"/>
        <w:rPr>
          <w:sz w:val="20"/>
          <w:szCs w:val="20"/>
          <w:color w:val="auto"/>
        </w:rPr>
      </w:pPr>
    </w:p>
    <w:p>
      <w:pPr>
        <w:ind w:left="1220" w:hanging="53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efficacy and potential advantages compared to alternative treatments;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our products, if approved, for sale at competitive prices;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convenience and ease of administration compared to alternative treatments;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39" w:name="page40"/>
    <w:bookmarkEnd w:id="39"/>
    <w:p>
      <w:pPr>
        <w:ind w:left="1220" w:right="280" w:hanging="530"/>
        <w:spacing w:after="0" w:line="279" w:lineRule="auto"/>
        <w:tabs>
          <w:tab w:leader="none" w:pos="12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recommendations with respect to our product candidates in guidelines published by various scientific organizations applicable to us and our product candidates;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health technology assessment, or HTA, in jurisdictions where required;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marketing and distribution support;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sufficient third-party coverage and adequate reimbursement and a positive recommendation by health technology bodies;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110" w:lineRule="exact"/>
        <w:rPr>
          <w:sz w:val="20"/>
          <w:szCs w:val="20"/>
          <w:color w:val="auto"/>
        </w:rPr>
      </w:pPr>
    </w:p>
    <w:p>
      <w:pPr>
        <w:ind w:right="60" w:firstLine="382"/>
        <w:spacing w:after="0" w:line="279" w:lineRule="auto"/>
        <w:rPr>
          <w:sz w:val="20"/>
          <w:szCs w:val="20"/>
          <w:color w:val="auto"/>
        </w:rPr>
      </w:pPr>
      <w:r>
        <w:rPr>
          <w:rFonts w:ascii="Times New Roman" w:cs="Times New Roman" w:eastAsia="Times New Roman" w:hAnsi="Times New Roman"/>
          <w:sz w:val="17"/>
          <w:szCs w:val="17"/>
          <w:color w:val="auto"/>
        </w:rPr>
        <w:t>If government and other third-party payors do not provide coverage and adequate reimbursement levels for any products we commercialize, market acceptance and commercial success would be reduced.</w:t>
      </w:r>
    </w:p>
    <w:p>
      <w:pPr>
        <w:spacing w:after="0" w:line="51" w:lineRule="exact"/>
        <w:rPr>
          <w:sz w:val="20"/>
          <w:szCs w:val="20"/>
          <w:color w:val="auto"/>
        </w:rPr>
      </w:pPr>
    </w:p>
    <w:p>
      <w:pPr>
        <w:ind w:right="30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or pricing unfavorable in certain market segments for our product candidates, if approved, which could make it difficult for us to sell PLN-101095 or any other product candidates profitably.</w:t>
      </w:r>
    </w:p>
    <w:p>
      <w:pPr>
        <w:spacing w:after="0" w:line="51"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77" w:lineRule="exact"/>
        <w:rPr>
          <w:sz w:val="20"/>
          <w:szCs w:val="20"/>
          <w:color w:val="auto"/>
        </w:rPr>
      </w:pPr>
    </w:p>
    <w:p>
      <w:pPr>
        <w:ind w:right="500" w:firstLine="382"/>
        <w:spacing w:after="0" w:line="279" w:lineRule="auto"/>
        <w:rPr>
          <w:sz w:val="20"/>
          <w:szCs w:val="20"/>
          <w:color w:val="auto"/>
        </w:rPr>
      </w:pPr>
      <w:r>
        <w:rPr>
          <w:rFonts w:ascii="Times New Roman" w:cs="Times New Roman" w:eastAsia="Times New Roman" w:hAnsi="Times New Roman"/>
          <w:sz w:val="17"/>
          <w:szCs w:val="17"/>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55" w:lineRule="exact"/>
        <w:rPr>
          <w:sz w:val="20"/>
          <w:szCs w:val="20"/>
          <w:color w:val="auto"/>
        </w:rPr>
      </w:pPr>
    </w:p>
    <w:p>
      <w:pPr>
        <w:ind w:left="1220" w:hanging="530"/>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the United States as well as foreign jurisdictions, no uniform policy of coverage and reimbursement for products exists among third-party payors.</w:t>
      </w:r>
    </w:p>
    <w:p>
      <w:pPr>
        <w:spacing w:after="0" w:line="110" w:lineRule="exact"/>
        <w:rPr>
          <w:sz w:val="20"/>
          <w:szCs w:val="20"/>
          <w:color w:val="auto"/>
        </w:rPr>
      </w:pPr>
    </w:p>
    <w:p>
      <w:pPr>
        <w:ind w:right="20" w:firstLine="382"/>
        <w:spacing w:after="0" w:line="273" w:lineRule="auto"/>
        <w:rPr>
          <w:sz w:val="20"/>
          <w:szCs w:val="20"/>
          <w:color w:val="auto"/>
        </w:rPr>
      </w:pPr>
      <w:r>
        <w:rPr>
          <w:rFonts w:ascii="Times New Roman" w:cs="Times New Roman" w:eastAsia="Times New Roman" w:hAnsi="Times New Roman"/>
          <w:sz w:val="16"/>
          <w:szCs w:val="16"/>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PLN-101095 or our other product candidates, once approved. It is difficult to predict at this time what third-party payors will decide with respect to the coverage and reimbursement for PLN-101095 or our other product candidates, if approved.</w:t>
      </w:r>
    </w:p>
    <w:p>
      <w:pPr>
        <w:spacing w:after="0" w:line="63"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0" w:name="page41"/>
    <w:bookmarkEnd w:id="40"/>
    <w:p>
      <w:pPr>
        <w:ind w:right="700"/>
        <w:spacing w:after="0" w:line="279" w:lineRule="auto"/>
        <w:rPr>
          <w:sz w:val="20"/>
          <w:szCs w:val="20"/>
          <w:color w:val="auto"/>
        </w:rPr>
      </w:pPr>
      <w:r>
        <w:rPr>
          <w:rFonts w:ascii="Times New Roman" w:cs="Times New Roman" w:eastAsia="Times New Roman" w:hAnsi="Times New Roman"/>
          <w:sz w:val="17"/>
          <w:szCs w:val="17"/>
          <w:color w:val="auto"/>
        </w:rPr>
        <w:t>prices are reduced by mandatory discounts or rebates, there could be a material adverse effect on our operating results, our ability to raise capital needed to commercialize products and our overall financial condition.</w:t>
      </w:r>
    </w:p>
    <w:p>
      <w:pPr>
        <w:spacing w:after="0" w:line="55"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7"/>
          <w:szCs w:val="17"/>
          <w:color w:val="auto"/>
        </w:rPr>
        <w:t>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PLN-101095 or any other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w:t>
      </w:r>
    </w:p>
    <w:p>
      <w:pPr>
        <w:spacing w:after="0" w:line="70" w:lineRule="exact"/>
        <w:rPr>
          <w:sz w:val="20"/>
          <w:szCs w:val="20"/>
          <w:color w:val="auto"/>
        </w:rPr>
      </w:pPr>
    </w:p>
    <w:p>
      <w:pPr>
        <w:ind w:right="2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Even if we obtain FDA approval of PLN-101095 or any of our other product candidates, we may never obtain approval or commercialize such products outside of the United States, which would limit our ability to realize their full market potential.</w:t>
      </w:r>
    </w:p>
    <w:p>
      <w:pPr>
        <w:spacing w:after="0" w:line="51"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6"/>
          <w:szCs w:val="16"/>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66" w:lineRule="exact"/>
        <w:rPr>
          <w:sz w:val="20"/>
          <w:szCs w:val="20"/>
          <w:color w:val="auto"/>
        </w:rPr>
      </w:pPr>
    </w:p>
    <w:p>
      <w:pPr>
        <w:jc w:val="both"/>
        <w:ind w:right="28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65"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78" w:lineRule="exact"/>
        <w:rPr>
          <w:sz w:val="20"/>
          <w:szCs w:val="20"/>
          <w:color w:val="auto"/>
        </w:rPr>
      </w:pPr>
    </w:p>
    <w:p>
      <w:pPr>
        <w:ind w:right="4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5" w:lineRule="exact"/>
        <w:rPr>
          <w:sz w:val="20"/>
          <w:szCs w:val="20"/>
          <w:color w:val="auto"/>
        </w:rPr>
      </w:pPr>
    </w:p>
    <w:p>
      <w:pPr>
        <w:ind w:right="200" w:firstLine="382"/>
        <w:spacing w:after="0" w:line="257" w:lineRule="auto"/>
        <w:rPr>
          <w:sz w:val="20"/>
          <w:szCs w:val="20"/>
          <w:color w:val="auto"/>
        </w:rPr>
      </w:pPr>
      <w:r>
        <w:rPr>
          <w:rFonts w:ascii="Times New Roman" w:cs="Times New Roman" w:eastAsia="Times New Roman" w:hAnsi="Times New Roman"/>
          <w:sz w:val="17"/>
          <w:szCs w:val="17"/>
          <w:color w:val="auto"/>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2025, or our 2025 10-K. In particular, the research of our product candidates, as well as the promotion, sales and marketing of healthcare items and services, and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41" w:name="page42"/>
    <w:bookmarkEnd w:id="41"/>
    <w:p>
      <w:pPr>
        <w:ind w:right="80"/>
        <w:spacing w:after="0" w:line="257" w:lineRule="auto"/>
        <w:rPr>
          <w:sz w:val="20"/>
          <w:szCs w:val="20"/>
          <w:color w:val="auto"/>
        </w:rPr>
      </w:pPr>
      <w:r>
        <w:rPr>
          <w:rFonts w:ascii="Times New Roman" w:cs="Times New Roman" w:eastAsia="Times New Roman" w:hAnsi="Times New Roman"/>
          <w:sz w:val="17"/>
          <w:szCs w:val="17"/>
          <w:color w:val="auto"/>
        </w:rPr>
        <w:t>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40" w:firstLine="382"/>
        <w:spacing w:after="0" w:line="279" w:lineRule="auto"/>
        <w:rPr>
          <w:sz w:val="20"/>
          <w:szCs w:val="20"/>
          <w:color w:val="auto"/>
        </w:rPr>
      </w:pPr>
      <w:r>
        <w:rPr>
          <w:rFonts w:ascii="Times New Roman" w:cs="Times New Roman" w:eastAsia="Times New Roman" w:hAnsi="Times New Roman"/>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55" w:lineRule="exact"/>
        <w:rPr>
          <w:sz w:val="20"/>
          <w:szCs w:val="20"/>
          <w:color w:val="auto"/>
        </w:rPr>
      </w:pPr>
    </w:p>
    <w:p>
      <w:pPr>
        <w:ind w:right="120" w:firstLine="382"/>
        <w:spacing w:after="0" w:line="279"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Ensuring business arrangements comply with applicable healthcare laws can be time- and resource-consuming.</w:t>
      </w:r>
    </w:p>
    <w:p>
      <w:pPr>
        <w:spacing w:after="0" w:line="55"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75" w:lineRule="exact"/>
        <w:rPr>
          <w:sz w:val="20"/>
          <w:szCs w:val="20"/>
          <w:color w:val="auto"/>
        </w:rPr>
      </w:pPr>
    </w:p>
    <w:p>
      <w:pPr>
        <w:ind w:right="4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of PLN-101095 or any other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5"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7"/>
          <w:szCs w:val="17"/>
          <w:color w:val="auto"/>
        </w:rPr>
        <w:t>If PLN-101095 or any of our other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74"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4"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Any regulatory approvals that we receive for PLN-101095 or our other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PLN-101095 or our other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PLN-101095 or our other product candidates, we will have to comply with requirements including submissions of safety and other post-marketing information and reports and registration.</w:t>
      </w:r>
    </w:p>
    <w:p>
      <w:pPr>
        <w:spacing w:after="0" w:line="74" w:lineRule="exact"/>
        <w:rPr>
          <w:sz w:val="20"/>
          <w:szCs w:val="20"/>
          <w:color w:val="auto"/>
        </w:rPr>
      </w:pPr>
    </w:p>
    <w:p>
      <w:pPr>
        <w:ind w:right="320" w:firstLine="382"/>
        <w:spacing w:after="0" w:line="259" w:lineRule="auto"/>
        <w:rPr>
          <w:sz w:val="20"/>
          <w:szCs w:val="20"/>
          <w:color w:val="auto"/>
        </w:rPr>
      </w:pPr>
      <w:r>
        <w:rPr>
          <w:rFonts w:ascii="Times New Roman" w:cs="Times New Roman" w:eastAsia="Times New Roman" w:hAnsi="Times New Roman"/>
          <w:sz w:val="17"/>
          <w:szCs w:val="17"/>
          <w:color w:val="auto"/>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PLN-101095 or our other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2" w:name="page43"/>
    <w:bookmarkEnd w:id="42"/>
    <w:p>
      <w:pPr>
        <w:ind w:right="400"/>
        <w:spacing w:after="0" w:line="279" w:lineRule="auto"/>
        <w:rPr>
          <w:sz w:val="20"/>
          <w:szCs w:val="20"/>
          <w:color w:val="auto"/>
        </w:rPr>
      </w:pPr>
      <w:r>
        <w:rPr>
          <w:rFonts w:ascii="Times New Roman" w:cs="Times New Roman" w:eastAsia="Times New Roman" w:hAnsi="Times New Roman"/>
          <w:sz w:val="17"/>
          <w:szCs w:val="17"/>
          <w:color w:val="auto"/>
        </w:rPr>
        <w:t>market studies or clinical trials to assess new safety risks; or imposition of distribution restrictions or other restrictions under a REMS program. Other potential consequences include, among other things:</w:t>
      </w:r>
    </w:p>
    <w:p>
      <w:pPr>
        <w:spacing w:after="0" w:line="55" w:lineRule="exact"/>
        <w:rPr>
          <w:sz w:val="20"/>
          <w:szCs w:val="20"/>
          <w:color w:val="auto"/>
        </w:rPr>
      </w:pPr>
    </w:p>
    <w:p>
      <w:pPr>
        <w:ind w:left="1220" w:right="380" w:hanging="530"/>
        <w:spacing w:after="0" w:line="279" w:lineRule="auto"/>
        <w:tabs>
          <w:tab w:leader="none" w:pos="12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our products, withdrawal of the product from the market or voluntary or mandatory product recalls;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clinical trials;</w:t>
      </w:r>
    </w:p>
    <w:p>
      <w:pPr>
        <w:spacing w:after="0" w:line="110" w:lineRule="exact"/>
        <w:rPr>
          <w:rFonts w:ascii="Times New Roman" w:cs="Times New Roman" w:eastAsia="Times New Roman" w:hAnsi="Times New Roman"/>
          <w:sz w:val="17"/>
          <w:szCs w:val="17"/>
          <w:color w:val="auto"/>
        </w:rPr>
      </w:pPr>
    </w:p>
    <w:p>
      <w:pPr>
        <w:ind w:left="1220" w:right="320" w:hanging="530"/>
        <w:spacing w:after="0" w:line="279" w:lineRule="auto"/>
        <w:tabs>
          <w:tab w:leader="none" w:pos="12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filed by us or suspension or revocation of license approvals;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and related publicity requirements;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our product candidates;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10"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PLN-101095 or our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3" w:lineRule="exact"/>
        <w:rPr>
          <w:sz w:val="20"/>
          <w:szCs w:val="20"/>
          <w:color w:val="auto"/>
        </w:rPr>
      </w:pPr>
    </w:p>
    <w:p>
      <w:pPr>
        <w:ind w:right="1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evaluating PLN-101095, and may continue to evaluate or develop current or future candidates, in combination with other therapies, which would expose us to additional risks.</w:t>
      </w:r>
    </w:p>
    <w:p>
      <w:pPr>
        <w:spacing w:after="0" w:line="51"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auto"/>
        </w:rPr>
        <w:t>We are evaluating PLN-101095 as a monotherapy and in combination with pembrolizumab, a currently approved cancer therapy. The development of product candidates for use in combination with another product or product candidate may present challenges that are not faced for single agent product candidates. The FDA, EMA,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 are attributable to the combination therapy and not our current product candidates and any future product candidates. It is also possible that trial results for our product candidates may differ significantly if our product candidates are investigated with different combination therapies in different trials - for example, if we were to investigate our product candidates with one immunotherapy in one trial and a different immunotherapy in another. Moreover, following product approval, the FDA, EMA, or comparable foreign regulatory authorities may require that products used in conjunction with each other be cross-labeled for combined use. To the extent that we do not have rights to the other product, this may require us to work with a third party to satisfy such a requirement. Further, if third-party patents relating to existing therapies used in combination with our current and future product candidates were to expire, our competitors could develop and commercialize products or technologies similar or identical to ours. For example, several key patents related to pembrolizumab are scheduled to expire in the year 2028. Accordingly, we may be open to increased competition from new single-agent and combination therapy candidates, including therapies that include biosimilars and generics. We are not able to predict what the loss of patent protection for pembrolizumab will have on our prospects or our ability to successfully develop and commercialize our product candidates. Loss of patent protection for pembrolizumab could adversely affect our business, financial condition and prospects.</w:t>
      </w:r>
    </w:p>
    <w:p>
      <w:pPr>
        <w:spacing w:after="0" w:line="81"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7"/>
          <w:szCs w:val="17"/>
          <w:color w:val="auto"/>
        </w:rPr>
        <w:t>If PLN-101095 or other current or future product candidates were to receive marketing approval or be commercialized for use in combination with other existing therapies, we would also be subject to the risks that the FDA or comparable foreign regulatory authorities could revoke approval of the therapy used in combination with any of our product candidates, or safety, efficacy, manufacturing or supply issues could arise with these existing therapies. It is also possible that the existing therapies with which our product candidates are approved for use could fall out of favor or be relegated to later lines of treatments. Any of the foregoing could result in the need to find other combination therapies for our product candidates or in our own products being removed from the market or being less commercially successful.</w:t>
      </w:r>
    </w:p>
    <w:p>
      <w:pPr>
        <w:spacing w:after="0" w:line="7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We may also evaluate PLN-101095 in combination with one or more other cancer therapies that have not yet been approved for marketing by the FDA or comparable foreign regulatory authorities. We will not be able to market and sell PLN-101095 in combination with any such unapproved cancer therapies that do not ultimately obtain marketing approval.</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43" w:name="page44"/>
    <w:bookmarkEnd w:id="43"/>
    <w:p>
      <w:pPr>
        <w:ind w:right="20" w:firstLine="382"/>
        <w:spacing w:after="0" w:line="253" w:lineRule="auto"/>
        <w:rPr>
          <w:sz w:val="20"/>
          <w:szCs w:val="20"/>
          <w:color w:val="auto"/>
        </w:rPr>
      </w:pPr>
      <w:r>
        <w:rPr>
          <w:rFonts w:ascii="Times New Roman" w:cs="Times New Roman" w:eastAsia="Times New Roman" w:hAnsi="Times New Roman"/>
          <w:sz w:val="17"/>
          <w:szCs w:val="17"/>
          <w:color w:val="auto"/>
        </w:rPr>
        <w:t>If third parties successfully develop and commercialize competitive combination therapies, the FDA or comparable foreign regulatory authorities do not approve or withdraw approval of these other therapies, or if safety, efficacy, commercial adoption, manufacturing, supply or other issues arise with the therapies we choose to evaluate in combination with PLN-101095 or other current or future product candidates, we may be unable to obtain approval of or successfully market PLN-101095 or one or all of the other current or future product candidates we develop. Additionally, if the third party providers of pembrolizumab or other currently approved or in development therapies used in combination with PLN-101095 or other current or future product candidates are unable to produce sufficient quantities for clinical trials or for commercialization of PLN-101095 or our other future product candidates, or if the cost of combination therapies is prohibitive, our development and commercialization efforts would be impaired, which would have an adverse effect on our business, financial condition, results of operation and growth prospects. In the event that any of our collaborators or suppliers cannot continue to supply their products on commercially reasonable terms, we may need to identify alternatives for accessing such immunotherapies. Additionally, should the supply of products from any collaborator or supplier be interrupted, delayed or otherwise be unavailable to us,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Ongoing healthcare legislative and regulatory reform measures may have a material adverse effect on our business and results of operations.</w:t>
      </w:r>
    </w:p>
    <w:p>
      <w:pPr>
        <w:spacing w:after="0" w:line="11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7"/>
          <w:szCs w:val="17"/>
          <w:color w:val="auto"/>
        </w:rPr>
        <w:t>In the United States and other jurisdictions there have been, and we expect there will continue to be, a number of legislative and regulatory changes and proposed changes to the healthcare system that could affect our ability to profitably sell PLN-101095 or any other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any products that we may successfully commercialize in the future; (iv) more rigorous coverage criteria or additional downward pressure on the price that we receive for PLN-101095 or another product candidate for which we obtain marketing approval; or (v) additional record-keeping requirements. If any such changes were to be imposed, they could adversely affect the operation of our business.</w:t>
      </w:r>
    </w:p>
    <w:p>
      <w:pPr>
        <w:spacing w:after="0" w:line="77"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initiatives to contain healthcare costs, as detailed in Part I, Item 1 – Business – Government Regulation – Current and Future Healthcare Reform Legislation of our 2025 10-K. For example, in August 2022, the Inflation Reduction Act, or IRA, implemented substantial changes to the Medicare program, including drug pricing reforms and changes to the Medicare Part D benefit design.</w:t>
      </w:r>
    </w:p>
    <w:p>
      <w:pPr>
        <w:spacing w:after="0" w:line="17"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7"/>
          <w:szCs w:val="17"/>
          <w:color w:val="auto"/>
        </w:rPr>
        <w:t>Among other reforms, the IRA imposes inflation rebates on drug manufacturers for products reimbursed under Medicare Parts B and D if the prices of those products increase faster than inflation; implements changes to the Medicare Part D benefit that capped patient annual out-of-pocket spending at $2,000, while imposing new discount obligations for pharmaceutical manufacturers and payors; and establishes a “maximum fair price” for a fixed number of high spend pharmaceutical and biological products that are selected by CMS and covered under Medicare Parts B and D following a price negotiation process with the agency. Under the current statute,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However, the current administration has expressed interest in working with Congress to align the treatment of small molecule prescription drugs with that of biological products.</w:t>
      </w:r>
    </w:p>
    <w:p>
      <w:pPr>
        <w:spacing w:after="0" w:line="81"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When originally enacted, the IRA explicitly excluded from price negotiation orphan drugs designated for only one rare disease or condition and for which the only active approved indication is for such disease or condition. However, the July 2025 One Big Beautiful Bill Act amended the applicable statute to broaden the orphan drug exclusion such that products with more than one orphan designation and more than one approved indication will remain exempt from price negotiations, so long as each approved indication is for a rare disease or condition.</w:t>
      </w:r>
    </w:p>
    <w:p>
      <w:pPr>
        <w:spacing w:after="0" w:line="73"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Since its enactment, CMS has taken steps to implement various drug pricing provisions of the IRA, including negotiating and publishing "maximum fair prices" for drugs selected under the IRA's price negotiation framework.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and/or executive or</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44" w:name="page45"/>
    <w:bookmarkEnd w:id="44"/>
    <w:p>
      <w:pPr>
        <w:ind w:right="600"/>
        <w:spacing w:after="0" w:line="279" w:lineRule="auto"/>
        <w:rPr>
          <w:sz w:val="20"/>
          <w:szCs w:val="20"/>
          <w:color w:val="auto"/>
        </w:rPr>
      </w:pPr>
      <w:r>
        <w:rPr>
          <w:rFonts w:ascii="Times New Roman" w:cs="Times New Roman" w:eastAsia="Times New Roman" w:hAnsi="Times New Roman"/>
          <w:sz w:val="17"/>
          <w:szCs w:val="17"/>
          <w:color w:val="auto"/>
        </w:rPr>
        <w:t>administrative action. However, we expect these initiatives to increase pressure on drug pricing. Further, certain broader legislation that is not targeted to the healthcare industry may nonetheless adversely affect our profitability.</w:t>
      </w:r>
    </w:p>
    <w:p>
      <w:pPr>
        <w:spacing w:after="0" w:line="55"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7"/>
          <w:szCs w:val="17"/>
          <w:color w:val="auto"/>
        </w:rPr>
        <w:t>Further, the May 2025 executive order titled "Delivering Most-Favored-Nation Prescription Drug Pricing to American Patients" may have unpredictable consequences on the pricing of medicinal products in European countries. This executive order requires federal agencies to seek parity between U.S. drug prices and the lowest prices in peer nations and empowers the Secretary of HHS to establish and communicate most-favored-nation price targets to manufacturers, including through rulemaking if voluntary efforts by manufacturers prove inadequate. Accordingly, CMS has taken action to implement "most-favored-nation" pricing, including by announcing a new voluntary payment model where drug manufacturers may offer supplemental rebates to participating state Medicaid programs to provide such Medicaid programs with a "most favored nation" price for participating manufacturers' products, as well as proposing mandatory payment models where, if finalized, manufacturers of certain Medicare Part B and Medicare Part D drugs would be assessed rebates if the prices for such products exceed those paid in economically comparable countries. It remains to be seen how these drug pricing initiatives will affect the broader pharmaceutical industry.</w:t>
      </w:r>
    </w:p>
    <w:p>
      <w:pPr>
        <w:spacing w:after="0" w:line="77" w:lineRule="exact"/>
        <w:rPr>
          <w:sz w:val="20"/>
          <w:szCs w:val="20"/>
          <w:color w:val="auto"/>
        </w:rPr>
      </w:pPr>
    </w:p>
    <w:p>
      <w:pPr>
        <w:ind w:right="180" w:firstLine="382"/>
        <w:spacing w:after="0" w:line="259" w:lineRule="auto"/>
        <w:rPr>
          <w:sz w:val="20"/>
          <w:szCs w:val="20"/>
          <w:color w:val="auto"/>
        </w:rPr>
      </w:pPr>
      <w:r>
        <w:rPr>
          <w:rFonts w:ascii="Times New Roman" w:cs="Times New Roman" w:eastAsia="Times New Roman" w:hAnsi="Times New Roman"/>
          <w:sz w:val="17"/>
          <w:szCs w:val="17"/>
          <w:color w:val="auto"/>
        </w:rPr>
        <w:t>Moreover, the healthcare regulatory landscape can also be affected by election cycles and any resulting changes in healthcare policy priorities and broader industry response. If we or any third parties we may engage are slow or unable to adapt to changes in existing requirements,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9" w:lineRule="exact"/>
        <w:rPr>
          <w:sz w:val="20"/>
          <w:szCs w:val="20"/>
          <w:color w:val="auto"/>
        </w:rPr>
      </w:pPr>
    </w:p>
    <w:p>
      <w:pPr>
        <w:ind w:right="6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5"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3"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Drug marketing and reimbursement regulations may materially affect our ability to market and secure reimbursement for our products.</w:t>
      </w:r>
    </w:p>
    <w:p>
      <w:pPr>
        <w:spacing w:after="0" w:line="114"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We intend to seek approval to market PLN-101095 and our other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As of January 2025, Regulation No 2021/2282 on Health Technology Assessment (HTA Regulation) is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PLN-101095 or our other product candidates will depend significantly on the availability of adequate coverage and reimbursement from third-party payors for the product candidate and may be affected by existing and future health care reform measures.</w:t>
      </w:r>
    </w:p>
    <w:p>
      <w:pPr>
        <w:spacing w:after="0" w:line="79"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45" w:name="page46"/>
    <w:bookmarkEnd w:id="45"/>
    <w:p>
      <w:pPr>
        <w:ind w:right="160"/>
        <w:spacing w:after="0" w:line="257" w:lineRule="auto"/>
        <w:rPr>
          <w:sz w:val="20"/>
          <w:szCs w:val="20"/>
          <w:color w:val="auto"/>
        </w:rPr>
      </w:pPr>
      <w:r>
        <w:rPr>
          <w:rFonts w:ascii="Times New Roman" w:cs="Times New Roman" w:eastAsia="Times New Roman" w:hAnsi="Times New Roman"/>
          <w:sz w:val="17"/>
          <w:szCs w:val="17"/>
          <w:color w:val="auto"/>
        </w:rPr>
        <w:t>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74"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7"/>
          <w:szCs w:val="17"/>
          <w:color w:val="auto"/>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4"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auto"/>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Additional laws and regulations governing international operations could negatively impact or restrict our operations.</w:t>
      </w:r>
    </w:p>
    <w:p>
      <w:pPr>
        <w:spacing w:after="0" w:line="114"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4" w:lineRule="exact"/>
        <w:rPr>
          <w:sz w:val="20"/>
          <w:szCs w:val="20"/>
          <w:color w:val="auto"/>
        </w:rPr>
      </w:pPr>
    </w:p>
    <w:p>
      <w:pPr>
        <w:ind w:right="320" w:firstLine="382"/>
        <w:spacing w:after="0" w:line="259" w:lineRule="auto"/>
        <w:rPr>
          <w:sz w:val="20"/>
          <w:szCs w:val="20"/>
          <w:color w:val="auto"/>
        </w:rPr>
      </w:pPr>
      <w:r>
        <w:rPr>
          <w:rFonts w:ascii="Times New Roman" w:cs="Times New Roman" w:eastAsia="Times New Roman" w:hAnsi="Times New Roman"/>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73"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4"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4" w:lineRule="exact"/>
        <w:rPr>
          <w:sz w:val="20"/>
          <w:szCs w:val="20"/>
          <w:color w:val="auto"/>
        </w:rPr>
      </w:pPr>
    </w:p>
    <w:p>
      <w:pPr>
        <w:ind w:right="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6" w:name="page47"/>
    <w:bookmarkEnd w:id="46"/>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or collectively,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0" w:lineRule="exact"/>
        <w:rPr>
          <w:sz w:val="20"/>
          <w:szCs w:val="20"/>
          <w:color w:val="auto"/>
        </w:rPr>
      </w:pPr>
    </w:p>
    <w:p>
      <w:pPr>
        <w:ind w:right="8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120" w:firstLine="382"/>
        <w:spacing w:after="0" w:line="254" w:lineRule="auto"/>
        <w:rPr>
          <w:sz w:val="20"/>
          <w:szCs w:val="20"/>
          <w:color w:val="auto"/>
        </w:rPr>
      </w:pPr>
      <w:r>
        <w:rPr>
          <w:rFonts w:ascii="Times New Roman" w:cs="Times New Roman" w:eastAsia="Times New Roman" w:hAnsi="Times New Roman"/>
          <w:sz w:val="17"/>
          <w:szCs w:val="17"/>
          <w:color w:val="auto"/>
        </w:rPr>
        <w:t>Our business will depend in large part on obtaining and maintaining patent, intellectual property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PLN-101095 or any other product candidates we may develop may be adversely affected.</w:t>
      </w:r>
    </w:p>
    <w:p>
      <w:pPr>
        <w:spacing w:after="0" w:line="77"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7"/>
          <w:szCs w:val="17"/>
          <w:color w:val="auto"/>
        </w:rPr>
        <w:t>The patenting process is expensive and time 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7" w:lineRule="exact"/>
        <w:rPr>
          <w:sz w:val="20"/>
          <w:szCs w:val="20"/>
          <w:color w:val="auto"/>
        </w:rPr>
      </w:pPr>
    </w:p>
    <w:p>
      <w:pPr>
        <w:ind w:right="260" w:firstLine="382"/>
        <w:spacing w:after="0" w:line="279" w:lineRule="auto"/>
        <w:rPr>
          <w:sz w:val="20"/>
          <w:szCs w:val="20"/>
          <w:color w:val="auto"/>
        </w:rPr>
      </w:pPr>
      <w:r>
        <w:rPr>
          <w:rFonts w:ascii="Times New Roman" w:cs="Times New Roman" w:eastAsia="Times New Roman" w:hAnsi="Times New Roman"/>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55" w:lineRule="exact"/>
        <w:rPr>
          <w:sz w:val="20"/>
          <w:szCs w:val="20"/>
          <w:color w:val="auto"/>
        </w:rPr>
      </w:pPr>
    </w:p>
    <w:p>
      <w:pPr>
        <w:ind w:right="240" w:firstLine="382"/>
        <w:spacing w:after="0" w:line="277" w:lineRule="auto"/>
        <w:rPr>
          <w:sz w:val="20"/>
          <w:szCs w:val="20"/>
          <w:color w:val="auto"/>
        </w:rPr>
      </w:pPr>
      <w:r>
        <w:rPr>
          <w:rFonts w:ascii="Times New Roman" w:cs="Times New Roman" w:eastAsia="Times New Roman" w:hAnsi="Times New Roman"/>
          <w:sz w:val="16"/>
          <w:szCs w:val="16"/>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9"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7"/>
          <w:szCs w:val="17"/>
          <w:color w:val="auto"/>
        </w:rPr>
        <w:t>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8"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7" w:lineRule="exact"/>
        <w:rPr>
          <w:sz w:val="20"/>
          <w:szCs w:val="20"/>
          <w:color w:val="auto"/>
        </w:rPr>
      </w:pPr>
    </w:p>
    <w:p>
      <w:pPr>
        <w:ind w:right="220" w:firstLine="382"/>
        <w:spacing w:after="0" w:line="279"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5" w:lineRule="exact"/>
        <w:rPr>
          <w:sz w:val="20"/>
          <w:szCs w:val="20"/>
          <w:color w:val="auto"/>
        </w:rPr>
      </w:pPr>
    </w:p>
    <w:p>
      <w:pPr>
        <w:ind w:left="1220" w:right="4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or use compounds that are similar to the compositions of our product candidates but that are not covered by the claims of our patents or those of our licensors;</w:t>
      </w:r>
    </w:p>
    <w:p>
      <w:pPr>
        <w:spacing w:after="0" w:line="54" w:lineRule="exact"/>
        <w:rPr>
          <w:rFonts w:ascii="Times New Roman" w:cs="Times New Roman" w:eastAsia="Times New Roman" w:hAnsi="Times New Roman"/>
          <w:sz w:val="17"/>
          <w:szCs w:val="17"/>
          <w:color w:val="auto"/>
        </w:rPr>
      </w:pPr>
    </w:p>
    <w:p>
      <w:pPr>
        <w:ind w:left="1220" w:right="22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as the case may be, might not have been the first to file patent applications for these inventions;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result in issued patents;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extend the patent term in some jurisdictions;</w:t>
      </w:r>
    </w:p>
    <w:p>
      <w:pPr>
        <w:spacing w:after="0" w:line="110" w:lineRule="exact"/>
        <w:rPr>
          <w:rFonts w:ascii="Times New Roman" w:cs="Times New Roman" w:eastAsia="Times New Roman" w:hAnsi="Times New Roman"/>
          <w:sz w:val="17"/>
          <w:szCs w:val="17"/>
          <w:color w:val="auto"/>
        </w:rPr>
      </w:pPr>
    </w:p>
    <w:p>
      <w:pPr>
        <w:ind w:left="1220" w:right="26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there are prior public disclosures that could invalidate our or our licensors’ patents, as the case may be, or parts of our or their patents;</w:t>
      </w:r>
    </w:p>
    <w:p>
      <w:pPr>
        <w:spacing w:after="0" w:line="54" w:lineRule="exact"/>
        <w:rPr>
          <w:rFonts w:ascii="Times New Roman" w:cs="Times New Roman" w:eastAsia="Times New Roman" w:hAnsi="Times New Roman"/>
          <w:sz w:val="17"/>
          <w:szCs w:val="17"/>
          <w:color w:val="auto"/>
        </w:rPr>
      </w:pPr>
    </w:p>
    <w:p>
      <w:pPr>
        <w:ind w:left="1220" w:right="30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others may circumvent our owned or in-licensed patents or regulatory intellectual property rights such as our data protection, orphan market exclusivity and others;</w:t>
      </w:r>
    </w:p>
    <w:p>
      <w:pPr>
        <w:spacing w:after="0" w:line="54" w:lineRule="exact"/>
        <w:rPr>
          <w:rFonts w:ascii="Times New Roman" w:cs="Times New Roman" w:eastAsia="Times New Roman" w:hAnsi="Times New Roman"/>
          <w:sz w:val="17"/>
          <w:szCs w:val="17"/>
          <w:color w:val="auto"/>
        </w:rPr>
      </w:pPr>
    </w:p>
    <w:p>
      <w:pPr>
        <w:ind w:left="1220" w:right="36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there are unpublished applications or patent applications maintained in secrecy that may later issue with claims covering our products or technology similar to ours;</w:t>
      </w:r>
    </w:p>
    <w:p>
      <w:pPr>
        <w:spacing w:after="0" w:line="54" w:lineRule="exact"/>
        <w:rPr>
          <w:rFonts w:ascii="Times New Roman" w:cs="Times New Roman" w:eastAsia="Times New Roman" w:hAnsi="Times New Roman"/>
          <w:sz w:val="17"/>
          <w:szCs w:val="17"/>
          <w:color w:val="auto"/>
        </w:rPr>
      </w:pPr>
    </w:p>
    <w:p>
      <w:pPr>
        <w:ind w:left="1220" w:right="40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laws of foreign countries may not protect our or our licensors’, as the case may be, proprietary rights to the same extent as the laws of the United States;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our owned or in-licensed issued patents or patent applications, if and when issued, may not cover our product candidates;</w:t>
      </w:r>
    </w:p>
    <w:p>
      <w:pPr>
        <w:spacing w:after="0" w:line="110" w:lineRule="exact"/>
        <w:rPr>
          <w:rFonts w:ascii="Times New Roman" w:cs="Times New Roman" w:eastAsia="Times New Roman" w:hAnsi="Times New Roman"/>
          <w:sz w:val="17"/>
          <w:szCs w:val="17"/>
          <w:color w:val="auto"/>
        </w:rPr>
      </w:pPr>
    </w:p>
    <w:p>
      <w:pPr>
        <w:ind w:left="1220" w:right="36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54" w:lineRule="exact"/>
        <w:rPr>
          <w:rFonts w:ascii="Times New Roman" w:cs="Times New Roman" w:eastAsia="Times New Roman" w:hAnsi="Times New Roman"/>
          <w:sz w:val="17"/>
          <w:szCs w:val="17"/>
          <w:color w:val="auto"/>
        </w:rPr>
      </w:pPr>
    </w:p>
    <w:p>
      <w:pPr>
        <w:ind w:left="1220" w:right="300" w:hanging="530"/>
        <w:spacing w:after="0" w:line="311" w:lineRule="auto"/>
        <w:tabs>
          <w:tab w:leader="none" w:pos="121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32" w:lineRule="exact"/>
        <w:rPr>
          <w:rFonts w:ascii="Times New Roman" w:cs="Times New Roman" w:eastAsia="Times New Roman" w:hAnsi="Times New Roman"/>
          <w:sz w:val="16"/>
          <w:szCs w:val="16"/>
          <w:color w:val="auto"/>
        </w:rPr>
      </w:pPr>
    </w:p>
    <w:p>
      <w:pPr>
        <w:ind w:left="1220" w:right="280" w:hanging="530"/>
        <w:spacing w:after="0" w:line="264"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8" w:lineRule="exact"/>
        <w:rPr>
          <w:rFonts w:ascii="Times New Roman" w:cs="Times New Roman" w:eastAsia="Times New Roman" w:hAnsi="Times New Roman"/>
          <w:sz w:val="17"/>
          <w:szCs w:val="17"/>
          <w:color w:val="auto"/>
        </w:rPr>
      </w:pPr>
    </w:p>
    <w:p>
      <w:pPr>
        <w:ind w:left="1220" w:right="500" w:hanging="530"/>
        <w:spacing w:after="0" w:line="279" w:lineRule="auto"/>
        <w:tabs>
          <w:tab w:leader="none" w:pos="12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for which we can obtain patent protection;</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48" w:name="page49"/>
    <w:bookmarkEnd w:id="48"/>
    <w:p>
      <w:pPr>
        <w:ind w:left="1220" w:hanging="530"/>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product candidates or diagnostic tests we develop may be covered by third parties’ patents or other exclusive rights; or</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106" w:lineRule="exact"/>
        <w:rPr>
          <w:sz w:val="20"/>
          <w:szCs w:val="20"/>
          <w:color w:val="auto"/>
        </w:rPr>
      </w:pPr>
    </w:p>
    <w:p>
      <w:pPr>
        <w:ind w:right="3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spacing w:after="0" w:line="51"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7"/>
          <w:szCs w:val="17"/>
          <w:color w:val="auto"/>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Moreover, disputes may arise regarding intellectual property subject to a licensing agreement, including:</w:t>
      </w:r>
    </w:p>
    <w:p>
      <w:pPr>
        <w:spacing w:after="0" w:line="110" w:lineRule="exact"/>
        <w:rPr>
          <w:sz w:val="20"/>
          <w:szCs w:val="20"/>
          <w:color w:val="auto"/>
        </w:rPr>
      </w:pPr>
    </w:p>
    <w:p>
      <w:pPr>
        <w:ind w:left="1220" w:hanging="530"/>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10" w:lineRule="exact"/>
        <w:rPr>
          <w:rFonts w:ascii="Times New Roman" w:cs="Times New Roman" w:eastAsia="Times New Roman" w:hAnsi="Times New Roman"/>
          <w:sz w:val="17"/>
          <w:szCs w:val="17"/>
          <w:color w:val="auto"/>
        </w:rPr>
      </w:pPr>
    </w:p>
    <w:p>
      <w:pPr>
        <w:ind w:left="1220" w:right="440" w:hanging="530"/>
        <w:spacing w:after="0" w:line="279" w:lineRule="auto"/>
        <w:tabs>
          <w:tab w:leader="none" w:pos="12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product candidates,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 under our collaborative development relationships;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110" w:lineRule="exact"/>
        <w:rPr>
          <w:rFonts w:ascii="Times New Roman" w:cs="Times New Roman" w:eastAsia="Times New Roman" w:hAnsi="Times New Roman"/>
          <w:sz w:val="17"/>
          <w:szCs w:val="17"/>
          <w:color w:val="auto"/>
        </w:rPr>
      </w:pPr>
    </w:p>
    <w:p>
      <w:pPr>
        <w:ind w:left="1220" w:right="40" w:hanging="530"/>
        <w:spacing w:after="0" w:line="279" w:lineRule="auto"/>
        <w:tabs>
          <w:tab w:leader="none" w:pos="12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11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14"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disclosed or misappropriated, or if any such information was independently developed by a competitor, our competitive position could be harmed.</w:t>
      </w:r>
    </w:p>
    <w:p>
      <w:pPr>
        <w:spacing w:after="0" w:line="110"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7"/>
          <w:szCs w:val="17"/>
          <w:color w:val="auto"/>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3" w:lineRule="exact"/>
        <w:rPr>
          <w:sz w:val="20"/>
          <w:szCs w:val="20"/>
          <w:color w:val="auto"/>
        </w:rPr>
      </w:pPr>
    </w:p>
    <w:p>
      <w:pPr>
        <w:ind w:right="140" w:firstLine="382"/>
        <w:spacing w:after="0" w:line="254" w:lineRule="auto"/>
        <w:rPr>
          <w:sz w:val="20"/>
          <w:szCs w:val="20"/>
          <w:color w:val="auto"/>
        </w:rPr>
      </w:pPr>
      <w:r>
        <w:rPr>
          <w:rFonts w:ascii="Times New Roman" w:cs="Times New Roman" w:eastAsia="Times New Roman" w:hAnsi="Times New Roman"/>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Third-party claims of intellectual property infringement may prevent or delay our product discovery and development efforts.</w:t>
      </w:r>
    </w:p>
    <w:p>
      <w:pPr>
        <w:spacing w:after="0" w:line="114"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PLN-101095 and our other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PLN-101095 or our other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If a third party claims that we infringe its intellectual property rights, we may face a number of issues, including, but not limited to:</w:t>
      </w:r>
    </w:p>
    <w:p>
      <w:pPr>
        <w:spacing w:after="0" w:line="110" w:lineRule="exact"/>
        <w:rPr>
          <w:sz w:val="20"/>
          <w:szCs w:val="20"/>
          <w:color w:val="auto"/>
        </w:rPr>
      </w:pPr>
    </w:p>
    <w:p>
      <w:pPr>
        <w:ind w:left="1220" w:right="20" w:hanging="530"/>
        <w:spacing w:after="0" w:line="279" w:lineRule="auto"/>
        <w:tabs>
          <w:tab w:leader="none" w:pos="12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infringement and other intellectual property claims which, regardless of merit, may be expensive and time consuming to litigate and may divert our management’s attention from our core business;</w:t>
      </w:r>
    </w:p>
    <w:p>
      <w:pPr>
        <w:spacing w:after="0" w:line="54" w:lineRule="exact"/>
        <w:rPr>
          <w:rFonts w:ascii="Times New Roman" w:cs="Times New Roman" w:eastAsia="Times New Roman" w:hAnsi="Times New Roman"/>
          <w:sz w:val="17"/>
          <w:szCs w:val="17"/>
          <w:color w:val="auto"/>
        </w:rPr>
      </w:pPr>
    </w:p>
    <w:p>
      <w:pPr>
        <w:ind w:left="1220" w:right="20" w:hanging="530"/>
        <w:spacing w:after="0" w:line="264" w:lineRule="auto"/>
        <w:tabs>
          <w:tab w:leader="none" w:pos="12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8" w:lineRule="exact"/>
        <w:rPr>
          <w:rFonts w:ascii="Times New Roman" w:cs="Times New Roman" w:eastAsia="Times New Roman" w:hAnsi="Times New Roman"/>
          <w:sz w:val="17"/>
          <w:szCs w:val="17"/>
          <w:color w:val="auto"/>
        </w:rPr>
      </w:pPr>
    </w:p>
    <w:p>
      <w:pPr>
        <w:ind w:left="1220" w:right="500" w:hanging="530"/>
        <w:spacing w:after="0" w:line="279" w:lineRule="auto"/>
        <w:tabs>
          <w:tab w:leader="none" w:pos="12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prohibiting us from developing, manufacturing, marketing or selling PLN-101095 or our other product candidates, or from using our proprietary technologies, unless the third party licenses its product rights to us, which it is not required to do;</w:t>
      </w:r>
    </w:p>
    <w:p>
      <w:pPr>
        <w:spacing w:after="0" w:line="54" w:lineRule="exact"/>
        <w:rPr>
          <w:rFonts w:ascii="Times New Roman" w:cs="Times New Roman" w:eastAsia="Times New Roman" w:hAnsi="Times New Roman"/>
          <w:sz w:val="17"/>
          <w:szCs w:val="17"/>
          <w:color w:val="auto"/>
        </w:rPr>
      </w:pPr>
    </w:p>
    <w:p>
      <w:pPr>
        <w:jc w:val="both"/>
        <w:ind w:left="1220" w:right="140" w:hanging="530"/>
        <w:spacing w:after="0" w:line="264" w:lineRule="auto"/>
        <w:tabs>
          <w:tab w:leader="none" w:pos="12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8" w:lineRule="exact"/>
        <w:rPr>
          <w:rFonts w:ascii="Times New Roman" w:cs="Times New Roman" w:eastAsia="Times New Roman" w:hAnsi="Times New Roman"/>
          <w:sz w:val="17"/>
          <w:szCs w:val="17"/>
          <w:color w:val="auto"/>
        </w:rPr>
      </w:pPr>
    </w:p>
    <w:p>
      <w:pPr>
        <w:ind w:left="1220" w:right="800" w:hanging="530"/>
        <w:spacing w:after="0" w:line="279" w:lineRule="auto"/>
        <w:tabs>
          <w:tab w:leader="none" w:pos="12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redesigning our product candidates or processes so they do not infringe, which may not be possible or may require substantial monetary expenditures and time.</w:t>
      </w:r>
    </w:p>
    <w:p>
      <w:pPr>
        <w:spacing w:after="0" w:line="55"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0" w:name="page51"/>
    <w:bookmarkEnd w:id="50"/>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4" w:lineRule="exact"/>
        <w:rPr>
          <w:sz w:val="20"/>
          <w:szCs w:val="20"/>
          <w:color w:val="auto"/>
        </w:rPr>
      </w:pPr>
    </w:p>
    <w:p>
      <w:pPr>
        <w:ind w:right="1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future collaborators may assert ownership or commercial rights to inventions they develop from research we support or that we develop from our use of the tissue samples or other biological materials, which they provide to us, or otherwise arising from such collaboration.</w:t>
      </w:r>
    </w:p>
    <w:p>
      <w:pPr>
        <w:spacing w:after="0" w:line="51" w:lineRule="exact"/>
        <w:rPr>
          <w:sz w:val="20"/>
          <w:szCs w:val="20"/>
          <w:color w:val="auto"/>
        </w:rPr>
      </w:pPr>
    </w:p>
    <w:p>
      <w:pPr>
        <w:ind w:right="120" w:firstLine="382"/>
        <w:spacing w:after="0" w:line="255" w:lineRule="auto"/>
        <w:rPr>
          <w:sz w:val="20"/>
          <w:szCs w:val="20"/>
          <w:color w:val="auto"/>
        </w:rPr>
      </w:pPr>
      <w:r>
        <w:rPr>
          <w:rFonts w:ascii="Times New Roman" w:cs="Times New Roman" w:eastAsia="Times New Roman" w:hAnsi="Times New Roman"/>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assert that we are employing their proprietary technology without authorization.</w:t>
      </w:r>
    </w:p>
    <w:p>
      <w:pPr>
        <w:spacing w:after="0" w:line="114" w:lineRule="exact"/>
        <w:rPr>
          <w:sz w:val="20"/>
          <w:szCs w:val="20"/>
          <w:color w:val="auto"/>
        </w:rPr>
      </w:pPr>
    </w:p>
    <w:p>
      <w:pPr>
        <w:ind w:right="20" w:firstLine="382"/>
        <w:spacing w:after="0" w:line="252" w:lineRule="auto"/>
        <w:rPr>
          <w:sz w:val="20"/>
          <w:szCs w:val="20"/>
          <w:color w:val="auto"/>
        </w:rPr>
      </w:pPr>
      <w:r>
        <w:rPr>
          <w:rFonts w:ascii="Times New Roman" w:cs="Times New Roman" w:eastAsia="Times New Roman" w:hAnsi="Times New Roman"/>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assert that our employees or consultants have wrongfully used or disclosed confidential information or misappropriated trade secrets.</w:t>
      </w:r>
    </w:p>
    <w:p>
      <w:pPr>
        <w:spacing w:after="0" w:line="114"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51" w:name="page52"/>
    <w:bookmarkEnd w:id="51"/>
    <w:p>
      <w:pPr>
        <w:ind w:right="320"/>
        <w:spacing w:after="0" w:line="259" w:lineRule="auto"/>
        <w:rPr>
          <w:sz w:val="20"/>
          <w:szCs w:val="20"/>
          <w:color w:val="auto"/>
        </w:rPr>
      </w:pPr>
      <w:r>
        <w:rPr>
          <w:rFonts w:ascii="Times New Roman" w:cs="Times New Roman" w:eastAsia="Times New Roman" w:hAnsi="Times New Roman"/>
          <w:sz w:val="17"/>
          <w:szCs w:val="17"/>
          <w:color w:val="auto"/>
        </w:rPr>
        <w:t>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develop any future product candidates on acceptable terms.</w:t>
      </w:r>
    </w:p>
    <w:p>
      <w:pPr>
        <w:spacing w:after="0" w:line="114" w:lineRule="exact"/>
        <w:rPr>
          <w:sz w:val="20"/>
          <w:szCs w:val="20"/>
          <w:color w:val="auto"/>
        </w:rPr>
      </w:pPr>
    </w:p>
    <w:p>
      <w:pPr>
        <w:ind w:right="400" w:firstLine="382"/>
        <w:spacing w:after="0" w:line="279" w:lineRule="auto"/>
        <w:rPr>
          <w:sz w:val="20"/>
          <w:szCs w:val="20"/>
          <w:color w:val="auto"/>
        </w:rPr>
      </w:pPr>
      <w:r>
        <w:rPr>
          <w:rFonts w:ascii="Times New Roman" w:cs="Times New Roman" w:eastAsia="Times New Roman" w:hAnsi="Times New Roman"/>
          <w:sz w:val="17"/>
          <w:szCs w:val="17"/>
          <w:color w:val="auto"/>
        </w:rPr>
        <w:t>Because our programs may involve product candidates that may require the use of proprietary rights held by third parties, the growth of our business may depend in part on our ability to acquire, in-license or use these proprietary rights.</w:t>
      </w:r>
    </w:p>
    <w:p>
      <w:pPr>
        <w:spacing w:after="0" w:line="55"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7" w:lineRule="exact"/>
        <w:rPr>
          <w:sz w:val="20"/>
          <w:szCs w:val="20"/>
          <w:color w:val="auto"/>
        </w:rPr>
      </w:pPr>
    </w:p>
    <w:p>
      <w:pPr>
        <w:ind w:right="180" w:firstLine="382"/>
        <w:spacing w:after="0" w:line="255" w:lineRule="auto"/>
        <w:rPr>
          <w:sz w:val="20"/>
          <w:szCs w:val="20"/>
          <w:color w:val="auto"/>
        </w:rPr>
      </w:pPr>
      <w:r>
        <w:rPr>
          <w:rFonts w:ascii="Times New Roman" w:cs="Times New Roman" w:eastAsia="Times New Roman" w:hAnsi="Times New Roman"/>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8" w:lineRule="exact"/>
        <w:rPr>
          <w:sz w:val="20"/>
          <w:szCs w:val="20"/>
          <w:color w:val="auto"/>
        </w:rPr>
      </w:pPr>
    </w:p>
    <w:p>
      <w:pPr>
        <w:ind w:right="120" w:firstLine="382"/>
        <w:spacing w:after="0" w:line="257"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0" w:lineRule="exact"/>
        <w:rPr>
          <w:sz w:val="20"/>
          <w:szCs w:val="20"/>
          <w:color w:val="auto"/>
        </w:rPr>
      </w:pPr>
    </w:p>
    <w:p>
      <w:pPr>
        <w:ind w:right="88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8" w:lineRule="exact"/>
        <w:rPr>
          <w:sz w:val="20"/>
          <w:szCs w:val="20"/>
          <w:color w:val="auto"/>
        </w:rPr>
      </w:pPr>
    </w:p>
    <w:p>
      <w:pPr>
        <w:jc w:val="both"/>
        <w:ind w:right="140" w:firstLine="382"/>
        <w:spacing w:after="0" w:line="264" w:lineRule="auto"/>
        <w:rPr>
          <w:sz w:val="20"/>
          <w:szCs w:val="20"/>
          <w:color w:val="auto"/>
        </w:rPr>
      </w:pPr>
      <w:r>
        <w:rPr>
          <w:rFonts w:ascii="Times New Roman" w:cs="Times New Roman" w:eastAsia="Times New Roman" w:hAnsi="Times New Roman"/>
          <w:sz w:val="17"/>
          <w:szCs w:val="17"/>
          <w:color w:val="auto"/>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spacing w:after="0" w:line="68" w:lineRule="exact"/>
        <w:rPr>
          <w:sz w:val="20"/>
          <w:szCs w:val="20"/>
          <w:color w:val="auto"/>
        </w:rPr>
      </w:pPr>
    </w:p>
    <w:p>
      <w:pPr>
        <w:jc w:val="both"/>
        <w:ind w:right="400" w:firstLine="382"/>
        <w:spacing w:after="0" w:line="264" w:lineRule="auto"/>
        <w:rPr>
          <w:sz w:val="20"/>
          <w:szCs w:val="20"/>
          <w:color w:val="auto"/>
        </w:rPr>
      </w:pPr>
      <w:r>
        <w:rPr>
          <w:rFonts w:ascii="Times New Roman" w:cs="Times New Roman" w:eastAsia="Times New Roman" w:hAnsi="Times New Roman"/>
          <w:sz w:val="17"/>
          <w:szCs w:val="17"/>
          <w:color w:val="auto"/>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68" w:lineRule="exact"/>
        <w:rPr>
          <w:sz w:val="20"/>
          <w:szCs w:val="20"/>
          <w:color w:val="auto"/>
        </w:rPr>
      </w:pPr>
    </w:p>
    <w:p>
      <w:pPr>
        <w:ind w:right="180" w:firstLine="382"/>
        <w:spacing w:after="0" w:line="279" w:lineRule="auto"/>
        <w:rPr>
          <w:sz w:val="20"/>
          <w:szCs w:val="20"/>
          <w:color w:val="auto"/>
        </w:rPr>
      </w:pPr>
      <w:r>
        <w:rPr>
          <w:rFonts w:ascii="Times New Roman" w:cs="Times New Roman" w:eastAsia="Times New Roman" w:hAnsi="Times New Roman"/>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52" w:name="page53"/>
    <w:bookmarkEnd w:id="52"/>
    <w:p>
      <w:pPr>
        <w:spacing w:after="0" w:line="254" w:lineRule="auto"/>
        <w:rPr>
          <w:sz w:val="20"/>
          <w:szCs w:val="20"/>
          <w:color w:val="auto"/>
        </w:rPr>
      </w:pPr>
      <w:r>
        <w:rPr>
          <w:rFonts w:ascii="Times New Roman" w:cs="Times New Roman" w:eastAsia="Times New Roman" w:hAnsi="Times New Roman"/>
          <w:sz w:val="17"/>
          <w:szCs w:val="17"/>
          <w:color w:val="auto"/>
        </w:rPr>
        <w:t>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7"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4"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ind w:right="120" w:firstLine="382"/>
        <w:spacing w:after="0" w:line="316"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9"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Any patents covering our product candidates could be found invalid or unenforceable if challenged in court or the USPTO (or foreign patent offices).</w:t>
      </w:r>
    </w:p>
    <w:p>
      <w:pPr>
        <w:spacing w:after="0" w:line="114"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7"/>
          <w:szCs w:val="17"/>
          <w:color w:val="auto"/>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3" w:name="page54"/>
    <w:bookmarkEnd w:id="53"/>
    <w:p>
      <w:pPr>
        <w:ind w:right="100" w:firstLine="382"/>
        <w:spacing w:after="0" w:line="277" w:lineRule="auto"/>
        <w:rPr>
          <w:sz w:val="20"/>
          <w:szCs w:val="20"/>
          <w:color w:val="auto"/>
        </w:rPr>
      </w:pPr>
      <w:r>
        <w:rPr>
          <w:rFonts w:ascii="Times New Roman" w:cs="Times New Roman" w:eastAsia="Times New Roman" w:hAnsi="Times New Roman"/>
          <w:sz w:val="16"/>
          <w:szCs w:val="16"/>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2047, without taking into account any possible patent term adjustments or extensions. However, we cannot be assured that the USPTO, EPO or other relevant foreign patent offices will grant any of these patent applications.</w:t>
      </w:r>
    </w:p>
    <w:p>
      <w:pPr>
        <w:spacing w:after="0" w:line="55" w:lineRule="exact"/>
        <w:rPr>
          <w:sz w:val="20"/>
          <w:szCs w:val="20"/>
          <w:color w:val="auto"/>
        </w:rPr>
      </w:pPr>
    </w:p>
    <w:p>
      <w:pPr>
        <w:ind w:right="2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with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81" w:lineRule="exact"/>
        <w:rPr>
          <w:sz w:val="20"/>
          <w:szCs w:val="20"/>
          <w:color w:val="auto"/>
        </w:rPr>
      </w:pPr>
    </w:p>
    <w:p>
      <w:pPr>
        <w:ind w:right="120" w:firstLine="382"/>
        <w:spacing w:after="0" w:line="253" w:lineRule="auto"/>
        <w:rPr>
          <w:sz w:val="20"/>
          <w:szCs w:val="20"/>
          <w:color w:val="auto"/>
        </w:rPr>
      </w:pPr>
      <w:r>
        <w:rPr>
          <w:rFonts w:ascii="Times New Roman" w:cs="Times New Roman" w:eastAsia="Times New Roman" w:hAnsi="Times New Roman"/>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79"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foreign intellectual property rights and may not be able to protect our intellectual property rights throughout the world.</w:t>
      </w:r>
    </w:p>
    <w:p>
      <w:pPr>
        <w:spacing w:after="0" w:line="11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7"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4" w:name="page55"/>
    <w:bookmarkEnd w:id="54"/>
    <w:p>
      <w:pPr>
        <w:spacing w:after="0" w:line="273" w:lineRule="auto"/>
        <w:rPr>
          <w:sz w:val="20"/>
          <w:szCs w:val="20"/>
          <w:color w:val="auto"/>
        </w:rPr>
      </w:pPr>
      <w:r>
        <w:rPr>
          <w:rFonts w:ascii="Times New Roman" w:cs="Times New Roman" w:eastAsia="Times New Roman" w:hAnsi="Times New Roman"/>
          <w:sz w:val="16"/>
          <w:szCs w:val="16"/>
          <w:color w:val="auto"/>
        </w:rPr>
        <w:t>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PLN-101095 or our other product candidates for an adequate amount of time.</w:t>
      </w:r>
    </w:p>
    <w:p>
      <w:pPr>
        <w:spacing w:after="0" w:line="114" w:lineRule="exact"/>
        <w:rPr>
          <w:sz w:val="20"/>
          <w:szCs w:val="20"/>
          <w:color w:val="auto"/>
        </w:rPr>
      </w:pPr>
    </w:p>
    <w:p>
      <w:pPr>
        <w:ind w:right="180" w:firstLine="382"/>
        <w:spacing w:after="0" w:line="255"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8" w:lineRule="exact"/>
        <w:rPr>
          <w:sz w:val="20"/>
          <w:szCs w:val="20"/>
          <w:color w:val="auto"/>
        </w:rPr>
      </w:pPr>
    </w:p>
    <w:p>
      <w:pPr>
        <w:ind w:right="420" w:firstLine="382"/>
        <w:spacing w:after="0" w:line="279" w:lineRule="auto"/>
        <w:rPr>
          <w:sz w:val="20"/>
          <w:szCs w:val="20"/>
          <w:color w:val="auto"/>
        </w:rPr>
      </w:pPr>
      <w:r>
        <w:rPr>
          <w:rFonts w:ascii="Times New Roman" w:cs="Times New Roman" w:eastAsia="Times New Roman" w:hAnsi="Times New Roman"/>
          <w:sz w:val="17"/>
          <w:szCs w:val="17"/>
          <w:color w:val="auto"/>
        </w:rPr>
        <w:t>At the EU level, the Court of Justice of the EU, or CJEU, has recently narrowed the availability of patent term extension for second medical use therefore affecting the scope of patent protection available.</w:t>
      </w:r>
    </w:p>
    <w:p>
      <w:pPr>
        <w:spacing w:after="0" w:line="51" w:lineRule="exact"/>
        <w:rPr>
          <w:sz w:val="20"/>
          <w:szCs w:val="20"/>
          <w:color w:val="auto"/>
        </w:rPr>
      </w:pPr>
    </w:p>
    <w:p>
      <w:pPr>
        <w:ind w:right="2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data exclusivity and orphan exclusivity for PLN-101095 or any other product candidates we may develop, our business may be materially harmed.</w:t>
      </w:r>
    </w:p>
    <w:p>
      <w:pPr>
        <w:spacing w:after="0" w:line="51" w:lineRule="exact"/>
        <w:rPr>
          <w:sz w:val="20"/>
          <w:szCs w:val="20"/>
          <w:color w:val="auto"/>
        </w:rPr>
      </w:pPr>
    </w:p>
    <w:p>
      <w:pPr>
        <w:ind w:right="80" w:firstLine="382"/>
        <w:spacing w:after="0" w:line="251" w:lineRule="auto"/>
        <w:rPr>
          <w:sz w:val="20"/>
          <w:szCs w:val="20"/>
          <w:color w:val="auto"/>
        </w:rPr>
      </w:pPr>
      <w:r>
        <w:rPr>
          <w:rFonts w:ascii="Times New Roman" w:cs="Times New Roman" w:eastAsia="Times New Roman" w:hAnsi="Times New Roman"/>
          <w:sz w:val="17"/>
          <w:szCs w:val="17"/>
          <w:color w:val="auto"/>
        </w:rPr>
        <w:t>Depending upon the timing, duration, and specifics of any FDA or foreign marketing approval of PLN-101095 or any other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w:t>
      </w:r>
    </w:p>
    <w:p>
      <w:pPr>
        <w:spacing w:after="0" w:line="86" w:lineRule="exact"/>
        <w:rPr>
          <w:sz w:val="20"/>
          <w:szCs w:val="20"/>
          <w:color w:val="auto"/>
        </w:rPr>
      </w:pPr>
    </w:p>
    <w:p>
      <w:pPr>
        <w:ind w:right="3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5" w:name="page56"/>
    <w:bookmarkEnd w:id="55"/>
    <w:p>
      <w:pPr>
        <w:ind w:right="520" w:firstLine="382"/>
        <w:spacing w:after="0" w:line="279"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5" w:lineRule="exact"/>
        <w:rPr>
          <w:sz w:val="20"/>
          <w:szCs w:val="20"/>
          <w:color w:val="auto"/>
        </w:rPr>
      </w:pPr>
    </w:p>
    <w:p>
      <w:pPr>
        <w:ind w:left="1220" w:right="48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drug candidates that are similar to ours but that are not covered by the claims of the patents that we own or have exclusively licensed;</w:t>
      </w:r>
    </w:p>
    <w:p>
      <w:pPr>
        <w:spacing w:after="0" w:line="54" w:lineRule="exact"/>
        <w:rPr>
          <w:rFonts w:ascii="Times New Roman" w:cs="Times New Roman" w:eastAsia="Times New Roman" w:hAnsi="Times New Roman"/>
          <w:sz w:val="17"/>
          <w:szCs w:val="17"/>
          <w:color w:val="auto"/>
        </w:rPr>
      </w:pPr>
    </w:p>
    <w:p>
      <w:pPr>
        <w:ind w:left="1220" w:right="38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future collaborators might not have been the first to make the inventions covered by the issued patent or pending patent application that we own or have exclusively licensed;</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future collaborators might not have been the first to file patent applications covering certain of our inventions;</w:t>
      </w:r>
    </w:p>
    <w:p>
      <w:pPr>
        <w:spacing w:after="0" w:line="110" w:lineRule="exact"/>
        <w:rPr>
          <w:rFonts w:ascii="Times New Roman" w:cs="Times New Roman" w:eastAsia="Times New Roman" w:hAnsi="Times New Roman"/>
          <w:sz w:val="17"/>
          <w:szCs w:val="17"/>
          <w:color w:val="auto"/>
        </w:rPr>
      </w:pPr>
    </w:p>
    <w:p>
      <w:pPr>
        <w:ind w:left="1220" w:right="48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lead to issued patents;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own or have exclusively licensed may be held invalid or unenforceable, as a result of legal challenges by our competitors;</w:t>
      </w:r>
    </w:p>
    <w:p>
      <w:pPr>
        <w:spacing w:after="0" w:line="110" w:lineRule="exact"/>
        <w:rPr>
          <w:rFonts w:ascii="Times New Roman" w:cs="Times New Roman" w:eastAsia="Times New Roman" w:hAnsi="Times New Roman"/>
          <w:sz w:val="17"/>
          <w:szCs w:val="17"/>
          <w:color w:val="auto"/>
        </w:rPr>
      </w:pPr>
    </w:p>
    <w:p>
      <w:pPr>
        <w:ind w:left="1220" w:right="20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10" w:lineRule="exact"/>
        <w:rPr>
          <w:rFonts w:ascii="Times New Roman" w:cs="Times New Roman" w:eastAsia="Times New Roman" w:hAnsi="Times New Roman"/>
          <w:sz w:val="17"/>
          <w:szCs w:val="17"/>
          <w:color w:val="auto"/>
        </w:rPr>
      </w:pPr>
    </w:p>
    <w:p>
      <w:pPr>
        <w:ind w:left="1220" w:right="100" w:hanging="530"/>
        <w:spacing w:after="0" w:line="264"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68" w:lineRule="exact"/>
        <w:rPr>
          <w:rFonts w:ascii="Times New Roman" w:cs="Times New Roman" w:eastAsia="Times New Roman" w:hAnsi="Times New Roman"/>
          <w:sz w:val="17"/>
          <w:szCs w:val="17"/>
          <w:color w:val="auto"/>
        </w:rPr>
      </w:pPr>
    </w:p>
    <w:p>
      <w:pPr>
        <w:ind w:left="1220" w:right="4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any patent issuing based on our patent applications may not provide protection against competitors or any competitive advantages, or may be challenged by third parties;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enforced, a court may not hold that our patents are valid, enforceable and/or infringed;</w:t>
      </w:r>
    </w:p>
    <w:p>
      <w:pPr>
        <w:spacing w:after="0" w:line="110" w:lineRule="exact"/>
        <w:rPr>
          <w:rFonts w:ascii="Times New Roman" w:cs="Times New Roman" w:eastAsia="Times New Roman" w:hAnsi="Times New Roman"/>
          <w:sz w:val="17"/>
          <w:szCs w:val="17"/>
          <w:color w:val="auto"/>
        </w:rPr>
      </w:pPr>
    </w:p>
    <w:p>
      <w:pPr>
        <w:ind w:left="1220" w:right="12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initiate litigation or administrative proceedings to enforce and/or defend our patent rights which will be costly whether we win or lose;</w:t>
      </w:r>
    </w:p>
    <w:p>
      <w:pPr>
        <w:spacing w:after="0" w:line="54" w:lineRule="exact"/>
        <w:rPr>
          <w:rFonts w:ascii="Times New Roman" w:cs="Times New Roman" w:eastAsia="Times New Roman" w:hAnsi="Times New Roman"/>
          <w:sz w:val="17"/>
          <w:szCs w:val="17"/>
          <w:color w:val="auto"/>
        </w:rPr>
      </w:pPr>
    </w:p>
    <w:p>
      <w:pPr>
        <w:ind w:left="1220" w:right="32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application in order to maintain certain trade secrets or know-how, and a third party may subsequently file a patent application covering such intellectual property;</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adequately protect and police our trademarks and trade secrets;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parties may independently develop the technology covered by our trade secrets; and</w:t>
      </w:r>
    </w:p>
    <w:p>
      <w:pPr>
        <w:spacing w:after="0" w:line="110" w:lineRule="exact"/>
        <w:rPr>
          <w:rFonts w:ascii="Times New Roman" w:cs="Times New Roman" w:eastAsia="Times New Roman" w:hAnsi="Times New Roman"/>
          <w:sz w:val="17"/>
          <w:szCs w:val="17"/>
          <w:color w:val="auto"/>
        </w:rPr>
      </w:pPr>
    </w:p>
    <w:p>
      <w:pPr>
        <w:ind w:left="1220" w:right="60" w:hanging="530"/>
        <w:spacing w:after="0" w:line="279" w:lineRule="auto"/>
        <w:tabs>
          <w:tab w:leader="none" w:pos="12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55" w:lineRule="exact"/>
        <w:rPr>
          <w:sz w:val="20"/>
          <w:szCs w:val="20"/>
          <w:color w:val="auto"/>
        </w:rPr>
      </w:pPr>
    </w:p>
    <w:p>
      <w:pPr>
        <w:ind w:right="1760" w:firstLine="382"/>
        <w:spacing w:after="0" w:line="372" w:lineRule="auto"/>
        <w:rPr>
          <w:sz w:val="20"/>
          <w:szCs w:val="20"/>
          <w:color w:val="auto"/>
        </w:rPr>
      </w:pPr>
      <w:r>
        <w:rPr>
          <w:rFonts w:ascii="Times New Roman" w:cs="Times New Roman" w:eastAsia="Times New Roman" w:hAnsi="Times New Roman"/>
          <w:sz w:val="17"/>
          <w:szCs w:val="17"/>
          <w:color w:val="auto"/>
        </w:rPr>
        <w:t xml:space="preserve">Should any of these events occur, they could significantly harm our business, financial condition, results of operations, and prospects. </w:t>
      </w:r>
      <w:r>
        <w:rPr>
          <w:rFonts w:ascii="Times New Roman" w:cs="Times New Roman" w:eastAsia="Times New Roman" w:hAnsi="Times New Roman"/>
          <w:sz w:val="17"/>
          <w:szCs w:val="17"/>
          <w:b w:val="1"/>
          <w:bCs w:val="1"/>
          <w:color w:val="auto"/>
        </w:rPr>
        <w:t>Risks Related to Our Reliance on Third Parties</w:t>
      </w:r>
    </w:p>
    <w:p>
      <w:pPr>
        <w:spacing w:after="0" w:line="1" w:lineRule="exact"/>
        <w:rPr>
          <w:sz w:val="20"/>
          <w:szCs w:val="20"/>
          <w:color w:val="auto"/>
        </w:rPr>
      </w:pPr>
    </w:p>
    <w:p>
      <w:pPr>
        <w:ind w:right="2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PLN-101095 or any other potential product candidates.</w:t>
      </w:r>
    </w:p>
    <w:p>
      <w:pPr>
        <w:spacing w:after="0" w:line="65"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7"/>
          <w:szCs w:val="17"/>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68" w:lineRule="exact"/>
        <w:rPr>
          <w:sz w:val="20"/>
          <w:szCs w:val="20"/>
          <w:color w:val="auto"/>
        </w:rPr>
      </w:pPr>
    </w:p>
    <w:p>
      <w:pPr>
        <w:ind w:firstLine="382"/>
        <w:spacing w:after="0" w:line="274" w:lineRule="auto"/>
        <w:rPr>
          <w:sz w:val="20"/>
          <w:szCs w:val="20"/>
          <w:color w:val="auto"/>
        </w:rPr>
      </w:pPr>
      <w:r>
        <w:rPr>
          <w:rFonts w:ascii="Times New Roman" w:cs="Times New Roman" w:eastAsia="Times New Roman" w:hAnsi="Times New Roman"/>
          <w:sz w:val="16"/>
          <w:szCs w:val="16"/>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56" w:name="page57"/>
    <w:bookmarkEnd w:id="56"/>
    <w:p>
      <w:pPr>
        <w:ind w:right="80"/>
        <w:spacing w:after="0" w:line="264" w:lineRule="auto"/>
        <w:rPr>
          <w:sz w:val="20"/>
          <w:szCs w:val="20"/>
          <w:color w:val="auto"/>
        </w:rPr>
      </w:pPr>
      <w:r>
        <w:rPr>
          <w:rFonts w:ascii="Times New Roman" w:cs="Times New Roman" w:eastAsia="Times New Roman" w:hAnsi="Times New Roman"/>
          <w:sz w:val="17"/>
          <w:szCs w:val="17"/>
          <w:color w:val="auto"/>
        </w:rPr>
        <w:t>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68" w:lineRule="exact"/>
        <w:rPr>
          <w:sz w:val="20"/>
          <w:szCs w:val="20"/>
          <w:color w:val="auto"/>
        </w:rPr>
      </w:pPr>
    </w:p>
    <w:p>
      <w:pPr>
        <w:jc w:val="both"/>
        <w:ind w:right="200" w:firstLine="382"/>
        <w:spacing w:after="0" w:line="264" w:lineRule="auto"/>
        <w:rPr>
          <w:sz w:val="20"/>
          <w:szCs w:val="20"/>
          <w:color w:val="auto"/>
        </w:rPr>
      </w:pPr>
      <w:r>
        <w:rPr>
          <w:rFonts w:ascii="Times New Roman" w:cs="Times New Roman" w:eastAsia="Times New Roman" w:hAnsi="Times New Roman"/>
          <w:sz w:val="17"/>
          <w:szCs w:val="17"/>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68"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PLN-101095 or our other product candidates. As a result, our financial results and the commercial prospects for PLN-101095 and our other product candidates would be harmed, our costs could increase and our ability to generate revenue could be delayed.</w:t>
      </w:r>
    </w:p>
    <w:p>
      <w:pPr>
        <w:spacing w:after="0" w:line="79" w:lineRule="exact"/>
        <w:rPr>
          <w:sz w:val="20"/>
          <w:szCs w:val="20"/>
          <w:color w:val="auto"/>
        </w:rPr>
      </w:pPr>
    </w:p>
    <w:p>
      <w:pPr>
        <w:ind w:right="80" w:firstLine="382"/>
        <w:spacing w:after="0" w:line="279" w:lineRule="auto"/>
        <w:rPr>
          <w:sz w:val="20"/>
          <w:szCs w:val="20"/>
          <w:color w:val="auto"/>
        </w:rPr>
      </w:pPr>
      <w:r>
        <w:rPr>
          <w:rFonts w:ascii="Times New Roman" w:cs="Times New Roman" w:eastAsia="Times New Roman" w:hAnsi="Times New Roman"/>
          <w:sz w:val="17"/>
          <w:szCs w:val="17"/>
          <w:color w:val="auto"/>
        </w:rPr>
        <w:t>If any of our relationships with these third-party CROs or others terminate, we may not be able to enter into arrangements with alternative CROs or other third parties or to do so on commercially reasonable terms.</w:t>
      </w:r>
    </w:p>
    <w:p>
      <w:pPr>
        <w:spacing w:after="0" w:line="55" w:lineRule="exact"/>
        <w:rPr>
          <w:sz w:val="20"/>
          <w:szCs w:val="20"/>
          <w:color w:val="auto"/>
        </w:rPr>
      </w:pPr>
    </w:p>
    <w:p>
      <w:pPr>
        <w:ind w:right="100" w:firstLine="382"/>
        <w:spacing w:after="0" w:line="259" w:lineRule="auto"/>
        <w:rPr>
          <w:sz w:val="20"/>
          <w:szCs w:val="20"/>
          <w:color w:val="auto"/>
        </w:rPr>
      </w:pPr>
      <w:r>
        <w:rPr>
          <w:rFonts w:ascii="Times New Roman" w:cs="Times New Roman" w:eastAsia="Times New Roman" w:hAnsi="Times New Roman"/>
          <w:sz w:val="17"/>
          <w:szCs w:val="17"/>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69" w:lineRule="exact"/>
        <w:rPr>
          <w:sz w:val="20"/>
          <w:szCs w:val="20"/>
          <w:color w:val="auto"/>
        </w:rPr>
      </w:pPr>
    </w:p>
    <w:p>
      <w:pPr>
        <w:ind w:right="68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spacing w:after="0" w:line="70" w:lineRule="exact"/>
        <w:rPr>
          <w:sz w:val="20"/>
          <w:szCs w:val="20"/>
          <w:color w:val="auto"/>
        </w:rPr>
      </w:pPr>
    </w:p>
    <w:p>
      <w:pPr>
        <w:jc w:val="both"/>
        <w:ind w:right="4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spacing w:after="0" w:line="65"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trade policies or challenging macroeconomic conditions, including the effects of health epidemics and pandemics. In addition, we rely on vendors in foreign jurisdictions, including China, for our clinical drug supply. The tensions between the United States and China have led to a series of tariffs and sanctions being imposed by the United States on imports from China mainland, as well as other business restrictions. Geopolitical developments may lead to further developments with respect to the imposition or threat of imposition of trade policies, tariffs, export controls, capital controls, taxes and other limitations on cross-border operations. If our supply chain is interrupted for business or geopolitical reasons, including disruptions resulting from military action, the development of our product candidates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7" w:name="page58"/>
    <w:bookmarkEnd w:id="57"/>
    <w:p>
      <w:pPr>
        <w:ind w:right="40" w:firstLine="382"/>
        <w:spacing w:after="0" w:line="253" w:lineRule="auto"/>
        <w:rPr>
          <w:sz w:val="20"/>
          <w:szCs w:val="20"/>
          <w:color w:val="auto"/>
        </w:rPr>
      </w:pPr>
      <w:r>
        <w:rPr>
          <w:rFonts w:ascii="Times New Roman" w:cs="Times New Roman" w:eastAsia="Times New Roman" w:hAnsi="Times New Roman"/>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76" w:lineRule="exact"/>
        <w:rPr>
          <w:sz w:val="20"/>
          <w:szCs w:val="20"/>
          <w:color w:val="auto"/>
        </w:rPr>
      </w:pPr>
    </w:p>
    <w:p>
      <w:pPr>
        <w:ind w:firstLine="382"/>
        <w:spacing w:after="0" w:line="277" w:lineRule="auto"/>
        <w:rPr>
          <w:sz w:val="20"/>
          <w:szCs w:val="20"/>
          <w:color w:val="auto"/>
        </w:rPr>
      </w:pPr>
      <w:r>
        <w:rPr>
          <w:rFonts w:ascii="Times New Roman" w:cs="Times New Roman" w:eastAsia="Times New Roman" w:hAnsi="Times New Roman"/>
          <w:sz w:val="16"/>
          <w:szCs w:val="16"/>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spacing w:after="0" w:line="59" w:lineRule="exact"/>
        <w:rPr>
          <w:sz w:val="20"/>
          <w:szCs w:val="20"/>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initiate or continue clinical trials of product candidates under development;</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submitting regulatory applications, or receiving regulatory approvals, for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the cooperation of an existing or future collaborator;</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third-party manufacturing facilities or our manufacturing facilities to additional inspections by regulatory authorities;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cease distribution or to recall batches of our product candidates;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approval to market and commercialize a product candidate, an inability to meet commercial demands for our products.</w:t>
      </w:r>
    </w:p>
    <w:p>
      <w:pPr>
        <w:spacing w:after="0" w:line="110"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7"/>
          <w:szCs w:val="17"/>
          <w:color w:val="auto"/>
        </w:rPr>
        <w:t>We rely on sole suppliers for the manufacture of our product candidates. If these sole suppliers are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74"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enter into new collaborations, or if these collaborations are not successful, our business could be adversely affected.</w:t>
      </w:r>
    </w:p>
    <w:p>
      <w:pPr>
        <w:spacing w:after="0" w:line="114"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7"/>
          <w:szCs w:val="17"/>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Any future collaborations we enter into may pose a number of risks, including the following:</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58" w:name="page59"/>
    <w:bookmarkEnd w:id="58"/>
    <w:p>
      <w:pPr>
        <w:ind w:left="1220" w:hanging="530"/>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have significant discretion in determining the efforts and resources that they will apply;</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110" w:lineRule="exact"/>
        <w:rPr>
          <w:rFonts w:ascii="Times New Roman" w:cs="Times New Roman" w:eastAsia="Times New Roman" w:hAnsi="Times New Roman"/>
          <w:sz w:val="17"/>
          <w:szCs w:val="17"/>
          <w:color w:val="auto"/>
        </w:rPr>
      </w:pPr>
    </w:p>
    <w:p>
      <w:pPr>
        <w:ind w:left="1220" w:hanging="530"/>
        <w:spacing w:after="0" w:line="288" w:lineRule="auto"/>
        <w:tabs>
          <w:tab w:leader="none" w:pos="121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50" w:lineRule="exact"/>
        <w:rPr>
          <w:rFonts w:ascii="Times New Roman" w:cs="Times New Roman" w:eastAsia="Times New Roman" w:hAnsi="Times New Roman"/>
          <w:sz w:val="16"/>
          <w:szCs w:val="16"/>
          <w:color w:val="auto"/>
        </w:rPr>
      </w:pPr>
    </w:p>
    <w:p>
      <w:pPr>
        <w:ind w:left="1220" w:right="6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7"/>
          <w:szCs w:val="17"/>
          <w:color w:val="auto"/>
        </w:rPr>
      </w:pPr>
    </w:p>
    <w:p>
      <w:pPr>
        <w:ind w:left="1220" w:hanging="530"/>
        <w:spacing w:after="0" w:line="264"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7"/>
          <w:szCs w:val="17"/>
          <w:color w:val="auto"/>
        </w:rPr>
      </w:pPr>
    </w:p>
    <w:p>
      <w:pPr>
        <w:ind w:left="1220" w:right="26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4" w:lineRule="exact"/>
        <w:rPr>
          <w:rFonts w:ascii="Times New Roman" w:cs="Times New Roman" w:eastAsia="Times New Roman" w:hAnsi="Times New Roman"/>
          <w:sz w:val="17"/>
          <w:szCs w:val="17"/>
          <w:color w:val="auto"/>
        </w:rPr>
      </w:pPr>
    </w:p>
    <w:p>
      <w:pPr>
        <w:ind w:left="1220" w:right="16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fail to comply with applicable regulatory requirements regarding the development, manufacture, distribution or marketing of a product candidate or product;</w:t>
      </w:r>
    </w:p>
    <w:p>
      <w:pPr>
        <w:spacing w:after="0" w:line="54" w:lineRule="exact"/>
        <w:rPr>
          <w:rFonts w:ascii="Times New Roman" w:cs="Times New Roman" w:eastAsia="Times New Roman" w:hAnsi="Times New Roman"/>
          <w:sz w:val="17"/>
          <w:szCs w:val="17"/>
          <w:color w:val="auto"/>
        </w:rPr>
      </w:pPr>
    </w:p>
    <w:p>
      <w:pPr>
        <w:ind w:left="1220" w:right="30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4" w:lineRule="exact"/>
        <w:rPr>
          <w:rFonts w:ascii="Times New Roman" w:cs="Times New Roman" w:eastAsia="Times New Roman" w:hAnsi="Times New Roman"/>
          <w:sz w:val="17"/>
          <w:szCs w:val="17"/>
          <w:color w:val="auto"/>
        </w:rPr>
      </w:pPr>
    </w:p>
    <w:p>
      <w:pPr>
        <w:ind w:left="1220" w:right="20" w:hanging="530"/>
        <w:spacing w:after="0" w:line="311" w:lineRule="auto"/>
        <w:tabs>
          <w:tab w:leader="none" w:pos="121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32" w:lineRule="exact"/>
        <w:rPr>
          <w:rFonts w:ascii="Times New Roman" w:cs="Times New Roman" w:eastAsia="Times New Roman" w:hAnsi="Times New Roman"/>
          <w:sz w:val="16"/>
          <w:szCs w:val="16"/>
          <w:color w:val="auto"/>
        </w:rPr>
      </w:pPr>
    </w:p>
    <w:p>
      <w:pPr>
        <w:ind w:left="1220" w:right="140" w:hanging="530"/>
        <w:spacing w:after="0" w:line="25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73" w:lineRule="exact"/>
        <w:rPr>
          <w:rFonts w:ascii="Times New Roman" w:cs="Times New Roman" w:eastAsia="Times New Roman" w:hAnsi="Times New Roman"/>
          <w:sz w:val="17"/>
          <w:szCs w:val="17"/>
          <w:color w:val="auto"/>
        </w:rPr>
      </w:pPr>
    </w:p>
    <w:p>
      <w:pPr>
        <w:ind w:left="1220" w:right="2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10" w:lineRule="exact"/>
        <w:rPr>
          <w:rFonts w:ascii="Times New Roman" w:cs="Times New Roman" w:eastAsia="Times New Roman" w:hAnsi="Times New Roman"/>
          <w:sz w:val="17"/>
          <w:szCs w:val="17"/>
          <w:color w:val="auto"/>
        </w:rPr>
      </w:pPr>
    </w:p>
    <w:p>
      <w:pPr>
        <w:ind w:left="1220" w:right="108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54" w:lineRule="exact"/>
        <w:rPr>
          <w:rFonts w:ascii="Times New Roman" w:cs="Times New Roman" w:eastAsia="Times New Roman" w:hAnsi="Times New Roman"/>
          <w:sz w:val="17"/>
          <w:szCs w:val="17"/>
          <w:color w:val="auto"/>
        </w:rPr>
      </w:pPr>
    </w:p>
    <w:p>
      <w:pPr>
        <w:ind w:left="1220" w:right="680" w:hanging="530"/>
        <w:spacing w:after="0" w:line="279" w:lineRule="auto"/>
        <w:tabs>
          <w:tab w:leader="none" w:pos="12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55" w:lineRule="exact"/>
        <w:rPr>
          <w:sz w:val="20"/>
          <w:szCs w:val="20"/>
          <w:color w:val="auto"/>
        </w:rPr>
      </w:pPr>
    </w:p>
    <w:p>
      <w:pPr>
        <w:jc w:val="both"/>
        <w:ind w:right="220" w:firstLine="382"/>
        <w:spacing w:after="0" w:line="288" w:lineRule="auto"/>
        <w:rPr>
          <w:sz w:val="20"/>
          <w:szCs w:val="20"/>
          <w:color w:val="auto"/>
        </w:rPr>
      </w:pPr>
      <w:r>
        <w:rPr>
          <w:rFonts w:ascii="Times New Roman" w:cs="Times New Roman" w:eastAsia="Times New Roman" w:hAnsi="Times New Roman"/>
          <w:sz w:val="16"/>
          <w:szCs w:val="16"/>
          <w:color w:val="auto"/>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We face significant competition in seeking appropriate collaborators for our product candidates, and the negotiation process is time 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 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59" w:name="page60"/>
    <w:bookmarkEnd w:id="59"/>
    <w:p>
      <w:pPr>
        <w:ind w:right="60"/>
        <w:spacing w:after="0" w:line="253" w:lineRule="auto"/>
        <w:rPr>
          <w:sz w:val="20"/>
          <w:szCs w:val="20"/>
          <w:color w:val="auto"/>
        </w:rPr>
      </w:pPr>
      <w:r>
        <w:rPr>
          <w:rFonts w:ascii="Times New Roman" w:cs="Times New Roman" w:eastAsia="Times New Roman" w:hAnsi="Times New Roman"/>
          <w:sz w:val="17"/>
          <w:szCs w:val="17"/>
          <w:color w:val="auto"/>
        </w:rPr>
        <w:t>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72" w:lineRule="exact"/>
        <w:rPr>
          <w:sz w:val="20"/>
          <w:szCs w:val="20"/>
          <w:color w:val="auto"/>
        </w:rPr>
      </w:pPr>
    </w:p>
    <w:p>
      <w:pPr>
        <w:ind w:right="2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suppliers and any future collaborators may need assurances that our financial resources and stability on a stand-alone basis are sufficient to satisfy their requirements for doing or continuing to do business with us.</w:t>
      </w:r>
    </w:p>
    <w:p>
      <w:pPr>
        <w:spacing w:after="0" w:line="51" w:lineRule="exact"/>
        <w:rPr>
          <w:sz w:val="20"/>
          <w:szCs w:val="20"/>
          <w:color w:val="auto"/>
        </w:rPr>
      </w:pPr>
    </w:p>
    <w:p>
      <w:pPr>
        <w:ind w:right="100" w:firstLine="382"/>
        <w:spacing w:after="0" w:line="288" w:lineRule="auto"/>
        <w:rPr>
          <w:sz w:val="20"/>
          <w:szCs w:val="20"/>
          <w:color w:val="auto"/>
        </w:rPr>
      </w:pPr>
      <w:r>
        <w:rPr>
          <w:rFonts w:ascii="Times New Roman" w:cs="Times New Roman" w:eastAsia="Times New Roman" w:hAnsi="Times New Roman"/>
          <w:sz w:val="16"/>
          <w:szCs w:val="16"/>
          <w:color w:val="auto"/>
        </w:rPr>
        <w:t>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Managing Our Business and Operations</w:t>
      </w:r>
    </w:p>
    <w:p>
      <w:pPr>
        <w:spacing w:after="0" w:line="110" w:lineRule="exact"/>
        <w:rPr>
          <w:sz w:val="20"/>
          <w:szCs w:val="20"/>
          <w:color w:val="auto"/>
        </w:rPr>
      </w:pPr>
    </w:p>
    <w:p>
      <w:pPr>
        <w:ind w:right="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As we continue to establish our business and operations at the appropriate scale, we may encounter difficulties in managing our long-term growth and any intervening changes and costs, which could adversely affect our operations.</w:t>
      </w:r>
    </w:p>
    <w:p>
      <w:pPr>
        <w:spacing w:after="0" w:line="51" w:lineRule="exact"/>
        <w:rPr>
          <w:sz w:val="20"/>
          <w:szCs w:val="20"/>
          <w:color w:val="auto"/>
        </w:rPr>
      </w:pPr>
    </w:p>
    <w:p>
      <w:pPr>
        <w:ind w:right="20" w:firstLine="382"/>
        <w:spacing w:after="0" w:line="252" w:lineRule="auto"/>
        <w:rPr>
          <w:sz w:val="20"/>
          <w:szCs w:val="20"/>
          <w:color w:val="auto"/>
        </w:rPr>
      </w:pPr>
      <w:r>
        <w:rPr>
          <w:rFonts w:ascii="Times New Roman" w:cs="Times New Roman" w:eastAsia="Times New Roman" w:hAnsi="Times New Roman"/>
          <w:sz w:val="17"/>
          <w:szCs w:val="17"/>
          <w:color w:val="auto"/>
        </w:rPr>
        <w:t>As the Company has evolved over time, our operations have had to adapt appropriately to the stage of business. As our clinical development and commercialization plans and strategies for our former lead product candidate, bexotegrast, developed, we managed costs while making investments to expand our clinical trials and workforce. However, in March 2025, we announced that we were discontinuing the BEACON-IPF Phase 2b trial following a prespecified data review and recommendation by the trial's independent DSMB, as well as a secondary review and recommendation by an outside expert panel. Subsequently, in June 2025, we announced we were discontinuing the development of bexotegrast in IPF. As a result, we have made, and continue to make, strategic decisions to reduce our costs and preserve our cash reserves, including restructuring our workforce. In addition, in connection with this cost management strategy, we are considering certain alternatives to reduce our lease expenses, including subleasing some or all of our current facilities or negotiating an early exit from the Oyster Point Lease. Some decisions, nevertheless, may depend on factors that are not within our control including our ability to dispose of equipment, sublease our current facilities to a suitable subtenant, or terminate our existing lease on favorable terms or at all. Moreover, as our clinical development and commercialization plans and strategies develop for PLN-101095 and our other future product candidates,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82" w:lineRule="exact"/>
        <w:rPr>
          <w:sz w:val="20"/>
          <w:szCs w:val="20"/>
          <w:color w:val="auto"/>
        </w:rPr>
      </w:pPr>
    </w:p>
    <w:p>
      <w:pPr>
        <w:ind w:left="1220" w:hanging="530"/>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retaining and motivating additional employees;</w:t>
      </w:r>
    </w:p>
    <w:p>
      <w:pPr>
        <w:spacing w:after="0" w:line="110" w:lineRule="exact"/>
        <w:rPr>
          <w:rFonts w:ascii="Times New Roman" w:cs="Times New Roman" w:eastAsia="Times New Roman" w:hAnsi="Times New Roman"/>
          <w:sz w:val="17"/>
          <w:szCs w:val="17"/>
          <w:color w:val="auto"/>
        </w:rPr>
      </w:pPr>
    </w:p>
    <w:p>
      <w:pPr>
        <w:ind w:left="1220" w:right="60" w:hanging="530"/>
        <w:spacing w:after="0" w:line="279" w:lineRule="auto"/>
        <w:tabs>
          <w:tab w:leader="none" w:pos="12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development and commercialization efforts effectively, including the clinical and FDA review process for PLN-101095 or any other product candidates, while complying with our contractual obligations to contractors and other third parties; and</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110"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Our ability to continue to develop and, if approved, commercialize PLN-101095 or our other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any product candidates and, accordingly, may not achieve our research, development and commercialization goals.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0" w:name="page61"/>
    <w:bookmarkEnd w:id="60"/>
    <w:p>
      <w:pPr>
        <w:jc w:val="both"/>
        <w:ind w:right="100" w:firstLine="382"/>
        <w:spacing w:after="0" w:line="264" w:lineRule="auto"/>
        <w:rPr>
          <w:sz w:val="20"/>
          <w:szCs w:val="20"/>
          <w:color w:val="auto"/>
        </w:rPr>
      </w:pPr>
      <w:r>
        <w:rPr>
          <w:rFonts w:ascii="Times New Roman" w:cs="Times New Roman" w:eastAsia="Times New Roman" w:hAnsi="Times New Roman"/>
          <w:sz w:val="17"/>
          <w:szCs w:val="17"/>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64" w:lineRule="exact"/>
        <w:rPr>
          <w:sz w:val="20"/>
          <w:szCs w:val="20"/>
          <w:color w:val="auto"/>
        </w:rPr>
      </w:pPr>
    </w:p>
    <w:p>
      <w:pPr>
        <w:jc w:val="center"/>
        <w:ind w:right="100"/>
        <w:spacing w:after="0" w:line="316" w:lineRule="auto"/>
        <w:rPr>
          <w:sz w:val="20"/>
          <w:szCs w:val="20"/>
          <w:color w:val="auto"/>
        </w:rPr>
      </w:pPr>
      <w:r>
        <w:rPr>
          <w:rFonts w:ascii="Times New Roman" w:cs="Times New Roman" w:eastAsia="Times New Roman" w:hAnsi="Times New Roman"/>
          <w:sz w:val="16"/>
          <w:szCs w:val="16"/>
          <w:b w:val="1"/>
          <w:bCs w:val="1"/>
          <w:i w:val="1"/>
          <w:iCs w:val="1"/>
          <w:color w:val="auto"/>
        </w:rPr>
        <w:t>If we lose key management personnel, or if we fail to recruit additional highly skilled personnel, our ability to develop PLN-101095 or other product candidates or identify and develop new product candidates will be impaired, could result in loss of markets or market share and could make us less competitive.</w:t>
      </w:r>
    </w:p>
    <w:p>
      <w:pPr>
        <w:spacing w:after="0" w:line="29"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 In addition, in 2025, we made the strategic decision to restructure our workforce and right-size the Company in order to reduce our costs, preserve cash reserves and prioritize efforts on PLN-101095. However, this restructuring may increase our dependence on the remaining key members of our senior management and executive team and could result in other unintended consequences and costs, such as the loss of institutional knowledge and expertise, decreased morale or attrition among our remaining employees, and the risk that we may not achieve the anticipated benefits of the reduction in force.</w:t>
      </w:r>
    </w:p>
    <w:p>
      <w:pPr>
        <w:spacing w:after="0" w:line="77"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7"/>
          <w:szCs w:val="17"/>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 These challenges may be intensified following our discontinuations of the BEACON-IPF Phase 2b clinical trial and our development of bexotegrast for IPF and workforce reduction during the past year, any of which could harm our ability to attract and retain qualified management, scientific and medical personnel who are critical to our business.</w:t>
      </w:r>
    </w:p>
    <w:p>
      <w:pPr>
        <w:spacing w:after="0" w:line="74"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70" w:lineRule="exact"/>
        <w:rPr>
          <w:sz w:val="20"/>
          <w:szCs w:val="20"/>
          <w:color w:val="auto"/>
        </w:rPr>
      </w:pPr>
    </w:p>
    <w:p>
      <w:pPr>
        <w:jc w:val="both"/>
        <w:ind w:right="22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65"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PLN-101095 or our other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81"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7"/>
          <w:szCs w:val="17"/>
          <w:color w:val="auto"/>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69" w:lineRule="exact"/>
        <w:rPr>
          <w:sz w:val="20"/>
          <w:szCs w:val="20"/>
          <w:color w:val="auto"/>
        </w:rPr>
      </w:pPr>
    </w:p>
    <w:p>
      <w:pPr>
        <w:ind w:right="50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61" w:name="page62"/>
    <w:bookmarkEnd w:id="61"/>
    <w:p>
      <w:pPr>
        <w:ind w:right="80" w:firstLine="382"/>
        <w:spacing w:after="0" w:line="252" w:lineRule="auto"/>
        <w:rPr>
          <w:sz w:val="20"/>
          <w:szCs w:val="20"/>
          <w:color w:val="auto"/>
        </w:rPr>
      </w:pPr>
      <w:r>
        <w:rPr>
          <w:rFonts w:ascii="Times New Roman" w:cs="Times New Roman" w:eastAsia="Times New Roman" w:hAnsi="Times New Roman"/>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PLN-101095 or any of our other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use and generate materials that may expose us to material liability.</w:t>
      </w:r>
    </w:p>
    <w:p>
      <w:pPr>
        <w:spacing w:after="0" w:line="114" w:lineRule="exact"/>
        <w:rPr>
          <w:sz w:val="20"/>
          <w:szCs w:val="20"/>
          <w:color w:val="auto"/>
        </w:rPr>
      </w:pPr>
    </w:p>
    <w:p>
      <w:pPr>
        <w:ind w:firstLine="382"/>
        <w:spacing w:after="0" w:line="273" w:lineRule="auto"/>
        <w:rPr>
          <w:sz w:val="20"/>
          <w:szCs w:val="20"/>
          <w:color w:val="auto"/>
        </w:rPr>
      </w:pPr>
      <w:r>
        <w:rPr>
          <w:rFonts w:ascii="Times New Roman" w:cs="Times New Roman" w:eastAsia="Times New Roman" w:hAnsi="Times New Roman"/>
          <w:sz w:val="16"/>
          <w:szCs w:val="16"/>
          <w:color w:val="auto"/>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59"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firstLine="382"/>
        <w:spacing w:after="0" w:line="252"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2" w:lineRule="exact"/>
        <w:rPr>
          <w:sz w:val="20"/>
          <w:szCs w:val="20"/>
          <w:color w:val="auto"/>
        </w:rPr>
      </w:pPr>
    </w:p>
    <w:p>
      <w:pPr>
        <w:ind w:right="220" w:firstLine="382"/>
        <w:spacing w:after="0" w:line="259"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9" w:lineRule="exact"/>
        <w:rPr>
          <w:sz w:val="20"/>
          <w:szCs w:val="20"/>
          <w:color w:val="auto"/>
        </w:rPr>
      </w:pPr>
    </w:p>
    <w:p>
      <w:pPr>
        <w:ind w:right="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2" w:name="page63"/>
    <w:bookmarkEnd w:id="62"/>
    <w:p>
      <w:pPr>
        <w:ind w:right="80" w:firstLine="382"/>
        <w:spacing w:after="0" w:line="255" w:lineRule="auto"/>
        <w:rPr>
          <w:sz w:val="20"/>
          <w:szCs w:val="20"/>
          <w:color w:val="auto"/>
        </w:rPr>
      </w:pPr>
      <w:r>
        <w:rPr>
          <w:rFonts w:ascii="Times New Roman" w:cs="Times New Roman" w:eastAsia="Times New Roman" w:hAnsi="Times New Roman"/>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tax credit carryforwards may be subject to limitation.</w:t>
      </w:r>
    </w:p>
    <w:p>
      <w:pPr>
        <w:spacing w:after="0" w:line="114" w:lineRule="exact"/>
        <w:rPr>
          <w:sz w:val="20"/>
          <w:szCs w:val="20"/>
          <w:color w:val="auto"/>
        </w:rPr>
      </w:pPr>
    </w:p>
    <w:p>
      <w:pPr>
        <w:ind w:right="40" w:firstLine="382"/>
        <w:spacing w:after="0" w:line="267" w:lineRule="auto"/>
        <w:rPr>
          <w:sz w:val="20"/>
          <w:szCs w:val="20"/>
          <w:color w:val="auto"/>
        </w:rPr>
      </w:pPr>
      <w:r>
        <w:rPr>
          <w:rFonts w:ascii="Times New Roman" w:cs="Times New Roman" w:eastAsia="Times New Roman" w:hAnsi="Times New Roman"/>
          <w:sz w:val="16"/>
          <w:szCs w:val="16"/>
          <w:color w:val="auto"/>
        </w:rPr>
        <w:t>As of December 31, 2025, we had net operating loss carryforwards for U.S. federal and state income tax purposes of $485.9 million and $398.2 million, respectively, some of which will begin to expire in 2035. As of December 31, 2025, we also had available tax credit carryforwards for U.S. federal income tax purposes of $46.4 million, which begin to expire in 2036, and tax credit carryforwards for state income tax purposes of $10.3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2025, and the Company’s net operating losses and tax credit carryforwards generated prior to the identified ownership changes are subject to no permanent limitation under Sections 382 or</w:t>
      </w:r>
    </w:p>
    <w:p>
      <w:pPr>
        <w:spacing w:after="0" w:line="6" w:lineRule="exact"/>
        <w:rPr>
          <w:sz w:val="20"/>
          <w:szCs w:val="20"/>
          <w:color w:val="auto"/>
        </w:rPr>
      </w:pPr>
    </w:p>
    <w:p>
      <w:pPr>
        <w:ind w:firstLine="2"/>
        <w:spacing w:after="0" w:line="252" w:lineRule="auto"/>
        <w:tabs>
          <w:tab w:leader="none" w:pos="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stock may be volatile, and you could lose all or part of your investment.</w:t>
      </w:r>
    </w:p>
    <w:p>
      <w:pPr>
        <w:spacing w:after="0" w:line="114"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68" w:lineRule="exact"/>
        <w:rPr>
          <w:sz w:val="20"/>
          <w:szCs w:val="20"/>
          <w:color w:val="auto"/>
        </w:rPr>
      </w:pPr>
    </w:p>
    <w:p>
      <w:pPr>
        <w:ind w:left="1220" w:right="120" w:hanging="530"/>
        <w:spacing w:after="0" w:line="279" w:lineRule="auto"/>
        <w:tabs>
          <w:tab w:leader="none" w:pos="12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enrollment or results of preclinical and clinical trials for PLN-101095 or our other product candidates conducted by us or our collaborators;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identifying and advancing a clinical candidate for our other development programs;</w:t>
      </w:r>
    </w:p>
    <w:p>
      <w:pPr>
        <w:spacing w:after="0" w:line="110" w:lineRule="exact"/>
        <w:rPr>
          <w:rFonts w:ascii="Times New Roman" w:cs="Times New Roman" w:eastAsia="Times New Roman" w:hAnsi="Times New Roman"/>
          <w:sz w:val="17"/>
          <w:szCs w:val="17"/>
          <w:color w:val="auto"/>
        </w:rPr>
      </w:pPr>
    </w:p>
    <w:p>
      <w:pPr>
        <w:ind w:left="1220" w:right="440" w:hanging="530"/>
        <w:spacing w:after="0" w:line="264" w:lineRule="auto"/>
        <w:tabs>
          <w:tab w:leader="none" w:pos="12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our regulatory filings for PLN-101095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8"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results or delays in future clinical trials;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decision to initiate a clinical trial, not to initiate a clinical trial or to terminate an existing clinical trial;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decisions, including failure to receive regulatory approval of PLN-101095 or any other product candidates;</w:t>
      </w:r>
    </w:p>
    <w:p>
      <w:pPr>
        <w:spacing w:after="0" w:line="110" w:lineRule="exact"/>
        <w:rPr>
          <w:rFonts w:ascii="Times New Roman" w:cs="Times New Roman" w:eastAsia="Times New Roman" w:hAnsi="Times New Roman"/>
          <w:sz w:val="17"/>
          <w:szCs w:val="17"/>
          <w:color w:val="auto"/>
        </w:rPr>
      </w:pPr>
    </w:p>
    <w:p>
      <w:pPr>
        <w:ind w:left="1220" w:right="220" w:hanging="530"/>
        <w:spacing w:after="0" w:line="279" w:lineRule="auto"/>
        <w:tabs>
          <w:tab w:leader="none" w:pos="12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PLN-101095 or any other product candidates, including but not limited to clinical trial requirements for approvals;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concerning our manufacturers;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adequate product supply for any approved product or inability to do so at acceptable prices;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3" w:name="page64"/>
    <w:bookmarkEnd w:id="63"/>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secure a positive health technology assessment recommendation;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establish collaborations, if needed;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commercialize PLN-101095 or our other product candidates, if approved;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serious safety concerns related to the use of PLN-101095 or any other product candidates;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or services offered by us or our competitors;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partnerships, joint ventures or capital commitments by us or our competitors;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quarterly operating results;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position;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the estimates and projections of the investment community or that we may otherwise provide to the public;</w:t>
      </w:r>
    </w:p>
    <w:p>
      <w:pPr>
        <w:spacing w:after="0" w:line="110" w:lineRule="exact"/>
        <w:rPr>
          <w:rFonts w:ascii="Times New Roman" w:cs="Times New Roman" w:eastAsia="Times New Roman" w:hAnsi="Times New Roman"/>
          <w:sz w:val="17"/>
          <w:szCs w:val="17"/>
          <w:color w:val="auto"/>
        </w:rPr>
      </w:pPr>
    </w:p>
    <w:p>
      <w:pPr>
        <w:ind w:left="1220" w:right="40" w:hanging="530"/>
        <w:spacing w:after="0" w:line="279" w:lineRule="auto"/>
        <w:tabs>
          <w:tab w:leader="none" w:pos="12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or our industry, or product candidates in particular, or positive or negative recommendations or withdrawal of research coverage by securities analysts;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the healthcare payment systems;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 in the future;</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practices;</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ineffectiveness of our internal controls;</w:t>
      </w:r>
    </w:p>
    <w:p>
      <w:pPr>
        <w:spacing w:after="0" w:line="110" w:lineRule="exact"/>
        <w:rPr>
          <w:rFonts w:ascii="Times New Roman" w:cs="Times New Roman" w:eastAsia="Times New Roman" w:hAnsi="Times New Roman"/>
          <w:sz w:val="17"/>
          <w:szCs w:val="17"/>
          <w:color w:val="auto"/>
        </w:rPr>
      </w:pPr>
    </w:p>
    <w:p>
      <w:pPr>
        <w:ind w:left="1220" w:right="80" w:hanging="530"/>
        <w:spacing w:after="0" w:line="279" w:lineRule="auto"/>
        <w:tabs>
          <w:tab w:leader="none" w:pos="12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patent or stockholder litigation;</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and economic conditions; and</w:t>
      </w:r>
    </w:p>
    <w:p>
      <w:pPr>
        <w:spacing w:after="0" w:line="110"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many of which are beyond our control.</w:t>
      </w:r>
    </w:p>
    <w:p>
      <w:pPr>
        <w:spacing w:after="0" w:line="11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biopharmaceutical company securities in particular, have experienced extreme price and volume fluctuations that have often been unrelated or disproportionate to the operating performance of these companies, including as a result of effects of health epidemics and pandemics, geopolitical events, such as recent U.S. and Israeli military action against Iran and related disruption in the region, the Russian invasion of Ukraine, conflict in the Middle East and any other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so any returns will be limited to the value of our stock.</w:t>
      </w:r>
    </w:p>
    <w:p>
      <w:pPr>
        <w:spacing w:after="0" w:line="114" w:lineRule="exact"/>
        <w:rPr>
          <w:sz w:val="20"/>
          <w:szCs w:val="20"/>
          <w:color w:val="auto"/>
        </w:rPr>
      </w:pPr>
    </w:p>
    <w:p>
      <w:pPr>
        <w:ind w:right="280" w:firstLine="382"/>
        <w:spacing w:after="0" w:line="264"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Any return to stockholders will therefore be limited to the appreciation of their stock.</w:t>
      </w:r>
    </w:p>
    <w:p>
      <w:pPr>
        <w:spacing w:after="0" w:line="64" w:lineRule="exact"/>
        <w:rPr>
          <w:sz w:val="20"/>
          <w:szCs w:val="20"/>
          <w:color w:val="auto"/>
        </w:rPr>
      </w:pPr>
    </w:p>
    <w:p>
      <w:pPr>
        <w:ind w:right="46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51" w:lineRule="exact"/>
        <w:rPr>
          <w:sz w:val="20"/>
          <w:szCs w:val="20"/>
          <w:color w:val="auto"/>
        </w:rPr>
      </w:pPr>
    </w:p>
    <w:p>
      <w:pPr>
        <w:ind w:right="120" w:firstLine="382"/>
        <w:spacing w:after="0" w:line="279" w:lineRule="auto"/>
        <w:rPr>
          <w:sz w:val="20"/>
          <w:szCs w:val="20"/>
          <w:color w:val="auto"/>
        </w:rPr>
      </w:pPr>
      <w:r>
        <w:rPr>
          <w:rFonts w:ascii="Times New Roman" w:cs="Times New Roman" w:eastAsia="Times New Roman" w:hAnsi="Times New Roman"/>
          <w:sz w:val="17"/>
          <w:szCs w:val="17"/>
          <w:color w:val="auto"/>
        </w:rPr>
        <w:t>Our executive officers, directors and our principal stockholders beneficially hold a significant portion of our voting stock. These stockholders, acting together, may be able to significantly influence matters requiring stockholder approval. For example,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4" w:name="page65"/>
    <w:bookmarkEnd w:id="64"/>
    <w:p>
      <w:pPr>
        <w:spacing w:after="0" w:line="264" w:lineRule="auto"/>
        <w:rPr>
          <w:sz w:val="20"/>
          <w:szCs w:val="20"/>
          <w:color w:val="auto"/>
        </w:rPr>
      </w:pPr>
      <w:r>
        <w:rPr>
          <w:rFonts w:ascii="Times New Roman" w:cs="Times New Roman" w:eastAsia="Times New Roman" w:hAnsi="Times New Roman"/>
          <w:sz w:val="17"/>
          <w:szCs w:val="17"/>
          <w:color w:val="auto"/>
        </w:rPr>
        <w:t>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If there are substantial sales of shares of our common stock, the price of our common stock could decline.</w:t>
      </w:r>
    </w:p>
    <w:p>
      <w:pPr>
        <w:spacing w:after="0" w:line="114"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77" w:lineRule="exact"/>
        <w:rPr>
          <w:sz w:val="20"/>
          <w:szCs w:val="20"/>
          <w:color w:val="auto"/>
        </w:rPr>
      </w:pPr>
    </w:p>
    <w:p>
      <w:pPr>
        <w:ind w:right="30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under our charter documents, our stockholder rights agreement, and Delaware law could delay or prevent a change of control which could limit the market price of our common stock and may prevent or frustrate attempts by our stockholders to replace or remove our current management.</w:t>
      </w:r>
    </w:p>
    <w:p>
      <w:pPr>
        <w:spacing w:after="0" w:line="65" w:lineRule="exact"/>
        <w:rPr>
          <w:sz w:val="20"/>
          <w:szCs w:val="20"/>
          <w:color w:val="auto"/>
        </w:rPr>
      </w:pPr>
    </w:p>
    <w:p>
      <w:pPr>
        <w:ind w:right="480" w:firstLine="382"/>
        <w:spacing w:after="0" w:line="279"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5" w:lineRule="exact"/>
        <w:rPr>
          <w:sz w:val="20"/>
          <w:szCs w:val="20"/>
          <w:color w:val="auto"/>
        </w:rPr>
      </w:pPr>
    </w:p>
    <w:p>
      <w:pPr>
        <w:ind w:left="1220" w:right="380" w:hanging="530"/>
        <w:spacing w:after="0" w:line="279" w:lineRule="auto"/>
        <w:tabs>
          <w:tab w:leader="none" w:pos="12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board of directors divided into three classes serving staggered three-year terms, such that not all members of the board will be elected at one time;</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through written consent, which requires that all stockholder actions be taken at a meeting of our stockholders;</w:t>
      </w:r>
    </w:p>
    <w:p>
      <w:pPr>
        <w:spacing w:after="0" w:line="110" w:lineRule="exact"/>
        <w:rPr>
          <w:rFonts w:ascii="Times New Roman" w:cs="Times New Roman" w:eastAsia="Times New Roman" w:hAnsi="Times New Roman"/>
          <w:sz w:val="17"/>
          <w:szCs w:val="17"/>
          <w:color w:val="auto"/>
        </w:rPr>
      </w:pPr>
    </w:p>
    <w:p>
      <w:pPr>
        <w:ind w:left="1220" w:right="600" w:hanging="530"/>
        <w:spacing w:after="0" w:line="279" w:lineRule="auto"/>
        <w:tabs>
          <w:tab w:leader="none" w:pos="12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4"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stockholder proposals and nominations for election to our board of directors;</w:t>
      </w:r>
    </w:p>
    <w:p>
      <w:pPr>
        <w:spacing w:after="0" w:line="110" w:lineRule="exact"/>
        <w:rPr>
          <w:rFonts w:ascii="Times New Roman" w:cs="Times New Roman" w:eastAsia="Times New Roman" w:hAnsi="Times New Roman"/>
          <w:sz w:val="17"/>
          <w:szCs w:val="17"/>
          <w:color w:val="auto"/>
        </w:rPr>
      </w:pPr>
    </w:p>
    <w:p>
      <w:pPr>
        <w:ind w:left="1220" w:right="200" w:hanging="530"/>
        <w:spacing w:after="0" w:line="264" w:lineRule="auto"/>
        <w:tabs>
          <w:tab w:leader="none" w:pos="12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8" w:lineRule="exact"/>
        <w:rPr>
          <w:rFonts w:ascii="Times New Roman" w:cs="Times New Roman" w:eastAsia="Times New Roman" w:hAnsi="Times New Roman"/>
          <w:sz w:val="17"/>
          <w:szCs w:val="17"/>
          <w:color w:val="auto"/>
        </w:rPr>
      </w:pPr>
    </w:p>
    <w:p>
      <w:pPr>
        <w:ind w:left="1220" w:right="80" w:hanging="530"/>
        <w:spacing w:after="0" w:line="279" w:lineRule="auto"/>
        <w:tabs>
          <w:tab w:leader="none" w:pos="12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4" w:lineRule="exact"/>
        <w:rPr>
          <w:rFonts w:ascii="Times New Roman" w:cs="Times New Roman" w:eastAsia="Times New Roman" w:hAnsi="Times New Roman"/>
          <w:sz w:val="17"/>
          <w:szCs w:val="17"/>
          <w:color w:val="auto"/>
        </w:rPr>
      </w:pPr>
    </w:p>
    <w:p>
      <w:pPr>
        <w:ind w:left="1220" w:right="380" w:hanging="530"/>
        <w:spacing w:after="0" w:line="279" w:lineRule="auto"/>
        <w:tabs>
          <w:tab w:leader="none" w:pos="12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5" w:lineRule="exact"/>
        <w:rPr>
          <w:sz w:val="20"/>
          <w:szCs w:val="20"/>
          <w:color w:val="auto"/>
        </w:rPr>
      </w:pPr>
    </w:p>
    <w:p>
      <w:pPr>
        <w:ind w:right="100" w:firstLine="382"/>
        <w:spacing w:after="0" w:line="257" w:lineRule="auto"/>
        <w:rPr>
          <w:sz w:val="20"/>
          <w:szCs w:val="20"/>
          <w:color w:val="auto"/>
        </w:rPr>
      </w:pPr>
      <w:r>
        <w:rPr>
          <w:rFonts w:ascii="Times New Roman" w:cs="Times New Roman" w:eastAsia="Times New Roman" w:hAnsi="Times New Roman"/>
          <w:sz w:val="17"/>
          <w:szCs w:val="17"/>
          <w:color w:val="auto"/>
        </w:rPr>
        <w:t>Our Stockholder Rights Agreement , or the Rights Plan, that is currently in effect will expire on March 11, 2027, unless extended. While in force or if otherwise extended, the Rights Plan may have certain anti-takeover effects. Specifically, the rights issued pursuant to the Rights Plan will cause substantial dilution to a person or group that acquires beneficial ownership of more than a specified percentage of our outstanding common stock without the prior approval of our Board of Directors. The Rights Plan is not intended to interfere with any merger or other business combination approved by the Board, but the rights plan may deter certain parties from pursuing strategic transactions involving us, including potential acquisitions.</w:t>
      </w:r>
    </w:p>
    <w:p>
      <w:pPr>
        <w:spacing w:after="0" w:line="74" w:lineRule="exact"/>
        <w:rPr>
          <w:sz w:val="20"/>
          <w:szCs w:val="20"/>
          <w:color w:val="auto"/>
        </w:rPr>
      </w:pPr>
    </w:p>
    <w:p>
      <w:pPr>
        <w:ind w:right="160" w:firstLine="382"/>
        <w:spacing w:after="0" w:line="255"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5" w:name="page66"/>
    <w:bookmarkEnd w:id="65"/>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activism could cause us to incur significant expense, disrupt our business, result in a proxy contest or litigation and impact our stock price.</w:t>
      </w:r>
    </w:p>
    <w:p>
      <w:pPr>
        <w:spacing w:after="0" w:line="114"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We may be subject to stockholder activism in the future, which could result in substantial costs and divert management's and the board of directors’ attention and resources from our business. Such stockholder activism could interfere with our ability to execute on our clinical development and commercialization plans and strategies, give rise to perceived uncertainties as to our future, impact on our relationships with our third-party vendors or employees, result in the loss of potential business opportunities and make it more difficult to attract and retain qualified personnel. Any stockholder activism could require us to incur significant fees and other expenses, including retaining third-party advisors. We may also be subject to a proxy contest or to litigation by activist stockholders, including litigation related to any stockholder rights agreement or "poison pill" that our board of directors adopts, such as the Rights Plan. Moreover, our stock price could be subject to significant fluctuation or otherwise be adversely affected by the events, risks and uncertainties of any stockholder activism.</w:t>
      </w:r>
    </w:p>
    <w:p>
      <w:pPr>
        <w:spacing w:after="0" w:line="70" w:lineRule="exact"/>
        <w:rPr>
          <w:sz w:val="20"/>
          <w:szCs w:val="20"/>
          <w:color w:val="auto"/>
        </w:rPr>
      </w:pPr>
    </w:p>
    <w:p>
      <w:pPr>
        <w:ind w:right="80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certain courts as the exclusive forum for certain litigation that may be initiated by our stockholders, which could limit our stockholders’ ability to litigate disputes with us in a different judicial forum.</w:t>
      </w:r>
    </w:p>
    <w:p>
      <w:pPr>
        <w:spacing w:after="0" w:line="51" w:lineRule="exact"/>
        <w:rPr>
          <w:sz w:val="20"/>
          <w:szCs w:val="20"/>
          <w:color w:val="auto"/>
        </w:rPr>
      </w:pPr>
    </w:p>
    <w:p>
      <w:pPr>
        <w:ind w:right="20" w:firstLine="382"/>
        <w:spacing w:after="0" w:line="252" w:lineRule="auto"/>
        <w:rPr>
          <w:sz w:val="20"/>
          <w:szCs w:val="20"/>
          <w:color w:val="auto"/>
        </w:rPr>
      </w:pPr>
      <w:r>
        <w:rPr>
          <w:rFonts w:ascii="Times New Roman" w:cs="Times New Roman" w:eastAsia="Times New Roman" w:hAnsi="Times New Roman"/>
          <w:sz w:val="17"/>
          <w:szCs w:val="17"/>
          <w:color w:val="231F20"/>
        </w:rPr>
        <w:t>P</w:t>
      </w:r>
      <w:r>
        <w:rPr>
          <w:rFonts w:ascii="Times New Roman" w:cs="Times New Roman" w:eastAsia="Times New Roman" w:hAnsi="Times New Roman"/>
          <w:sz w:val="17"/>
          <w:szCs w:val="17"/>
          <w:color w:val="000000"/>
        </w:rPr>
        <w:t>ursuant to our bylaws, unless we consent in writing to the selection of an alternative forum, the Court of Chancery of the State of Delaware will be the sole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84"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General Risk Factors</w:t>
      </w:r>
    </w:p>
    <w:p>
      <w:pPr>
        <w:spacing w:after="0" w:line="110" w:lineRule="exact"/>
        <w:rPr>
          <w:sz w:val="20"/>
          <w:szCs w:val="20"/>
          <w:color w:val="auto"/>
        </w:rPr>
      </w:pPr>
    </w:p>
    <w:p>
      <w:pPr>
        <w:ind w:right="8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5" w:lineRule="exact"/>
        <w:rPr>
          <w:sz w:val="20"/>
          <w:szCs w:val="20"/>
          <w:color w:val="auto"/>
        </w:rPr>
      </w:pPr>
    </w:p>
    <w:p>
      <w:pPr>
        <w:ind w:right="80" w:firstLine="382"/>
        <w:spacing w:after="0" w:line="255"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6" w:name="page67"/>
    <w:bookmarkEnd w:id="66"/>
    <w:p>
      <w:pPr>
        <w:ind w:firstLine="382"/>
        <w:spacing w:after="0" w:line="259" w:lineRule="auto"/>
        <w:rPr>
          <w:sz w:val="20"/>
          <w:szCs w:val="20"/>
          <w:color w:val="auto"/>
        </w:rPr>
      </w:pPr>
      <w:r>
        <w:rPr>
          <w:rFonts w:ascii="Times New Roman" w:cs="Times New Roman" w:eastAsia="Times New Roman" w:hAnsi="Times New Roman"/>
          <w:sz w:val="17"/>
          <w:szCs w:val="17"/>
          <w:color w:val="auto"/>
        </w:rPr>
        <w:t>We are required to disclose changes made in our internal controls and procedures on a quarterly basis. However, for as long as we are "non-accelerated filer," as defined by the SEC,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73"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7"/>
          <w:szCs w:val="17"/>
          <w:color w:val="auto"/>
        </w:rPr>
        <w:t>If we are unable to assert that our internal control over financial reporting is effective,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Stock Market, or Nasdaq.</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231F20"/>
        </w:rPr>
        <w:t>Our disclosure controls and procedures may not prevent or detect all errors or acts of fraud.</w:t>
      </w:r>
    </w:p>
    <w:p>
      <w:pPr>
        <w:spacing w:after="0" w:line="11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73" w:lineRule="exact"/>
        <w:rPr>
          <w:sz w:val="20"/>
          <w:szCs w:val="20"/>
          <w:color w:val="auto"/>
        </w:rPr>
      </w:pPr>
    </w:p>
    <w:p>
      <w:pPr>
        <w:ind w:right="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issuance of additional capital stock in connection with financings, acquisitions, investments, our stock incentive plans or otherwise will dilute all other stockholders</w:t>
      </w:r>
      <w:r>
        <w:rPr>
          <w:rFonts w:ascii="Times New Roman" w:cs="Times New Roman" w:eastAsia="Times New Roman" w:hAnsi="Times New Roman"/>
          <w:sz w:val="17"/>
          <w:szCs w:val="17"/>
          <w:b w:val="1"/>
          <w:bCs w:val="1"/>
          <w:i w:val="1"/>
          <w:iCs w:val="1"/>
          <w:color w:val="231F20"/>
        </w:rPr>
        <w:t>.</w:t>
      </w:r>
    </w:p>
    <w:p>
      <w:pPr>
        <w:spacing w:after="0" w:line="51"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On March 30, 2026, we entered into a Sales Agreement with Leerink Partners LLC (the "Leerink Sales Agreement"), as sales agent, pursuant to which we may issue and sell shares of common stock from time to time. On March 30, 2026 we filed a registration statement on Form S-3 (File No. 333-294737) which included an "at the market offering" prospectus covering the offering, issuance and sale of up to $50.0 million of common stock under the Leerink Sales Agreement and a base prospectus registering the offer and sale of up to $300.0 million of debt securities, common stock, preferred stock, units and/or warrants.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77" w:lineRule="exact"/>
        <w:rPr>
          <w:sz w:val="20"/>
          <w:szCs w:val="20"/>
          <w:color w:val="auto"/>
        </w:rPr>
      </w:pPr>
    </w:p>
    <w:p>
      <w:pPr>
        <w:ind w:right="30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7"/>
          <w:szCs w:val="17"/>
          <w:color w:val="auto"/>
        </w:rPr>
        <w:t>The trading market for our common stock depends in part on the research and reports that securities or industry analysts publish about us or our business.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Nasdaq's continued listing requirements could result in a delisting of our common stock.</w:t>
      </w:r>
    </w:p>
    <w:p>
      <w:pPr>
        <w:spacing w:after="0" w:line="114"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7"/>
          <w:szCs w:val="17"/>
          <w:color w:val="auto"/>
        </w:rPr>
        <w:t>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of such market (or another market tier) would allow our common stock to become listed again, stabilize the market price or improve liquidity of our common stock, prevent our common stock from dropping below the minimum bid price requirement or prevent future non-compliance with Nasdaq's listing requirements.</w:t>
      </w:r>
    </w:p>
    <w:p>
      <w:pPr>
        <w:spacing w:after="0" w:line="74" w:lineRule="exact"/>
        <w:rPr>
          <w:sz w:val="20"/>
          <w:szCs w:val="20"/>
          <w:color w:val="auto"/>
        </w:rPr>
      </w:pPr>
    </w:p>
    <w:p>
      <w:pPr>
        <w:ind w:right="28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the scaled disclosure requirements applicable to smaller reporting companies may make our common stock less attractive to investors.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7" w:name="page68"/>
    <w:bookmarkEnd w:id="67"/>
    <w:p>
      <w:pPr>
        <w:ind w:right="20" w:firstLine="382"/>
        <w:spacing w:after="0" w:line="279" w:lineRule="auto"/>
        <w:rPr>
          <w:sz w:val="20"/>
          <w:szCs w:val="20"/>
          <w:color w:val="auto"/>
        </w:rPr>
      </w:pPr>
      <w:r>
        <w:rPr>
          <w:rFonts w:ascii="Times New Roman" w:cs="Times New Roman" w:eastAsia="Times New Roman" w:hAnsi="Times New Roman"/>
          <w:sz w:val="17"/>
          <w:szCs w:val="17"/>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5" w:lineRule="exact"/>
        <w:rPr>
          <w:sz w:val="20"/>
          <w:szCs w:val="20"/>
          <w:color w:val="auto"/>
        </w:rPr>
      </w:pPr>
    </w:p>
    <w:p>
      <w:pPr>
        <w:ind w:left="1220" w:hanging="530"/>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w:t>
      </w:r>
    </w:p>
    <w:p>
      <w:pPr>
        <w:spacing w:after="0" w:line="110" w:lineRule="exact"/>
        <w:rPr>
          <w:rFonts w:ascii="Times New Roman" w:cs="Times New Roman" w:eastAsia="Times New Roman" w:hAnsi="Times New Roman"/>
          <w:sz w:val="17"/>
          <w:szCs w:val="17"/>
          <w:color w:val="auto"/>
        </w:rPr>
      </w:pPr>
    </w:p>
    <w:p>
      <w:pPr>
        <w:ind w:left="1220" w:right="80" w:hanging="530"/>
        <w:spacing w:after="0" w:line="264" w:lineRule="auto"/>
        <w:tabs>
          <w:tab w:leader="none" w:pos="12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and</w:t>
      </w:r>
    </w:p>
    <w:p>
      <w:pPr>
        <w:spacing w:after="0" w:line="68" w:lineRule="exact"/>
        <w:rPr>
          <w:rFonts w:ascii="Times New Roman" w:cs="Times New Roman" w:eastAsia="Times New Roman" w:hAnsi="Times New Roman"/>
          <w:sz w:val="17"/>
          <w:szCs w:val="17"/>
          <w:color w:val="auto"/>
        </w:rPr>
      </w:pPr>
    </w:p>
    <w:p>
      <w:pPr>
        <w:ind w:left="1220" w:hanging="530"/>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w:t>
      </w:r>
    </w:p>
    <w:p>
      <w:pPr>
        <w:spacing w:after="0" w:line="110" w:lineRule="exact"/>
        <w:rPr>
          <w:sz w:val="20"/>
          <w:szCs w:val="20"/>
          <w:color w:val="auto"/>
        </w:rPr>
      </w:pPr>
    </w:p>
    <w:p>
      <w:pPr>
        <w:jc w:val="both"/>
        <w:ind w:right="40" w:firstLine="382"/>
        <w:spacing w:after="0" w:line="264" w:lineRule="auto"/>
        <w:rPr>
          <w:sz w:val="20"/>
          <w:szCs w:val="20"/>
          <w:color w:val="auto"/>
        </w:rPr>
      </w:pPr>
      <w:r>
        <w:rPr>
          <w:rFonts w:ascii="Times New Roman" w:cs="Times New Roman" w:eastAsia="Times New Roman" w:hAnsi="Times New Roman"/>
          <w:sz w:val="17"/>
          <w:szCs w:val="17"/>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64" w:lineRule="exact"/>
        <w:rPr>
          <w:sz w:val="20"/>
          <w:szCs w:val="20"/>
          <w:color w:val="auto"/>
        </w:rPr>
      </w:pPr>
    </w:p>
    <w:p>
      <w:pPr>
        <w:ind w:right="54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incur significant increased costs as a result of operating as a public company, and our management is required to devote substantial time to new compliance initiatives.</w:t>
      </w:r>
    </w:p>
    <w:p>
      <w:pPr>
        <w:spacing w:after="0" w:line="51" w:lineRule="exact"/>
        <w:rPr>
          <w:sz w:val="20"/>
          <w:szCs w:val="20"/>
          <w:color w:val="auto"/>
        </w:rPr>
      </w:pPr>
    </w:p>
    <w:p>
      <w:pPr>
        <w:ind w:right="140" w:firstLine="382"/>
        <w:spacing w:after="0" w:line="254"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7"/>
          <w:szCs w:val="17"/>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right="140" w:firstLine="382"/>
        <w:spacing w:after="0" w:line="255"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74" w:lineRule="exact"/>
        <w:rPr>
          <w:sz w:val="20"/>
          <w:szCs w:val="20"/>
          <w:color w:val="auto"/>
        </w:rPr>
      </w:pPr>
    </w:p>
    <w:p>
      <w:pPr>
        <w:ind w:right="100" w:firstLine="382"/>
        <w:spacing w:after="0" w:line="254" w:lineRule="auto"/>
        <w:rPr>
          <w:sz w:val="20"/>
          <w:szCs w:val="20"/>
          <w:color w:val="auto"/>
        </w:rPr>
      </w:pPr>
      <w:r>
        <w:rPr>
          <w:rFonts w:ascii="Times New Roman" w:cs="Times New Roman" w:eastAsia="Times New Roman" w:hAnsi="Times New Roman"/>
          <w:sz w:val="17"/>
          <w:szCs w:val="17"/>
          <w:color w:val="auto"/>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8" w:name="page69"/>
    <w:bookmarkEnd w:id="68"/>
    <w:p>
      <w:pPr>
        <w:ind w:right="20"/>
        <w:spacing w:after="0" w:line="252" w:lineRule="auto"/>
        <w:rPr>
          <w:sz w:val="20"/>
          <w:szCs w:val="20"/>
          <w:color w:val="auto"/>
        </w:rPr>
      </w:pPr>
      <w:r>
        <w:rPr>
          <w:rFonts w:ascii="Times New Roman" w:cs="Times New Roman" w:eastAsia="Times New Roman" w:hAnsi="Times New Roman"/>
          <w:sz w:val="17"/>
          <w:szCs w:val="17"/>
          <w:color w:val="auto"/>
        </w:rPr>
        <w:t>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HHS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enacted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PHI as well as personal data used or shared in research, including data subject to 45 C.F.R. Parts 46, 50, and 56. Other states, such as Connecticut, Nevada, and Maryland have also enacted privacy legislation with particular provisions for consumer health data, and additional states may adopt health-specific requirements that could impact our business activities depending on how they are interpreted.</w:t>
      </w:r>
    </w:p>
    <w:p>
      <w:pPr>
        <w:spacing w:after="0" w:line="82"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7"/>
          <w:szCs w:val="17"/>
          <w:color w:val="auto"/>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CMS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On September 5, 2025, HHS announced an initiative to increase enforcement focus on the information blocking rule. The impact on the information blocking rules to our business is currently unclear.</w:t>
      </w:r>
    </w:p>
    <w:p>
      <w:pPr>
        <w:spacing w:after="0" w:line="81"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7"/>
          <w:szCs w:val="17"/>
          <w:color w:val="auto"/>
        </w:rPr>
        <w:t>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and the CPRA established a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 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spacing w:after="0" w:line="82" w:lineRule="exact"/>
        <w:rPr>
          <w:sz w:val="20"/>
          <w:szCs w:val="20"/>
          <w:color w:val="auto"/>
        </w:rPr>
      </w:pPr>
    </w:p>
    <w:p>
      <w:pPr>
        <w:ind w:right="200" w:firstLine="382"/>
        <w:spacing w:after="0" w:line="259" w:lineRule="auto"/>
        <w:rPr>
          <w:sz w:val="20"/>
          <w:szCs w:val="20"/>
          <w:color w:val="auto"/>
        </w:rPr>
      </w:pPr>
      <w:r>
        <w:rPr>
          <w:rFonts w:ascii="Times New Roman" w:cs="Times New Roman" w:eastAsia="Times New Roman" w:hAnsi="Times New Roman"/>
          <w:sz w:val="17"/>
          <w:szCs w:val="17"/>
          <w:color w:val="auto"/>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spacing w:after="0" w:line="73"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7"/>
          <w:szCs w:val="17"/>
          <w:color w:val="auto"/>
        </w:rPr>
        <w:t>Additionally, the Federal Trade Commission, or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9" w:name="page70"/>
    <w:bookmarkEnd w:id="69"/>
    <w:p>
      <w:pPr>
        <w:ind w:right="120"/>
        <w:spacing w:after="0" w:line="264" w:lineRule="auto"/>
        <w:rPr>
          <w:sz w:val="20"/>
          <w:szCs w:val="20"/>
          <w:color w:val="auto"/>
        </w:rPr>
      </w:pPr>
      <w:r>
        <w:rPr>
          <w:rFonts w:ascii="Times New Roman" w:cs="Times New Roman" w:eastAsia="Times New Roman" w:hAnsi="Times New Roman"/>
          <w:sz w:val="17"/>
          <w:szCs w:val="17"/>
          <w:color w:val="auto"/>
        </w:rPr>
        <w:t>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w:t>
      </w:r>
    </w:p>
    <w:p>
      <w:pPr>
        <w:spacing w:after="0" w:line="68"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7"/>
          <w:szCs w:val="17"/>
          <w:color w:val="auto"/>
        </w:rPr>
        <w:t>Our business relies on secure and continuous processing of information and the availability of our Information Technology, or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HHS, pursuant to legislation passed in 2021, issued guidance on recognized security practices for covered entities and business associates. HHS indicated that recognized security practices will not be an aggravating factor in HHS investigations, but that implementation of recognized security practices strengthen an organization’s cybersecurity and regulatory posture, as well as possibly lessening enforcement penalties in a potential regulatory enforcement.</w:t>
      </w:r>
    </w:p>
    <w:p>
      <w:pPr>
        <w:spacing w:after="0" w:line="77" w:lineRule="exact"/>
        <w:rPr>
          <w:sz w:val="20"/>
          <w:szCs w:val="20"/>
          <w:color w:val="auto"/>
        </w:rPr>
      </w:pPr>
    </w:p>
    <w:p>
      <w:pPr>
        <w:ind w:right="100" w:firstLine="382"/>
        <w:spacing w:after="0" w:line="273" w:lineRule="auto"/>
        <w:rPr>
          <w:sz w:val="20"/>
          <w:szCs w:val="20"/>
          <w:color w:val="auto"/>
        </w:rPr>
      </w:pPr>
      <w:r>
        <w:rPr>
          <w:rFonts w:ascii="Times New Roman" w:cs="Times New Roman" w:eastAsia="Times New Roman" w:hAnsi="Times New Roman"/>
          <w:sz w:val="16"/>
          <w:szCs w:val="16"/>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63"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7"/>
          <w:szCs w:val="17"/>
          <w:color w:val="auto"/>
        </w:rPr>
        <w:t>In addition to our operations in the United States, which may be subject to healthcare and other laws relating to the privacy and security of health information and other personal data, we may seek to conduct clinical trials in the EEA/UK and may become subject to additional EEA/UK data privacy laws, regulations and guidelines.</w:t>
      </w:r>
    </w:p>
    <w:p>
      <w:pPr>
        <w:spacing w:after="0" w:line="68"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7"/>
          <w:szCs w:val="17"/>
          <w:color w:val="auto"/>
        </w:rPr>
        <w:t>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(as amended).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w:t>
      </w:r>
    </w:p>
    <w:p>
      <w:pPr>
        <w:spacing w:after="0" w:line="74"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7"/>
          <w:szCs w:val="17"/>
          <w:color w:val="auto"/>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informed consent forms);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spacing w:after="0" w:line="78" w:lineRule="exact"/>
        <w:rPr>
          <w:sz w:val="20"/>
          <w:szCs w:val="20"/>
          <w:color w:val="auto"/>
        </w:rPr>
      </w:pPr>
    </w:p>
    <w:p>
      <w:pPr>
        <w:jc w:val="both"/>
        <w:ind w:right="80" w:firstLine="382"/>
        <w:spacing w:after="0" w:line="272" w:lineRule="auto"/>
        <w:rPr>
          <w:sz w:val="20"/>
          <w:szCs w:val="20"/>
          <w:color w:val="auto"/>
        </w:rPr>
      </w:pPr>
      <w:r>
        <w:rPr>
          <w:rFonts w:ascii="Times New Roman" w:cs="Times New Roman" w:eastAsia="Times New Roman" w:hAnsi="Times New Roman"/>
          <w:sz w:val="16"/>
          <w:szCs w:val="16"/>
          <w:color w:val="auto"/>
        </w:rPr>
        <w:t>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CJEU in its Schrems II judgment limited how organizations could lawfully transfer personal data from the EEA to the U.S. by invalidating the EU-U.S.</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w:t>
      </w:r>
    </w:p>
    <w:p>
      <w:pPr>
        <w:spacing w:after="0" w:line="63" w:lineRule="exact"/>
        <w:rPr>
          <w:sz w:val="20"/>
          <w:szCs w:val="20"/>
          <w:color w:val="auto"/>
        </w:rPr>
      </w:pPr>
    </w:p>
    <w:p>
      <w:pPr>
        <w:ind w:right="340" w:firstLine="382"/>
        <w:spacing w:after="0" w:line="281" w:lineRule="auto"/>
        <w:rPr>
          <w:sz w:val="20"/>
          <w:szCs w:val="20"/>
          <w:color w:val="auto"/>
        </w:rPr>
      </w:pPr>
      <w:r>
        <w:rPr>
          <w:rFonts w:ascii="Times New Roman" w:cs="Times New Roman" w:eastAsia="Times New Roman" w:hAnsi="Times New Roman"/>
          <w:sz w:val="16"/>
          <w:szCs w:val="16"/>
          <w:color w:val="auto"/>
        </w:rPr>
        <w:t>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0" w:name="page71"/>
    <w:bookmarkEnd w:id="70"/>
    <w:p>
      <w:pPr>
        <w:ind w:right="20"/>
        <w:spacing w:after="0" w:line="279" w:lineRule="auto"/>
        <w:rPr>
          <w:sz w:val="20"/>
          <w:szCs w:val="20"/>
          <w:color w:val="auto"/>
        </w:rPr>
      </w:pPr>
      <w:r>
        <w:rPr>
          <w:rFonts w:ascii="Times New Roman" w:cs="Times New Roman" w:eastAsia="Times New Roman" w:hAnsi="Times New Roman"/>
          <w:sz w:val="17"/>
          <w:szCs w:val="17"/>
          <w:color w:val="auto"/>
        </w:rPr>
        <w:t>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w:t>
      </w:r>
    </w:p>
    <w:p>
      <w:pPr>
        <w:spacing w:after="0" w:line="55"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7"/>
          <w:szCs w:val="17"/>
          <w:color w:val="auto"/>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spacing w:after="0" w:line="68"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7"/>
          <w:szCs w:val="17"/>
          <w:color w:val="auto"/>
        </w:rPr>
        <w:t>We have in the past conducted, and in the future may commence, clinical trials in the EEA, the U.K. and Switzerland. In the event we commence clinical trials in these jurisdictions,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spacing w:after="0" w:line="77" w:lineRule="exact"/>
        <w:rPr>
          <w:sz w:val="20"/>
          <w:szCs w:val="20"/>
          <w:color w:val="auto"/>
        </w:rPr>
      </w:pPr>
    </w:p>
    <w:p>
      <w:pPr>
        <w:ind w:right="120" w:firstLine="382"/>
        <w:spacing w:after="0" w:line="255" w:lineRule="auto"/>
        <w:rPr>
          <w:sz w:val="20"/>
          <w:szCs w:val="20"/>
          <w:color w:val="auto"/>
        </w:rPr>
      </w:pPr>
      <w:r>
        <w:rPr>
          <w:rFonts w:ascii="Times New Roman" w:cs="Times New Roman" w:eastAsia="Times New Roman" w:hAnsi="Times New Roman"/>
          <w:sz w:val="17"/>
          <w:szCs w:val="17"/>
          <w:color w:val="auto"/>
        </w:rPr>
        <w:t>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74"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7"/>
          <w:szCs w:val="17"/>
          <w:color w:val="auto"/>
        </w:rPr>
        <w:t>The European Health Data Space Regulations (the EHDS Regulations) came into force on March 26, 2025. The aims of the EHDS Regulations are to provide individuals with more control over their electronic health data, enable cross-border sharing of European Health Data (EHD) between national EU healthcare systems and facilitate the sharing of EHD for secondary research purposes. The EHDS Regulations impose new obligations, but also create opportunities for companies engaged in health-related research to share and access health data on a large scale. Although the EHDS Regulations have come into force, key obligations will not apply until March 2029.</w:t>
      </w:r>
    </w:p>
    <w:p>
      <w:pPr>
        <w:spacing w:after="0" w:line="70" w:lineRule="exact"/>
        <w:rPr>
          <w:sz w:val="20"/>
          <w:szCs w:val="20"/>
          <w:color w:val="auto"/>
        </w:rPr>
      </w:pPr>
    </w:p>
    <w:p>
      <w:pPr>
        <w:ind w:right="300" w:firstLine="382"/>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5" w:lineRule="exact"/>
        <w:rPr>
          <w:sz w:val="20"/>
          <w:szCs w:val="20"/>
          <w:color w:val="auto"/>
        </w:rPr>
      </w:pPr>
    </w:p>
    <w:p>
      <w:pPr>
        <w:ind w:firstLine="382"/>
        <w:spacing w:after="0" w:line="281" w:lineRule="auto"/>
        <w:rPr>
          <w:sz w:val="20"/>
          <w:szCs w:val="20"/>
          <w:color w:val="auto"/>
        </w:rPr>
      </w:pPr>
      <w:r>
        <w:rPr>
          <w:rFonts w:ascii="Times New Roman" w:cs="Times New Roman" w:eastAsia="Times New Roman" w:hAnsi="Times New Roman"/>
          <w:sz w:val="16"/>
          <w:szCs w:val="16"/>
          <w:color w:val="auto"/>
        </w:rPr>
        <w:t>On January 31, 2020, the U.K. ceased being a Member State of the EU. The U.K. and the EU signed an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55"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PLN-101095 or our other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or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1" w:name="page72"/>
    <w:bookmarkEnd w:id="71"/>
    <w:p>
      <w:pPr>
        <w:ind w:right="60"/>
        <w:spacing w:after="0" w:line="257" w:lineRule="auto"/>
        <w:rPr>
          <w:sz w:val="20"/>
          <w:szCs w:val="20"/>
          <w:color w:val="auto"/>
        </w:rPr>
      </w:pPr>
      <w:r>
        <w:rPr>
          <w:rFonts w:ascii="Times New Roman" w:cs="Times New Roman" w:eastAsia="Times New Roman" w:hAnsi="Times New Roman"/>
          <w:sz w:val="17"/>
          <w:szCs w:val="17"/>
          <w:color w:val="auto"/>
        </w:rPr>
        <w:t>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PLN-101095 or our other product candidates in the U.K. and/or the EU and restrict our ability to generate revenue and achieve and sustain profitability. If any of these outcomes occur, we may be forced to restrict or delay efforts to seek regulatory approval in the U.K. and/or EU for PLN-101095 or our other product candidates, which could significantly and materially harm our business.</w:t>
      </w:r>
    </w:p>
    <w:p>
      <w:pPr>
        <w:spacing w:after="0" w:line="74" w:lineRule="exact"/>
        <w:rPr>
          <w:sz w:val="20"/>
          <w:szCs w:val="20"/>
          <w:color w:val="auto"/>
        </w:rPr>
      </w:pPr>
    </w:p>
    <w:p>
      <w:pPr>
        <w:ind w:right="140" w:firstLine="382"/>
        <w:spacing w:after="0" w:line="277" w:lineRule="auto"/>
        <w:rPr>
          <w:sz w:val="20"/>
          <w:szCs w:val="20"/>
          <w:color w:val="auto"/>
        </w:rPr>
      </w:pPr>
      <w:r>
        <w:rPr>
          <w:rFonts w:ascii="Times New Roman" w:cs="Times New Roman" w:eastAsia="Times New Roman" w:hAnsi="Times New Roman"/>
          <w:sz w:val="16"/>
          <w:szCs w:val="16"/>
          <w:color w:val="auto"/>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231F20"/>
        </w:rPr>
        <w:t>Changes in U.S. tax law could adversely affect our financial condition and results of operations.</w:t>
      </w:r>
    </w:p>
    <w:p>
      <w:pPr>
        <w:spacing w:after="0" w:line="114"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70" w:lineRule="exact"/>
        <w:rPr>
          <w:sz w:val="20"/>
          <w:szCs w:val="20"/>
          <w:color w:val="auto"/>
        </w:rPr>
      </w:pPr>
    </w:p>
    <w:p>
      <w:pPr>
        <w:ind w:right="32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information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7"/>
          <w:szCs w:val="17"/>
          <w:color w:val="auto"/>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PLN-101095 or our other product candidates could be delayed.</w:t>
      </w:r>
    </w:p>
    <w:p>
      <w:pPr>
        <w:spacing w:after="0" w:line="79"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7"/>
          <w:szCs w:val="17"/>
          <w:color w:val="auto"/>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spacing w:after="0" w:line="76"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7"/>
          <w:szCs w:val="17"/>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2" w:name="page73"/>
    <w:bookmarkEnd w:id="72"/>
    <w:p>
      <w:pPr>
        <w:ind w:right="160"/>
        <w:spacing w:after="0" w:line="259" w:lineRule="auto"/>
        <w:rPr>
          <w:sz w:val="20"/>
          <w:szCs w:val="20"/>
          <w:color w:val="auto"/>
        </w:rPr>
      </w:pPr>
      <w:r>
        <w:rPr>
          <w:rFonts w:ascii="Times New Roman" w:cs="Times New Roman" w:eastAsia="Times New Roman" w:hAnsi="Times New Roman"/>
          <w:sz w:val="17"/>
          <w:szCs w:val="17"/>
          <w:color w:val="auto"/>
        </w:rPr>
        <w:t>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73"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3" w:lineRule="exact"/>
        <w:rPr>
          <w:sz w:val="20"/>
          <w:szCs w:val="20"/>
          <w:color w:val="auto"/>
        </w:rPr>
      </w:pPr>
    </w:p>
    <w:p>
      <w:pPr>
        <w:ind w:right="80" w:firstLine="382"/>
        <w:spacing w:after="0" w:line="257"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114" w:lineRule="exact"/>
        <w:rPr>
          <w:sz w:val="20"/>
          <w:szCs w:val="20"/>
          <w:color w:val="auto"/>
        </w:rPr>
      </w:pPr>
    </w:p>
    <w:p>
      <w:pPr>
        <w:ind w:right="120" w:firstLine="382"/>
        <w:spacing w:after="0" w:line="271" w:lineRule="auto"/>
        <w:rPr>
          <w:sz w:val="20"/>
          <w:szCs w:val="20"/>
          <w:color w:val="auto"/>
        </w:rPr>
      </w:pPr>
      <w:r>
        <w:rPr>
          <w:rFonts w:ascii="Times New Roman" w:cs="Times New Roman" w:eastAsia="Times New Roman" w:hAnsi="Times New Roman"/>
          <w:sz w:val="16"/>
          <w:szCs w:val="16"/>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geopolitical events, such as recent U.S. and Israeli military action against Iran and related disruption in the region, the Russian invasion of Ukraine, conflict in the Middle East and any other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231F20"/>
        </w:rPr>
        <w:t>Use of social media platforms presents risks and challenges.</w:t>
      </w:r>
    </w:p>
    <w:p>
      <w:pPr>
        <w:spacing w:after="0" w:line="114"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7"/>
          <w:szCs w:val="17"/>
          <w:color w:val="auto"/>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72" w:lineRule="exact"/>
        <w:rPr>
          <w:sz w:val="20"/>
          <w:szCs w:val="20"/>
          <w:color w:val="auto"/>
        </w:rPr>
      </w:pPr>
    </w:p>
    <w:p>
      <w:pPr>
        <w:ind w:right="100" w:firstLine="382"/>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4" w:lineRule="exact"/>
        <w:rPr>
          <w:sz w:val="20"/>
          <w:szCs w:val="20"/>
          <w:color w:val="auto"/>
        </w:rPr>
      </w:pPr>
    </w:p>
    <w:p>
      <w:pPr>
        <w:ind w:right="240" w:firstLine="382"/>
        <w:spacing w:after="0" w:line="279" w:lineRule="auto"/>
        <w:rPr>
          <w:sz w:val="20"/>
          <w:szCs w:val="20"/>
          <w:color w:val="auto"/>
        </w:rPr>
      </w:pPr>
      <w:r>
        <w:rPr>
          <w:rFonts w:ascii="Times New Roman" w:cs="Times New Roman" w:eastAsia="Times New Roman" w:hAnsi="Times New Roman"/>
          <w:sz w:val="17"/>
          <w:szCs w:val="17"/>
          <w:color w:val="auto"/>
        </w:rPr>
        <w:t>None of the Company's directors or officers adopted, modified or terminated a Rule 10b5-1 trading arrangement or a non-Rule 10b5-1 trading arrangement in the three months ended March 31, 2026, as terms are defined under Item 408(a) of Regulation S-K.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1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760" w:type="dxa"/>
            <w:vAlign w:val="bottom"/>
            <w:gridSpan w:val="8"/>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7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00" w:type="dxa"/>
            <w:vAlign w:val="bottom"/>
            <w:tcBorders>
              <w:top w:val="single" w:sz="8" w:color="auto"/>
            </w:tcBorders>
            <w:gridSpan w:val="2"/>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820" w:type="dxa"/>
            <w:vAlign w:val="bottom"/>
            <w:tcBorders>
              <w:top w:val="single" w:sz="8" w:color="auto"/>
            </w:tcBorders>
            <w:gridSpan w:val="11"/>
          </w:tcPr>
          <w:p>
            <w:pPr>
              <w:spacing w:after="0"/>
              <w:rPr>
                <w:rFonts w:ascii="Times New Roman" w:cs="Times New Roman" w:eastAsia="Times New Roman" w:hAnsi="Times New Roman"/>
                <w:sz w:val="17"/>
                <w:szCs w:val="17"/>
                <w:color w:val="0000FF"/>
                <w:w w:val="99"/>
              </w:rPr>
            </w:pPr>
            <w:hyperlink r:id="rId93">
              <w:r>
                <w:rPr>
                  <w:rFonts w:ascii="Times New Roman" w:cs="Times New Roman" w:eastAsia="Times New Roman" w:hAnsi="Times New Roman"/>
                  <w:sz w:val="17"/>
                  <w:szCs w:val="17"/>
                  <w:color w:val="0000FF"/>
                  <w:w w:val="99"/>
                </w:rPr>
                <w:t>Amended and Restated Certificate of Incorporation of the Registrant, as currently in effect (incorporated by reference to Exhibit 3</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40" w:type="dxa"/>
            <w:vAlign w:val="bottom"/>
            <w:tcBorders>
              <w:top w:val="single" w:sz="8" w:color="0000FF"/>
              <w:bottom w:val="single" w:sz="8" w:color="0000FF"/>
            </w:tcBorders>
            <w:gridSpan w:val="6"/>
          </w:tcPr>
          <w:p>
            <w:pPr>
              <w:spacing w:after="0" w:line="14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Registrant’s Quarterly Report on Form 10-Q (File No. 001-39303) filed on August 11, 2020).</w:t>
              </w:r>
            </w:hyperlink>
          </w:p>
        </w:tc>
        <w:tc>
          <w:tcPr>
            <w:tcW w:w="24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00" w:type="dxa"/>
            <w:vAlign w:val="bottom"/>
            <w:gridSpan w:val="2"/>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Certificate of Amendment to the Amended and Restated Certificate of Incorporation of the Registrant, as currently in effect (inco</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0"/>
          </w:tcPr>
          <w:p>
            <w:pPr>
              <w:spacing w:after="0" w:line="14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by reference to Exhibit 3.1 to the Registrant's Current Report on Form 8-K (File No. 001-39303) filed on June 9, 2025).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00" w:type="dxa"/>
            <w:vAlign w:val="bottom"/>
            <w:gridSpan w:val="2"/>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w w:val="99"/>
              </w:rPr>
            </w:pPr>
            <w:hyperlink r:id="rId95">
              <w:r>
                <w:rPr>
                  <w:rFonts w:ascii="Times New Roman" w:cs="Times New Roman" w:eastAsia="Times New Roman" w:hAnsi="Times New Roman"/>
                  <w:sz w:val="17"/>
                  <w:szCs w:val="17"/>
                  <w:color w:val="0000FF"/>
                  <w:w w:val="99"/>
                </w:rPr>
                <w:t>Certificate of Designation of Series A Junior Participating Preferred Stock (incorporated by reference to Exhibit 3.1 to the Registr</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4"/>
          </w:tcPr>
          <w:p>
            <w:pPr>
              <w:spacing w:after="0" w:line="14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Current Report on Form 8-K (File No. 001-39303) filed March 13, 2025).</w:t>
              </w:r>
            </w:hyperlink>
          </w:p>
        </w:tc>
        <w:tc>
          <w:tcPr>
            <w:tcW w:w="37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00" w:type="dxa"/>
            <w:vAlign w:val="bottom"/>
            <w:gridSpan w:val="2"/>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4</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w w:val="99"/>
              </w:rPr>
            </w:pPr>
            <w:hyperlink r:id="rId96">
              <w:r>
                <w:rPr>
                  <w:rFonts w:ascii="Times New Roman" w:cs="Times New Roman" w:eastAsia="Times New Roman" w:hAnsi="Times New Roman"/>
                  <w:sz w:val="17"/>
                  <w:szCs w:val="17"/>
                  <w:color w:val="0000FF"/>
                  <w:w w:val="99"/>
                </w:rPr>
                <w:t>Third Amended and Restated Bylaws of the Registrant, as currently in effect (incorporated by reference to Exhibit 3.1 to the Regi</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5"/>
          </w:tcPr>
          <w:p>
            <w:pPr>
              <w:spacing w:after="0" w:line="14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Current Report on Form 8-K (File No. 001-39303) filed on September 27, 2024).</w:t>
              </w:r>
            </w:hyperlink>
          </w:p>
        </w:tc>
        <w:tc>
          <w:tcPr>
            <w:tcW w:w="32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340" w:type="dxa"/>
            <w:vAlign w:val="bottom"/>
            <w:gridSpan w:val="3"/>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w w:val="99"/>
              </w:rPr>
            </w:pPr>
            <w:hyperlink r:id="rId97">
              <w:r>
                <w:rPr>
                  <w:rFonts w:ascii="Times New Roman" w:cs="Times New Roman" w:eastAsia="Times New Roman" w:hAnsi="Times New Roman"/>
                  <w:sz w:val="17"/>
                  <w:szCs w:val="17"/>
                  <w:color w:val="0000FF"/>
                  <w:w w:val="99"/>
                </w:rPr>
                <w:t>Stockholder Rights Agreement, dated as of March 12, 2025, by and between the Company and Computershare Trust Company, N</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0"/>
          </w:tcPr>
          <w:p>
            <w:pPr>
              <w:spacing w:after="0" w:line="14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rights agent (which includes the Form of Rights Certificate as Exhibit B thereto) (incorporated by reference to Exhibit 4.1 to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00" w:type="dxa"/>
            <w:vAlign w:val="bottom"/>
            <w:tcBorders>
              <w:top w:val="single" w:sz="8" w:color="0000FF"/>
            </w:tcBorders>
            <w:gridSpan w:val="9"/>
          </w:tcPr>
          <w:p>
            <w:pPr>
              <w:spacing w:after="0" w:line="14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Company’s Registration Statement on Form 8-A (File No. 001-39303) filed on March 13, 2025</w:t>
              </w:r>
              <w:r>
                <w:rPr>
                  <w:rFonts w:ascii="Times New Roman" w:cs="Times New Roman" w:eastAsia="Times New Roman" w:hAnsi="Times New Roman"/>
                  <w:sz w:val="16"/>
                  <w:szCs w:val="16"/>
                  <w:color w:val="000000"/>
                </w:rPr>
                <w:t>.</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340" w:type="dxa"/>
            <w:vAlign w:val="bottom"/>
            <w:gridSpan w:val="3"/>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w w:val="99"/>
              </w:rPr>
            </w:pPr>
            <w:hyperlink r:id="rId98">
              <w:r>
                <w:rPr>
                  <w:rFonts w:ascii="Times New Roman" w:cs="Times New Roman" w:eastAsia="Times New Roman" w:hAnsi="Times New Roman"/>
                  <w:sz w:val="17"/>
                  <w:szCs w:val="17"/>
                  <w:color w:val="0000FF"/>
                  <w:w w:val="99"/>
                </w:rPr>
                <w:t>Amendment to Stockholder Rights Agreement, dated as of March 3, 2026, by and between the Company and Computershare Trus</w:t>
              </w:r>
            </w:hyperlink>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20" w:type="dxa"/>
            <w:vAlign w:val="bottom"/>
            <w:tcBorders>
              <w:top w:val="single" w:sz="8" w:color="0000FF"/>
            </w:tcBorders>
            <w:gridSpan w:val="11"/>
          </w:tcPr>
          <w:p>
            <w:pPr>
              <w:spacing w:after="0" w:line="14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Company, N.A., as rights agent (incorporated by reference to Exhibit 4.2 to the Registrant's Current Report on Form 8-K (File No</w:t>
              </w:r>
            </w:hyperlink>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0"/>
          </w:tcPr>
          <w:p>
            <w:pPr>
              <w:spacing w:after="0" w:line="14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39303) filed on March 3, 2026.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00"/>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w w:val="99"/>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0"/>
          </w:tcPr>
          <w:p>
            <w:pPr>
              <w:spacing w:after="0" w:line="145"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00"/>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0"/>
          </w:tcPr>
          <w:p>
            <w:pPr>
              <w:spacing w:after="0" w:line="145"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00"/>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w w:val="99"/>
              </w:rPr>
              <w:t>Certification of Chief Executive Officer and Chief Financial Officer pursuant to 18 U.S.C. Section 1350, as adopted pursuant to S</w:t>
            </w:r>
          </w:p>
        </w:tc>
        <w:tc>
          <w:tcPr>
            <w:tcW w:w="0" w:type="dxa"/>
            <w:vAlign w:val="bottom"/>
          </w:tcPr>
          <w:p>
            <w:pPr>
              <w:spacing w:after="0"/>
              <w:rPr>
                <w:sz w:val="1"/>
                <w:szCs w:val="1"/>
                <w:color w:val="auto"/>
              </w:rPr>
            </w:pPr>
          </w:p>
        </w:tc>
      </w:tr>
      <w:tr>
        <w:trPr>
          <w:trHeight w:val="146"/>
        </w:trPr>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906 of the Sarbanes-Oxley Act of 2002.</w:t>
            </w:r>
          </w:p>
        </w:tc>
        <w:tc>
          <w:tcPr>
            <w:tcW w:w="60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w w:val="99"/>
              </w:rPr>
              <w:t>XBRL Instance Document - the Instance Document does not appear in the Interactive Data File because its XBRL tags are embed</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0" w:type="dxa"/>
            <w:vAlign w:val="bottom"/>
          </w:tcPr>
          <w:p>
            <w:pPr>
              <w:spacing w:after="0"/>
              <w:rPr>
                <w:sz w:val="1"/>
                <w:szCs w:val="1"/>
                <w:color w:val="auto"/>
              </w:rPr>
            </w:pPr>
          </w:p>
        </w:tc>
      </w:tr>
      <w:tr>
        <w:trPr>
          <w:trHeight w:val="331"/>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306"/>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tc>
        <w:tc>
          <w:tcPr>
            <w:tcW w:w="0" w:type="dxa"/>
            <w:vAlign w:val="bottom"/>
          </w:tcPr>
          <w:p>
            <w:pPr>
              <w:spacing w:after="0"/>
              <w:rPr>
                <w:sz w:val="1"/>
                <w:szCs w:val="1"/>
                <w:color w:val="auto"/>
              </w:rPr>
            </w:pPr>
          </w:p>
        </w:tc>
      </w:tr>
      <w:tr>
        <w:trPr>
          <w:trHeight w:val="306"/>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Document</w:t>
            </w:r>
          </w:p>
        </w:tc>
        <w:tc>
          <w:tcPr>
            <w:tcW w:w="0" w:type="dxa"/>
            <w:vAlign w:val="bottom"/>
          </w:tcPr>
          <w:p>
            <w:pPr>
              <w:spacing w:after="0"/>
              <w:rPr>
                <w:sz w:val="1"/>
                <w:szCs w:val="1"/>
                <w:color w:val="auto"/>
              </w:rPr>
            </w:pPr>
          </w:p>
        </w:tc>
      </w:tr>
      <w:tr>
        <w:trPr>
          <w:trHeight w:val="306"/>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Label Linkbase Document</w:t>
            </w:r>
          </w:p>
        </w:tc>
        <w:tc>
          <w:tcPr>
            <w:tcW w:w="0" w:type="dxa"/>
            <w:vAlign w:val="bottom"/>
          </w:tcPr>
          <w:p>
            <w:pPr>
              <w:spacing w:after="0"/>
              <w:rPr>
                <w:sz w:val="1"/>
                <w:szCs w:val="1"/>
                <w:color w:val="auto"/>
              </w:rPr>
            </w:pPr>
          </w:p>
        </w:tc>
      </w:tr>
      <w:tr>
        <w:trPr>
          <w:trHeight w:val="306"/>
        </w:trPr>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Presentation Linkbase Document</w:t>
            </w:r>
          </w:p>
        </w:tc>
        <w:tc>
          <w:tcPr>
            <w:tcW w:w="0" w:type="dxa"/>
            <w:vAlign w:val="bottom"/>
          </w:tcPr>
          <w:p>
            <w:pPr>
              <w:spacing w:after="0"/>
              <w:rPr>
                <w:sz w:val="1"/>
                <w:szCs w:val="1"/>
                <w:color w:val="auto"/>
              </w:rPr>
            </w:pPr>
          </w:p>
        </w:tc>
      </w:tr>
      <w:tr>
        <w:trPr>
          <w:trHeight w:val="306"/>
        </w:trPr>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947" w:right="239" w:bottom="1440" w:gutter="0" w:footer="0" w:header="0"/>
        </w:sectPr>
      </w:pPr>
    </w:p>
    <w:bookmarkStart w:id="74" w:name="page75"/>
    <w:bookmarkEnd w:id="74"/>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4" w:lineRule="exact"/>
        <w:rPr>
          <w:sz w:val="20"/>
          <w:szCs w:val="20"/>
          <w:color w:val="auto"/>
        </w:rPr>
      </w:pPr>
    </w:p>
    <w:p>
      <w:pPr>
        <w:ind w:left="920" w:hanging="918"/>
        <w:spacing w:after="0" w:line="255" w:lineRule="auto"/>
        <w:tabs>
          <w:tab w:leader="none" w:pos="36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right="120" w:firstLine="459"/>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Date: May 11, 2026</w:t>
      </w:r>
    </w:p>
    <w:p>
      <w:pPr>
        <w:spacing w:after="0" w:line="136" w:lineRule="exact"/>
        <w:rPr>
          <w:sz w:val="20"/>
          <w:szCs w:val="20"/>
          <w:color w:val="auto"/>
        </w:rPr>
      </w:pPr>
    </w:p>
    <w:tbl>
      <w:tblPr>
        <w:tblLayout w:type="fixed"/>
        <w:tblInd w:w="492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PLIANT THERAPEUTICS, INC.</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Bernard Coulie</w:t>
            </w:r>
          </w:p>
        </w:tc>
      </w:tr>
      <w:tr>
        <w:trPr>
          <w:trHeight w:val="206"/>
        </w:trPr>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Bernard Coulie, M.D., Ph.D.</w:t>
            </w:r>
          </w:p>
        </w:tc>
      </w:tr>
      <w:tr>
        <w:trPr>
          <w:trHeight w:val="219"/>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Keith Cummings</w:t>
            </w:r>
          </w:p>
        </w:tc>
      </w:tr>
      <w:tr>
        <w:trPr>
          <w:trHeight w:val="206"/>
        </w:trPr>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Keith Cummings, M.D., M.B.A.</w:t>
            </w:r>
          </w:p>
        </w:tc>
      </w:tr>
      <w:tr>
        <w:trPr>
          <w:trHeight w:val="219"/>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20"/>
          </w:cols>
          <w:pgMar w:left="320" w:top="845"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Bernard Coulie, certify that:</w:t>
      </w:r>
    </w:p>
    <w:p>
      <w:pPr>
        <w:spacing w:after="0" w:line="110" w:lineRule="exact"/>
        <w:rPr>
          <w:sz w:val="20"/>
          <w:szCs w:val="20"/>
          <w:color w:val="auto"/>
        </w:rPr>
      </w:pPr>
    </w:p>
    <w:p>
      <w:pPr>
        <w:ind w:left="1060" w:hanging="691"/>
        <w:spacing w:after="0"/>
        <w:tabs>
          <w:tab w:leader="none" w:pos="10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Pliant Therapeutics, Inc.;</w:t>
      </w:r>
    </w:p>
    <w:p>
      <w:pPr>
        <w:spacing w:after="0" w:line="110" w:lineRule="exact"/>
        <w:rPr>
          <w:rFonts w:ascii="Times New Roman" w:cs="Times New Roman" w:eastAsia="Times New Roman" w:hAnsi="Times New Roman"/>
          <w:sz w:val="17"/>
          <w:szCs w:val="17"/>
          <w:color w:val="auto"/>
        </w:rPr>
      </w:pPr>
    </w:p>
    <w:p>
      <w:pPr>
        <w:jc w:val="both"/>
        <w:ind w:left="1080" w:right="300" w:hanging="711"/>
        <w:spacing w:after="0" w:line="264" w:lineRule="auto"/>
        <w:tabs>
          <w:tab w:leader="none" w:pos="10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7"/>
          <w:szCs w:val="17"/>
          <w:color w:val="auto"/>
        </w:rPr>
      </w:pPr>
    </w:p>
    <w:p>
      <w:pPr>
        <w:ind w:left="1080" w:right="260" w:hanging="711"/>
        <w:spacing w:after="0" w:line="279" w:lineRule="auto"/>
        <w:tabs>
          <w:tab w:leader="none" w:pos="10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080" w:right="300" w:hanging="711"/>
        <w:spacing w:after="0" w:line="264" w:lineRule="auto"/>
        <w:tabs>
          <w:tab w:leader="none" w:pos="10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7"/>
          <w:szCs w:val="17"/>
          <w:color w:val="auto"/>
        </w:rPr>
      </w:pPr>
    </w:p>
    <w:p>
      <w:pPr>
        <w:ind w:left="2300" w:right="100" w:hanging="617"/>
        <w:spacing w:after="0" w:line="264" w:lineRule="auto"/>
        <w:tabs>
          <w:tab w:leader="none" w:pos="229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7"/>
          <w:szCs w:val="17"/>
          <w:color w:val="auto"/>
        </w:rPr>
      </w:pPr>
    </w:p>
    <w:p>
      <w:pPr>
        <w:ind w:left="2300" w:right="400" w:hanging="617"/>
        <w:spacing w:after="0" w:line="264" w:lineRule="auto"/>
        <w:tabs>
          <w:tab w:leader="none" w:pos="228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7"/>
          <w:szCs w:val="17"/>
          <w:color w:val="auto"/>
        </w:rPr>
      </w:pPr>
    </w:p>
    <w:p>
      <w:pPr>
        <w:ind w:left="2300" w:right="60" w:hanging="617"/>
        <w:spacing w:after="0" w:line="264" w:lineRule="auto"/>
        <w:tabs>
          <w:tab w:leader="none" w:pos="229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7"/>
          <w:szCs w:val="17"/>
          <w:color w:val="auto"/>
        </w:rPr>
      </w:pPr>
    </w:p>
    <w:p>
      <w:pPr>
        <w:ind w:left="2300" w:right="160" w:hanging="617"/>
        <w:spacing w:after="0" w:line="264" w:lineRule="auto"/>
        <w:tabs>
          <w:tab w:leader="none" w:pos="228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7"/>
          <w:szCs w:val="17"/>
          <w:color w:val="auto"/>
        </w:rPr>
      </w:pPr>
    </w:p>
    <w:p>
      <w:pPr>
        <w:ind w:left="1080" w:right="200" w:hanging="711"/>
        <w:spacing w:after="0" w:line="279" w:lineRule="auto"/>
        <w:tabs>
          <w:tab w:leader="none" w:pos="10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2300" w:hanging="617"/>
        <w:spacing w:after="0" w:line="279" w:lineRule="auto"/>
        <w:tabs>
          <w:tab w:leader="none" w:pos="229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2300" w:right="280" w:hanging="617"/>
        <w:spacing w:after="0" w:line="279" w:lineRule="auto"/>
        <w:tabs>
          <w:tab w:leader="none" w:pos="228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4034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Bernard Coulie, M.D., Ph.D.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4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Keith Cummings, certify that:</w:t>
      </w:r>
    </w:p>
    <w:p>
      <w:pPr>
        <w:spacing w:after="0" w:line="110" w:lineRule="exact"/>
        <w:rPr>
          <w:sz w:val="20"/>
          <w:szCs w:val="20"/>
          <w:color w:val="auto"/>
        </w:rPr>
      </w:pPr>
    </w:p>
    <w:p>
      <w:pPr>
        <w:ind w:left="1220" w:hanging="698"/>
        <w:spacing w:after="0"/>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Pliant Therapeutics, Inc.;</w:t>
      </w:r>
    </w:p>
    <w:p>
      <w:pPr>
        <w:spacing w:after="0" w:line="110" w:lineRule="exact"/>
        <w:rPr>
          <w:rFonts w:ascii="Times New Roman" w:cs="Times New Roman" w:eastAsia="Times New Roman" w:hAnsi="Times New Roman"/>
          <w:sz w:val="17"/>
          <w:szCs w:val="17"/>
          <w:color w:val="auto"/>
        </w:rPr>
      </w:pPr>
    </w:p>
    <w:p>
      <w:pPr>
        <w:jc w:val="both"/>
        <w:ind w:left="1220" w:right="140" w:hanging="698"/>
        <w:spacing w:after="0" w:line="264"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7"/>
          <w:szCs w:val="17"/>
          <w:color w:val="auto"/>
        </w:rPr>
      </w:pPr>
    </w:p>
    <w:p>
      <w:pPr>
        <w:ind w:left="1220" w:right="120" w:hanging="698"/>
        <w:spacing w:after="0" w:line="279"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220" w:right="140" w:hanging="698"/>
        <w:spacing w:after="0" w:line="264"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7"/>
          <w:szCs w:val="17"/>
          <w:color w:val="auto"/>
        </w:rPr>
      </w:pPr>
    </w:p>
    <w:p>
      <w:pPr>
        <w:ind w:left="2300" w:right="100" w:hanging="617"/>
        <w:spacing w:after="0" w:line="264" w:lineRule="auto"/>
        <w:tabs>
          <w:tab w:leader="none" w:pos="2292"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7"/>
          <w:szCs w:val="17"/>
          <w:color w:val="auto"/>
        </w:rPr>
      </w:pPr>
    </w:p>
    <w:p>
      <w:pPr>
        <w:ind w:left="2300" w:right="400" w:hanging="617"/>
        <w:spacing w:after="0" w:line="264" w:lineRule="auto"/>
        <w:tabs>
          <w:tab w:leader="none" w:pos="228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7"/>
          <w:szCs w:val="17"/>
          <w:color w:val="auto"/>
        </w:rPr>
      </w:pPr>
    </w:p>
    <w:p>
      <w:pPr>
        <w:ind w:left="2300" w:right="60" w:hanging="617"/>
        <w:spacing w:after="0" w:line="264" w:lineRule="auto"/>
        <w:tabs>
          <w:tab w:leader="none" w:pos="2292"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7"/>
          <w:szCs w:val="17"/>
          <w:color w:val="auto"/>
        </w:rPr>
      </w:pPr>
    </w:p>
    <w:p>
      <w:pPr>
        <w:ind w:left="2300" w:right="160" w:hanging="617"/>
        <w:spacing w:after="0" w:line="264" w:lineRule="auto"/>
        <w:tabs>
          <w:tab w:leader="none" w:pos="228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7"/>
          <w:szCs w:val="17"/>
          <w:color w:val="auto"/>
        </w:rPr>
      </w:pPr>
    </w:p>
    <w:p>
      <w:pPr>
        <w:ind w:left="1220" w:right="40" w:hanging="698"/>
        <w:spacing w:after="0" w:line="279"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2300" w:hanging="617"/>
        <w:spacing w:after="0" w:line="279" w:lineRule="auto"/>
        <w:tabs>
          <w:tab w:leader="none" w:pos="2292"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2300" w:right="280" w:hanging="617"/>
        <w:spacing w:after="0" w:line="279" w:lineRule="auto"/>
        <w:tabs>
          <w:tab w:leader="none" w:pos="228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4034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Keith Cummings, M.D., MBA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048"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68" w:lineRule="exact"/>
        <w:rPr>
          <w:sz w:val="20"/>
          <w:szCs w:val="20"/>
          <w:color w:val="auto"/>
        </w:rPr>
      </w:pPr>
    </w:p>
    <w:p>
      <w:pPr>
        <w:ind w:left="920" w:right="500" w:hanging="918"/>
        <w:spacing w:after="0" w:line="279" w:lineRule="auto"/>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54" w:lineRule="exact"/>
        <w:rPr>
          <w:rFonts w:ascii="Times New Roman" w:cs="Times New Roman" w:eastAsia="Times New Roman" w:hAnsi="Times New Roman"/>
          <w:sz w:val="17"/>
          <w:szCs w:val="17"/>
          <w:color w:val="auto"/>
        </w:rPr>
      </w:pPr>
    </w:p>
    <w:p>
      <w:pPr>
        <w:ind w:left="920" w:right="600" w:hanging="918"/>
        <w:spacing w:after="0" w:line="279" w:lineRule="auto"/>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11, 2026</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40347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Bernard Coulie, M.D., Ph.D.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4034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Keith Cummings, M.D., MBA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184" w:lineRule="exact"/>
        <w:rPr>
          <w:sz w:val="20"/>
          <w:szCs w:val="20"/>
          <w:color w:val="auto"/>
        </w:rPr>
      </w:pPr>
    </w:p>
    <w:p>
      <w:pPr>
        <w:ind w:right="40" w:firstLine="611"/>
        <w:spacing w:after="0" w:line="264"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Roman"/>
      <w:start w:val="4"/>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lvl w:ilvl="1">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383"/>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92" Type="http://schemas.openxmlformats.org/officeDocument/2006/relationships/hyperlink" Target="https://www.sec.gov/Archives/edgar/data/1746473/000156459020039327/plrx-ex31_301.htm" TargetMode="External"/><Relationship Id="rId93" Type="http://schemas.openxmlformats.org/officeDocument/2006/relationships/hyperlink" Target="https://www.sec.gov/Archives/edgar/data/0001746473/000156459020039327/plrx-ex31_301.htm" TargetMode="External"/><Relationship Id="rId94" Type="http://schemas.openxmlformats.org/officeDocument/2006/relationships/hyperlink" Target="https://www.sec.gov/Archives/edgar/data/1746473/000174647325000105/certificateofamendmenttoam.htm" TargetMode="External"/><Relationship Id="rId95" Type="http://schemas.openxmlformats.org/officeDocument/2006/relationships/hyperlink" Target="https://www.sec.gov/Archives/edgar/data/1746473/000119312525053509/d860128dex31.htm" TargetMode="External"/><Relationship Id="rId96" Type="http://schemas.openxmlformats.org/officeDocument/2006/relationships/hyperlink" Target="https://www.sec.gov/Archives/edgar/data/1746473/000174647324000153/plrx-thirdamendedandrestat.htm" TargetMode="External"/><Relationship Id="rId97" Type="http://schemas.openxmlformats.org/officeDocument/2006/relationships/hyperlink" Target="https://www.sec.gov/Archives/edgar/data/1746473/000119312525053509/d860128dex41.htm" TargetMode="External"/><Relationship Id="rId98" Type="http://schemas.openxmlformats.org/officeDocument/2006/relationships/hyperlink" Target="https://www.sec.gov/Archives/edgar/data/1746473/000174647326000024/pliant-rightsagreement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2026-05-11T15:24:34Z</dcterms:created>
  <dcterms:modified xsi:type="dcterms:W3CDTF">2026-05-11T15:24:34Z</dcterms:modified>
</cp:coreProperties>
</file>