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460" w:right="720" w:hanging="452"/>
        <w:spacing w:after="0" w:line="249" w:lineRule="auto"/>
        <w:tabs>
          <w:tab w:leader="none" w:pos="4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PLIANT THERAPEUTICS, INC.</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7"/>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47-4272481</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98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9"/>
        </w:trPr>
        <w:tc>
          <w:tcPr>
            <w:tcW w:w="4120" w:type="dxa"/>
            <w:vAlign w:val="bottom"/>
          </w:tcPr>
          <w:p>
            <w:pPr>
              <w:jc w:val="center"/>
              <w:ind w:right="1967"/>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9"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3"/>
        </w:trPr>
        <w:tc>
          <w:tcPr>
            <w:tcW w:w="4120" w:type="dxa"/>
            <w:vAlign w:val="bottom"/>
          </w:tcPr>
          <w:p>
            <w:pPr>
              <w:jc w:val="center"/>
              <w:ind w:right="1967"/>
              <w:spacing w:after="0"/>
              <w:rPr>
                <w:sz w:val="20"/>
                <w:szCs w:val="20"/>
                <w:color w:val="auto"/>
              </w:rPr>
            </w:pPr>
            <w:r>
              <w:rPr>
                <w:rFonts w:ascii="Arial" w:cs="Arial" w:eastAsia="Arial" w:hAnsi="Arial"/>
                <w:sz w:val="16"/>
                <w:szCs w:val="16"/>
                <w:b w:val="1"/>
                <w:bCs w:val="1"/>
                <w:color w:val="auto"/>
                <w:w w:val="92"/>
              </w:rPr>
              <w:t>260 Littlefield Avenue</w:t>
            </w:r>
          </w:p>
        </w:tc>
        <w:tc>
          <w:tcPr>
            <w:tcW w:w="3020" w:type="dxa"/>
            <w:vAlign w:val="bottom"/>
            <w:vMerge w:val="restart"/>
          </w:tcPr>
          <w:p>
            <w:pPr>
              <w:jc w:val="right"/>
              <w:ind w:right="186"/>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98"/>
        </w:trPr>
        <w:tc>
          <w:tcPr>
            <w:tcW w:w="4120" w:type="dxa"/>
            <w:vAlign w:val="bottom"/>
          </w:tcPr>
          <w:p>
            <w:pPr>
              <w:jc w:val="center"/>
              <w:ind w:right="1987"/>
              <w:spacing w:after="0"/>
              <w:rPr>
                <w:sz w:val="20"/>
                <w:szCs w:val="20"/>
                <w:color w:val="auto"/>
              </w:rPr>
            </w:pPr>
            <w:r>
              <w:rPr>
                <w:rFonts w:ascii="Arial" w:cs="Arial" w:eastAsia="Arial" w:hAnsi="Arial"/>
                <w:sz w:val="16"/>
                <w:szCs w:val="16"/>
                <w:b w:val="1"/>
                <w:bCs w:val="1"/>
                <w:color w:val="auto"/>
                <w:w w:val="90"/>
              </w:rPr>
              <w:t>South San Francisco, CA</w:t>
            </w:r>
          </w:p>
        </w:tc>
        <w:tc>
          <w:tcPr>
            <w:tcW w:w="3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20" w:type="dxa"/>
            <w:vAlign w:val="bottom"/>
          </w:tcPr>
          <w:p>
            <w:pPr>
              <w:jc w:val="center"/>
              <w:ind w:right="196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481-6770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1"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24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Trading</w:t>
            </w:r>
          </w:p>
        </w:tc>
        <w:tc>
          <w:tcPr>
            <w:tcW w:w="3780" w:type="dxa"/>
            <w:vAlign w:val="bottom"/>
          </w:tcPr>
          <w:p>
            <w:pPr>
              <w:jc w:val="center"/>
              <w:ind w:left="748"/>
              <w:spacing w:after="0"/>
              <w:rPr>
                <w:sz w:val="20"/>
                <w:szCs w:val="20"/>
                <w:color w:val="auto"/>
              </w:rPr>
            </w:pPr>
            <w:r>
              <w:rPr>
                <w:rFonts w:ascii="Arial" w:cs="Arial" w:eastAsia="Arial" w:hAnsi="Arial"/>
                <w:sz w:val="14"/>
                <w:szCs w:val="14"/>
                <w:b w:val="1"/>
                <w:bCs w:val="1"/>
                <w:color w:val="auto"/>
                <w:w w:val="91"/>
              </w:rPr>
              <w:t>Name of Each Exchange on which Securities are</w:t>
            </w:r>
          </w:p>
        </w:tc>
      </w:tr>
      <w:tr>
        <w:trPr>
          <w:trHeight w:val="166"/>
        </w:trPr>
        <w:tc>
          <w:tcPr>
            <w:tcW w:w="3580" w:type="dxa"/>
            <w:vAlign w:val="bottom"/>
          </w:tcPr>
          <w:p>
            <w:pPr>
              <w:jc w:val="center"/>
              <w:ind w:right="868"/>
              <w:spacing w:after="0"/>
              <w:rPr>
                <w:sz w:val="20"/>
                <w:szCs w:val="20"/>
                <w:color w:val="auto"/>
              </w:rPr>
            </w:pPr>
            <w:r>
              <w:rPr>
                <w:rFonts w:ascii="Arial" w:cs="Arial" w:eastAsia="Arial" w:hAnsi="Arial"/>
                <w:sz w:val="14"/>
                <w:szCs w:val="14"/>
                <w:b w:val="1"/>
                <w:bCs w:val="1"/>
                <w:color w:val="auto"/>
                <w:w w:val="91"/>
              </w:rPr>
              <w:t>Title of Each Class of Securities Registered</w:t>
            </w:r>
          </w:p>
        </w:tc>
        <w:tc>
          <w:tcPr>
            <w:tcW w:w="224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Symbol</w:t>
            </w:r>
          </w:p>
        </w:tc>
        <w:tc>
          <w:tcPr>
            <w:tcW w:w="3780" w:type="dxa"/>
            <w:vAlign w:val="bottom"/>
          </w:tcPr>
          <w:p>
            <w:pPr>
              <w:jc w:val="center"/>
              <w:ind w:left="748"/>
              <w:spacing w:after="0"/>
              <w:rPr>
                <w:sz w:val="20"/>
                <w:szCs w:val="20"/>
                <w:color w:val="auto"/>
              </w:rPr>
            </w:pPr>
            <w:r>
              <w:rPr>
                <w:rFonts w:ascii="Arial" w:cs="Arial" w:eastAsia="Arial" w:hAnsi="Arial"/>
                <w:sz w:val="14"/>
                <w:szCs w:val="14"/>
                <w:b w:val="1"/>
                <w:bCs w:val="1"/>
                <w:color w:val="auto"/>
                <w:w w:val="88"/>
              </w:rPr>
              <w:t>Registered</w:t>
            </w:r>
          </w:p>
        </w:tc>
      </w:tr>
      <w:tr>
        <w:trPr>
          <w:trHeight w:val="182"/>
        </w:trPr>
        <w:tc>
          <w:tcPr>
            <w:tcW w:w="3580" w:type="dxa"/>
            <w:vAlign w:val="bottom"/>
          </w:tcPr>
          <w:p>
            <w:pPr>
              <w:jc w:val="center"/>
              <w:ind w:right="868"/>
              <w:spacing w:after="0"/>
              <w:rPr>
                <w:sz w:val="20"/>
                <w:szCs w:val="20"/>
                <w:color w:val="auto"/>
              </w:rPr>
            </w:pPr>
            <w:r>
              <w:rPr>
                <w:rFonts w:ascii="Arial" w:cs="Arial" w:eastAsia="Arial" w:hAnsi="Arial"/>
                <w:sz w:val="14"/>
                <w:szCs w:val="14"/>
                <w:color w:val="auto"/>
                <w:w w:val="91"/>
              </w:rPr>
              <w:t>Common Stock, par value $0.0001 per share</w:t>
            </w:r>
          </w:p>
        </w:tc>
        <w:tc>
          <w:tcPr>
            <w:tcW w:w="2240" w:type="dxa"/>
            <w:vAlign w:val="bottom"/>
          </w:tcPr>
          <w:p>
            <w:pPr>
              <w:jc w:val="center"/>
              <w:ind w:left="48"/>
              <w:spacing w:after="0"/>
              <w:rPr>
                <w:sz w:val="20"/>
                <w:szCs w:val="20"/>
                <w:color w:val="auto"/>
              </w:rPr>
            </w:pPr>
            <w:r>
              <w:rPr>
                <w:rFonts w:ascii="Arial" w:cs="Arial" w:eastAsia="Arial" w:hAnsi="Arial"/>
                <w:sz w:val="14"/>
                <w:szCs w:val="14"/>
                <w:color w:val="auto"/>
                <w:w w:val="98"/>
              </w:rPr>
              <w:t>PLRX</w:t>
            </w:r>
          </w:p>
        </w:tc>
        <w:tc>
          <w:tcPr>
            <w:tcW w:w="3780" w:type="dxa"/>
            <w:vAlign w:val="bottom"/>
          </w:tcPr>
          <w:p>
            <w:pPr>
              <w:jc w:val="center"/>
              <w:ind w:left="748"/>
              <w:spacing w:after="0"/>
              <w:rPr>
                <w:sz w:val="20"/>
                <w:szCs w:val="20"/>
                <w:color w:val="auto"/>
              </w:rPr>
            </w:pPr>
            <w:r>
              <w:rPr>
                <w:rFonts w:ascii="Arial" w:cs="Arial" w:eastAsia="Arial" w:hAnsi="Arial"/>
                <w:sz w:val="14"/>
                <w:szCs w:val="14"/>
                <w:color w:val="auto"/>
                <w:w w:val="93"/>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-317500</wp:posOffset>
            </wp:positionV>
            <wp:extent cx="713232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50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1"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80"/>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June 30, 2020, was $855,889,147.</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9, 2021 was 35,738,192.</w:t>
      </w:r>
    </w:p>
    <w:p>
      <w:pPr>
        <w:spacing w:after="0" w:line="42"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ind w:right="180"/>
        <w:spacing w:after="0" w:line="290" w:lineRule="auto"/>
        <w:rPr>
          <w:sz w:val="20"/>
          <w:szCs w:val="20"/>
          <w:color w:val="auto"/>
        </w:rPr>
      </w:pPr>
      <w:r>
        <w:rPr>
          <w:rFonts w:ascii="Arial" w:cs="Arial" w:eastAsia="Arial" w:hAnsi="Arial"/>
          <w:sz w:val="13"/>
          <w:szCs w:val="13"/>
          <w:color w:val="auto"/>
        </w:rPr>
        <w:t>Portions of the registrant’s definitive Proxy Statement for the 2021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241300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03"/>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Borders>
              <w:top w:val="single" w:sz="8" w:color="0000EE"/>
            </w:tcBorders>
            <w:gridSpan w:val="15"/>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Summary of Risks Associated With Our Business</w:t>
              </w:r>
            </w:hyperlink>
          </w:p>
        </w:tc>
        <w:tc>
          <w:tcPr>
            <w:tcW w:w="4680" w:type="dxa"/>
            <w:vAlign w:val="bottom"/>
            <w:gridSpan w:val="7"/>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9"/>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160" w:type="dxa"/>
            <w:vAlign w:val="bottom"/>
            <w:gridSpan w:val="21"/>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880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8800" w:type="dxa"/>
            <w:vAlign w:val="bottom"/>
            <w:gridSpan w:val="2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Unresolved Staff Comments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Properties</w:t>
              </w:r>
            </w:hyperlink>
          </w:p>
        </w:tc>
        <w:tc>
          <w:tcPr>
            <w:tcW w:w="6760" w:type="dxa"/>
            <w:vAlign w:val="bottom"/>
            <w:gridSpan w:val="13"/>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880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Legal Proceedings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880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Mine Safety Disclosures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9"/>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03">
              <w:r>
                <w:rPr>
                  <w:rFonts w:ascii="Arial" w:cs="Arial" w:eastAsia="Arial" w:hAnsi="Arial"/>
                  <w:sz w:val="18"/>
                  <w:szCs w:val="18"/>
                  <w:b w:val="1"/>
                  <w:bCs w:val="1"/>
                  <w:color w:val="0000EE"/>
                  <w:w w:val="99"/>
                </w:rPr>
                <w:t>PART II</w:t>
              </w:r>
            </w:hyperlink>
          </w:p>
        </w:tc>
        <w:tc>
          <w:tcPr>
            <w:tcW w:w="5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8800" w:type="dxa"/>
            <w:vAlign w:val="bottom"/>
            <w:gridSpan w:val="22"/>
          </w:tcPr>
          <w:p>
            <w:pPr>
              <w:spacing w:after="0"/>
              <w:rPr>
                <w:rFonts w:ascii="Arial" w:cs="Arial" w:eastAsia="Arial" w:hAnsi="Arial"/>
                <w:sz w:val="18"/>
                <w:szCs w:val="18"/>
                <w:color w:val="0000EE"/>
                <w:w w:val="98"/>
              </w:rPr>
            </w:pPr>
            <w:hyperlink w:anchor="page103">
              <w:r>
                <w:rPr>
                  <w:rFonts w:ascii="Arial" w:cs="Arial" w:eastAsia="Arial" w:hAnsi="Arial"/>
                  <w:sz w:val="18"/>
                  <w:szCs w:val="18"/>
                  <w:color w:val="0000EE"/>
                  <w:w w:val="98"/>
                </w:rPr>
                <w:t>Market for Registrant’s Common Equity, Related Stockholder Matters and Issuer Purchases of Equity Securities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Selected Financial Data</w:t>
              </w:r>
            </w:hyperlink>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14">
              <w:r>
                <w:rPr>
                  <w:rFonts w:ascii="Arial" w:cs="Arial" w:eastAsia="Arial" w:hAnsi="Arial"/>
                  <w:sz w:val="18"/>
                  <w:szCs w:val="18"/>
                  <w:color w:val="0000EE"/>
                  <w:w w:val="92"/>
                </w:rPr>
                <w:t>Quantitative and Qualitative Disclosures About Market Risk</w:t>
              </w:r>
            </w:hyperlink>
          </w:p>
        </w:tc>
        <w:tc>
          <w:tcPr>
            <w:tcW w:w="4440" w:type="dxa"/>
            <w:vAlign w:val="bottom"/>
            <w:gridSpan w:val="6"/>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8800" w:type="dxa"/>
            <w:vAlign w:val="bottom"/>
            <w:gridSpan w:val="2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Financial Statements and Supplementary Data</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880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Changes in and Disagreements With Accountants on Accounting and Financial Disclosure</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9"/>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Controls and Procedures</w:t>
              </w:r>
            </w:hyperlink>
          </w:p>
        </w:tc>
        <w:tc>
          <w:tcPr>
            <w:tcW w:w="2300" w:type="dxa"/>
            <w:vAlign w:val="bottom"/>
            <w:gridSpan w:val="3"/>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Other Information</w:t>
              </w:r>
            </w:hyperlink>
          </w:p>
        </w:tc>
        <w:tc>
          <w:tcPr>
            <w:tcW w:w="7040" w:type="dxa"/>
            <w:vAlign w:val="bottom"/>
            <w:gridSpan w:val="15"/>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9"/>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8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4720" w:type="dxa"/>
            <w:vAlign w:val="bottom"/>
            <w:gridSpan w:val="8"/>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880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Security Ownership of Certain Beneficial Owners and Management and Related Stockholder Matters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Principal Accounting Fees and Services</w:t>
              </w:r>
            </w:hyperlink>
          </w:p>
        </w:tc>
        <w:tc>
          <w:tcPr>
            <w:tcW w:w="3360" w:type="dxa"/>
            <w:vAlign w:val="bottom"/>
            <w:gridSpan w:val="5"/>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39"/>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45">
              <w:r>
                <w:rPr>
                  <w:rFonts w:ascii="Arial" w:cs="Arial" w:eastAsia="Arial" w:hAnsi="Arial"/>
                  <w:sz w:val="18"/>
                  <w:szCs w:val="18"/>
                  <w:b w:val="1"/>
                  <w:bCs w:val="1"/>
                  <w:color w:val="0000EE"/>
                  <w:w w:val="98"/>
                </w:rPr>
                <w:t>PART IV</w:t>
              </w:r>
            </w:hyperlink>
          </w:p>
        </w:tc>
        <w:tc>
          <w:tcPr>
            <w:tcW w:w="4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Exhibits, Financial Statement Schedules</w:t>
              </w:r>
            </w:hyperlink>
          </w:p>
        </w:tc>
        <w:tc>
          <w:tcPr>
            <w:tcW w:w="5900" w:type="dxa"/>
            <w:vAlign w:val="bottom"/>
            <w:gridSpan w:val="11"/>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8800" w:type="dxa"/>
            <w:vAlign w:val="bottom"/>
            <w:gridSpan w:val="22"/>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Form 10-K Summary</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27"/>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left="8" w:firstLine="362"/>
        <w:spacing w:after="0" w:line="290" w:lineRule="auto"/>
        <w:rPr>
          <w:sz w:val="20"/>
          <w:szCs w:val="20"/>
          <w:color w:val="auto"/>
        </w:rPr>
      </w:pPr>
      <w:r>
        <w:rPr>
          <w:rFonts w:ascii="Arial" w:cs="Arial" w:eastAsia="Arial" w:hAnsi="Arial"/>
          <w:sz w:val="16"/>
          <w:szCs w:val="16"/>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125" w:lineRule="exact"/>
        <w:rPr>
          <w:sz w:val="20"/>
          <w:szCs w:val="20"/>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368" w:right="8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of our lead product candidate, PLN-74809, as well as PLN-1474 and our other product candidates;</w:t>
      </w:r>
    </w:p>
    <w:p>
      <w:pPr>
        <w:spacing w:after="0" w:line="129"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pandemic which has had an adverse impact on our business, including our preclinical studies and clinical trials;</w:t>
      </w:r>
    </w:p>
    <w:p>
      <w:pPr>
        <w:spacing w:after="0" w:line="129" w:lineRule="exact"/>
        <w:rPr>
          <w:rFonts w:ascii="Arial" w:cs="Arial" w:eastAsia="Arial" w:hAnsi="Arial"/>
          <w:sz w:val="18"/>
          <w:szCs w:val="18"/>
          <w:color w:val="auto"/>
        </w:rPr>
      </w:pPr>
    </w:p>
    <w:p>
      <w:pPr>
        <w:ind w:left="368" w:right="58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Ours or our current or future collaborators plans to initiate, recruit and enroll patients in, and conduct our clinical trials at the pace that we project;</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and maintain regulatory approvals of our product candidates;</w:t>
      </w:r>
    </w:p>
    <w:p>
      <w:pPr>
        <w:spacing w:after="0" w:line="184" w:lineRule="exact"/>
        <w:rPr>
          <w:rFonts w:ascii="Arial" w:cs="Arial" w:eastAsia="Arial" w:hAnsi="Arial"/>
          <w:sz w:val="18"/>
          <w:szCs w:val="18"/>
          <w:color w:val="auto"/>
        </w:rPr>
      </w:pPr>
    </w:p>
    <w:p>
      <w:pPr>
        <w:ind w:left="368" w:right="20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funding for our operations, including funding necessary to complete further development and, upon successful development, if approved, commercialize any of our product candidates;</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 of orphan drug designations for PLN-74809;</w:t>
      </w:r>
    </w:p>
    <w:p>
      <w:pPr>
        <w:spacing w:after="0" w:line="184"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fibrosis;</w:t>
      </w:r>
    </w:p>
    <w:p>
      <w:pPr>
        <w:spacing w:after="0" w:line="184" w:lineRule="exact"/>
        <w:rPr>
          <w:rFonts w:ascii="Arial" w:cs="Arial" w:eastAsia="Arial" w:hAnsi="Arial"/>
          <w:sz w:val="18"/>
          <w:szCs w:val="18"/>
          <w:color w:val="auto"/>
        </w:rPr>
      </w:pPr>
    </w:p>
    <w:p>
      <w:pPr>
        <w:ind w:left="368" w:right="22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obtaining and maintaining intellectual property protection for our product candidates and the duration of such protection;</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the manufacture of our product candidates for clinical trials and for commercial use, if approved;</w:t>
      </w:r>
    </w:p>
    <w:p>
      <w:pPr>
        <w:spacing w:after="0" w:line="184"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current and future collaborators for developing, obtaining regulatory approval for and commercializing product candidates in the collaboration;</w:t>
      </w:r>
    </w:p>
    <w:p>
      <w:pPr>
        <w:spacing w:after="0" w:line="129" w:lineRule="exact"/>
        <w:rPr>
          <w:rFonts w:ascii="Arial" w:cs="Arial" w:eastAsia="Arial" w:hAnsi="Arial"/>
          <w:sz w:val="18"/>
          <w:szCs w:val="18"/>
          <w:color w:val="auto"/>
        </w:rPr>
      </w:pPr>
    </w:p>
    <w:p>
      <w:pPr>
        <w:ind w:left="368" w:right="62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and timing of any milestone payments or royalties under any current of future research collaboration or license agreements or arrangements;</w:t>
      </w:r>
    </w:p>
    <w:p>
      <w:pPr>
        <w:spacing w:after="0" w:line="129" w:lineRule="exact"/>
        <w:rPr>
          <w:rFonts w:ascii="Arial" w:cs="Arial" w:eastAsia="Arial" w:hAnsi="Arial"/>
          <w:sz w:val="18"/>
          <w:szCs w:val="18"/>
          <w:color w:val="auto"/>
        </w:rPr>
      </w:pPr>
    </w:p>
    <w:p>
      <w:pPr>
        <w:ind w:left="368" w:right="38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the commercialization of any products that are approved for marketing and our ability to establish adequate pricing in the U.S. and international markets;</w:t>
      </w:r>
    </w:p>
    <w:p>
      <w:pPr>
        <w:spacing w:after="0" w:line="129" w:lineRule="exact"/>
        <w:rPr>
          <w:rFonts w:ascii="Arial" w:cs="Arial" w:eastAsia="Arial" w:hAnsi="Arial"/>
          <w:sz w:val="18"/>
          <w:szCs w:val="18"/>
          <w:color w:val="auto"/>
        </w:rPr>
      </w:pPr>
    </w:p>
    <w:p>
      <w:pPr>
        <w:ind w:left="368" w:right="300" w:hanging="368"/>
        <w:spacing w:after="0" w:line="277" w:lineRule="auto"/>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combination with others;</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84" w:lineRule="exact"/>
        <w:rPr>
          <w:rFonts w:ascii="Arial" w:cs="Arial" w:eastAsia="Arial" w:hAnsi="Arial"/>
          <w:sz w:val="18"/>
          <w:szCs w:val="18"/>
          <w:color w:val="auto"/>
        </w:rPr>
      </w:pPr>
    </w:p>
    <w:p>
      <w:pPr>
        <w:ind w:left="368" w:hanging="368"/>
        <w:spacing w:after="0"/>
        <w:tabs>
          <w:tab w:leader="none" w:pos="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84" w:lineRule="exact"/>
        <w:rPr>
          <w:rFonts w:ascii="Arial" w:cs="Arial" w:eastAsia="Arial" w:hAnsi="Arial"/>
          <w:sz w:val="18"/>
          <w:szCs w:val="18"/>
          <w:color w:val="auto"/>
        </w:rPr>
      </w:pPr>
    </w:p>
    <w:p>
      <w:pPr>
        <w:ind w:left="368" w:right="40" w:hanging="368"/>
        <w:spacing w:after="0" w:line="293" w:lineRule="auto"/>
        <w:tabs>
          <w:tab w:leader="none" w:pos="36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164"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8"/>
          </w:cols>
          <w:pgMar w:left="692" w:top="513" w:right="339" w:bottom="1440" w:gutter="0" w:footer="0" w:header="0"/>
        </w:sectPr>
      </w:pPr>
    </w:p>
    <w:bookmarkStart w:id="3" w:name="page4"/>
    <w:bookmarkEnd w:id="3"/>
    <w:p>
      <w:pPr>
        <w:jc w:val="center"/>
        <w:ind w:right="-27"/>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89" w:lineRule="exact"/>
        <w:rPr>
          <w:sz w:val="20"/>
          <w:szCs w:val="20"/>
          <w:color w:val="auto"/>
        </w:rPr>
      </w:pPr>
    </w:p>
    <w:p>
      <w:pPr>
        <w:ind w:left="8" w:right="20" w:firstLine="478"/>
        <w:spacing w:after="0" w:line="254" w:lineRule="auto"/>
        <w:rPr>
          <w:sz w:val="20"/>
          <w:szCs w:val="20"/>
          <w:color w:val="auto"/>
        </w:rPr>
      </w:pPr>
      <w:r>
        <w:rPr>
          <w:rFonts w:ascii="Arial" w:cs="Arial" w:eastAsia="Arial" w:hAnsi="Arial"/>
          <w:sz w:val="18"/>
          <w:szCs w:val="18"/>
          <w:color w:val="auto"/>
        </w:rPr>
        <w:t>Our business involves significant risks, some of which are described below. The summary risk factors listed below should be read together with the text of the full risk factors that follow this summary. You should carefully consider the risks described below, as well as the other information in this Annual Report on Form 10-K, including our financial statements and the related notes, “Management’s Discussion and Analysis of Financial Condition and Results of Operations” as well as in other documents that we file with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65" w:lineRule="exact"/>
        <w:rPr>
          <w:sz w:val="20"/>
          <w:szCs w:val="20"/>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prospects and likelihood of success.</w:t>
      </w:r>
    </w:p>
    <w:p>
      <w:pPr>
        <w:spacing w:after="0" w:line="184" w:lineRule="exact"/>
        <w:rPr>
          <w:rFonts w:ascii="Arial" w:cs="Arial" w:eastAsia="Arial" w:hAnsi="Arial"/>
          <w:sz w:val="18"/>
          <w:szCs w:val="18"/>
          <w:color w:val="auto"/>
        </w:rPr>
      </w:pPr>
    </w:p>
    <w:p>
      <w:pPr>
        <w:ind w:left="368" w:right="180"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143"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w:t>
      </w:r>
    </w:p>
    <w:p>
      <w:pPr>
        <w:spacing w:after="0" w:line="184" w:lineRule="exact"/>
        <w:rPr>
          <w:rFonts w:ascii="Arial" w:cs="Arial" w:eastAsia="Arial" w:hAnsi="Arial"/>
          <w:sz w:val="18"/>
          <w:szCs w:val="18"/>
          <w:color w:val="auto"/>
        </w:rPr>
      </w:pPr>
    </w:p>
    <w:p>
      <w:pPr>
        <w:ind w:left="368" w:right="1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PLN-74809 or any other product candidates.</w:t>
      </w:r>
    </w:p>
    <w:p>
      <w:pPr>
        <w:spacing w:after="0" w:line="129" w:lineRule="exact"/>
        <w:rPr>
          <w:rFonts w:ascii="Arial" w:cs="Arial" w:eastAsia="Arial" w:hAnsi="Arial"/>
          <w:sz w:val="18"/>
          <w:szCs w:val="18"/>
          <w:color w:val="auto"/>
        </w:rPr>
      </w:pPr>
    </w:p>
    <w:p>
      <w:pPr>
        <w:ind w:left="368" w:right="28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129" w:lineRule="exact"/>
        <w:rPr>
          <w:rFonts w:ascii="Arial" w:cs="Arial" w:eastAsia="Arial" w:hAnsi="Arial"/>
          <w:sz w:val="18"/>
          <w:szCs w:val="18"/>
          <w:color w:val="auto"/>
        </w:rPr>
      </w:pPr>
    </w:p>
    <w:p>
      <w:pPr>
        <w:ind w:left="368" w:right="22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129" w:lineRule="exact"/>
        <w:rPr>
          <w:rFonts w:ascii="Arial" w:cs="Arial" w:eastAsia="Arial" w:hAnsi="Arial"/>
          <w:sz w:val="18"/>
          <w:szCs w:val="18"/>
          <w:color w:val="auto"/>
        </w:rPr>
      </w:pPr>
    </w:p>
    <w:p>
      <w:pPr>
        <w:ind w:left="368" w:right="66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a collaboration agreement with Novartis for the development of PLN-1474 and may in the future seek to enter into collaborations with third parties for the development and commercialization of other product candidates.</w:t>
      </w:r>
    </w:p>
    <w:p>
      <w:pPr>
        <w:spacing w:after="0" w:line="129" w:lineRule="exact"/>
        <w:rPr>
          <w:rFonts w:ascii="Arial" w:cs="Arial" w:eastAsia="Arial" w:hAnsi="Arial"/>
          <w:sz w:val="18"/>
          <w:szCs w:val="18"/>
          <w:color w:val="auto"/>
        </w:rPr>
      </w:pPr>
    </w:p>
    <w:p>
      <w:pPr>
        <w:ind w:left="368" w:right="180"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143" w:lineRule="exact"/>
        <w:rPr>
          <w:rFonts w:ascii="Arial" w:cs="Arial" w:eastAsia="Arial" w:hAnsi="Arial"/>
          <w:sz w:val="18"/>
          <w:szCs w:val="18"/>
          <w:color w:val="auto"/>
        </w:rPr>
      </w:pPr>
    </w:p>
    <w:p>
      <w:pPr>
        <w:ind w:left="368" w:right="28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preclinical studies and clinical trials.</w:t>
      </w:r>
    </w:p>
    <w:p>
      <w:pPr>
        <w:spacing w:after="0" w:line="129"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net losses since inception, and we expect to continue to incur significant net losses for the foreseeable future.</w:t>
      </w:r>
    </w:p>
    <w:p>
      <w:pPr>
        <w:spacing w:after="0" w:line="196" w:lineRule="exact"/>
        <w:rPr>
          <w:rFonts w:ascii="Arial" w:cs="Arial" w:eastAsia="Arial" w:hAnsi="Arial"/>
          <w:sz w:val="17"/>
          <w:szCs w:val="17"/>
          <w:color w:val="auto"/>
        </w:rPr>
      </w:pPr>
    </w:p>
    <w:p>
      <w:pPr>
        <w:ind w:left="368"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43" w:lineRule="exact"/>
        <w:rPr>
          <w:rFonts w:ascii="Arial" w:cs="Arial" w:eastAsia="Arial" w:hAnsi="Arial"/>
          <w:sz w:val="18"/>
          <w:szCs w:val="18"/>
          <w:color w:val="auto"/>
        </w:rPr>
      </w:pPr>
    </w:p>
    <w:p>
      <w:pPr>
        <w:ind w:left="368" w:hanging="368"/>
        <w:spacing w:after="0" w:line="263"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43" w:lineRule="exact"/>
        <w:rPr>
          <w:rFonts w:ascii="Arial" w:cs="Arial" w:eastAsia="Arial" w:hAnsi="Arial"/>
          <w:sz w:val="18"/>
          <w:szCs w:val="18"/>
          <w:color w:val="auto"/>
        </w:rPr>
      </w:pPr>
    </w:p>
    <w:p>
      <w:pPr>
        <w:ind w:left="368" w:right="580" w:hanging="368"/>
        <w:spacing w:after="0" w:line="277"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57"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8"/>
          </w:cols>
          <w:pgMar w:left="692" w:top="1093"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and related diseases.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and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integrins that we are developing for the treatment of idiopathic pulmonary fibrosis, or IPF, and primary sclerosing cholangitis, or PSC. We have completed a Phase 1a SAD/MAD trial and a Phase 1b proof-of-mechanism trial of PLN-74809 in IPF and are currently recruiting three Phase 2a trials in our lead indications: two in IPF and one in PSC. We expect to announce preliminary data from our first Phase 2a IPF trial in the first half of 2021. Our second product candidate, PLN-1474, is a small-molecule selective inhibitor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for the treatment of liver fibrosis associated with nonalcoholic steatohepatitis, or NASH, which we have partnered with Novartis. PLN-1474 has successfully completed a Phase 1 SAD/MAD trial and the Investigational New Drug, or IND, application was transferred to Novartis in the first quarter of 2021. Novartis will be responsible for all future PLN-1474 development, manufacturing, and commercialization activities. In addition to our clinical programs, we currently have preclinical integrin-based programs targeting oncology and muscular dystrophies.</w:t>
      </w:r>
    </w:p>
    <w:p>
      <w:pPr>
        <w:spacing w:after="0" w:line="138" w:lineRule="exact"/>
        <w:rPr>
          <w:sz w:val="20"/>
          <w:szCs w:val="20"/>
          <w:color w:val="auto"/>
        </w:rPr>
      </w:pPr>
    </w:p>
    <w:p>
      <w:pPr>
        <w:ind w:right="240" w:firstLine="501"/>
        <w:spacing w:after="0" w:line="279" w:lineRule="auto"/>
        <w:rPr>
          <w:sz w:val="20"/>
          <w:szCs w:val="20"/>
          <w:color w:val="auto"/>
        </w:rPr>
      </w:pPr>
      <w:r>
        <w:rPr>
          <w:rFonts w:ascii="Arial" w:cs="Arial" w:eastAsia="Arial" w:hAnsi="Arial"/>
          <w:sz w:val="17"/>
          <w:szCs w:val="17"/>
          <w:color w:val="auto"/>
        </w:rPr>
        <w:t>Fibrosis refers to the abnormal thickening and scarring of connective tissue due to the production and deposition of excess collagen in the extra-cellular matrix. Fibrosis can occur in many different tissues including lung, liver, kidney, muscle, skin, and the gastrointestinal tract, and often causes severe and debilitating disease potentially leading to organ failure and death. Fibrosis has historically proven difficult to treat, which we believe is due to the complexity of the disease biology and the challenge of targeting fibrotic tissues selectively without affecting healthy tissues.</w:t>
      </w:r>
    </w:p>
    <w:p>
      <w:pPr>
        <w:spacing w:after="0" w:line="144"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We believe that tissue-specific inhibition of TGF-ß may hold the key to successfully treating fibrosis. In normal tissues TGF-ß is activated in response to tissue injury which initiates a cascade that results in collagen production and, ultimately, scar formation to heal the tissue. In fibrosis, however, TGF-ß signaling becomes dysregulated, with TGF-ß being continuously activated, leading to excess collagen deposition, even in the absence of acute tissue injury. TGF-ß, while implicated in fibrosis pathophysiology, is expressed, and intermittently activated across all tissue types and plays important, context-specific roles in tissue homeostasis. Therefore, TGF-ß cannot be blocked systemically without disrupting these homeostatic functions and causing significant toxicities. To treat fibrosis more precisely in specific tissues, we believe it is crucial to discover and treat the underlying mechanism causing excess TGF-ß activation.</w:t>
      </w:r>
    </w:p>
    <w:p>
      <w:pPr>
        <w:spacing w:after="0" w:line="154" w:lineRule="exact"/>
        <w:rPr>
          <w:sz w:val="20"/>
          <w:szCs w:val="20"/>
          <w:color w:val="auto"/>
        </w:rPr>
      </w:pPr>
    </w:p>
    <w:p>
      <w:pPr>
        <w:ind w:right="20" w:firstLine="501"/>
        <w:spacing w:after="0" w:line="275" w:lineRule="auto"/>
        <w:rPr>
          <w:sz w:val="20"/>
          <w:szCs w:val="20"/>
          <w:color w:val="auto"/>
        </w:rPr>
      </w:pPr>
      <w:r>
        <w:rPr>
          <w:rFonts w:ascii="Arial" w:cs="Arial" w:eastAsia="Arial" w:hAnsi="Arial"/>
          <w:sz w:val="17"/>
          <w:szCs w:val="17"/>
          <w:color w:val="auto"/>
        </w:rPr>
        <w:t>Our scientific founders are pioneers in elucidating the role of specific extracellular receptors known as integrins as a key element in the activation of TGF-ß. While the role of integrins in TGF-ß activation has been well-characterized over the past 10 years, integrins have historically been difficult to target therapeutically using small-molecules due to the difficulty of engineering molecules with high receptor selectivity and bioavailability. We believe that we have addressed these challenges with our platform. We have built a library of compounds that includes bioavailable, selective, and potent inhibitors of multiple integrins that may be used to target a range of fibrotic diseases across different tissues.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172200" cy="2948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Our lead wholly owned product candidate, PLN-74809, is an oral small-molecule, dual-selective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that we are advancing in IPF and PSC. While expressed at very low levels in normal tissues,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are upregulated in the pulmonary tissues of IPF patients, and in the liver tissues of PSC patients. They both serve as activators of TGF-ß, leading to increased collagen production and fibrosis in these tissues. By blocking TGF-ß activation by both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we believe PLN-74809 may slow and potentially halt the progression of fibrosis in these patient populations. PLN-74809 has been granted orphan drug designation by the U.S. Food and Drug Administration, or FDA, for both IPF and PSC.</w:t>
      </w:r>
    </w:p>
    <w:p>
      <w:pPr>
        <w:spacing w:after="0" w:line="121" w:lineRule="exact"/>
        <w:rPr>
          <w:sz w:val="20"/>
          <w:szCs w:val="20"/>
          <w:color w:val="auto"/>
        </w:rPr>
      </w:pPr>
    </w:p>
    <w:p>
      <w:pPr>
        <w:ind w:firstLine="501"/>
        <w:spacing w:after="0" w:line="301" w:lineRule="auto"/>
        <w:rPr>
          <w:sz w:val="20"/>
          <w:szCs w:val="20"/>
          <w:color w:val="auto"/>
        </w:rPr>
      </w:pPr>
      <w:r>
        <w:rPr>
          <w:rFonts w:ascii="Arial" w:cs="Arial" w:eastAsia="Arial" w:hAnsi="Arial"/>
          <w:sz w:val="16"/>
          <w:szCs w:val="16"/>
          <w:color w:val="auto"/>
        </w:rPr>
        <w:t>IPF is the most common and severe form of progressive pulmonary fibrosis, affecting approximately 140,000 patients in the United States. While the underlying cause of IPF is unknown, the course of the disease is well documented, with progressive scarring that destroys the structure and function of the lungs over time. The average life expectancy for patients with confirmed IPF is between three and five years. There are currently two FDA-approved therapies for IPF. Both have shown modest slowing of disease progression. However, both therapies have raised significant safety and tolerability concerns.</w:t>
      </w:r>
    </w:p>
    <w:p>
      <w:pPr>
        <w:spacing w:after="0" w:line="117" w:lineRule="exact"/>
        <w:rPr>
          <w:sz w:val="20"/>
          <w:szCs w:val="20"/>
          <w:color w:val="auto"/>
        </w:rPr>
      </w:pPr>
    </w:p>
    <w:p>
      <w:pPr>
        <w:ind w:right="220" w:firstLine="501"/>
        <w:spacing w:after="0" w:line="259" w:lineRule="auto"/>
        <w:rPr>
          <w:sz w:val="20"/>
          <w:szCs w:val="20"/>
          <w:color w:val="auto"/>
        </w:rPr>
      </w:pPr>
      <w:r>
        <w:rPr>
          <w:rFonts w:ascii="Arial" w:cs="Arial" w:eastAsia="Arial" w:hAnsi="Arial"/>
          <w:sz w:val="18"/>
          <w:szCs w:val="18"/>
          <w:color w:val="auto"/>
        </w:rPr>
        <w:t>PSC is a progressive liver disorder affecting approximately 30,000 to 45,000 patients in the United States. The disease is characterized by fibrosis originating in the bile ducts that ultimately results in bile flow obstruction, or cholestasis, causing liver damage and progressive fibrosis of the liver. Patients have a median survival of 10 to 12 years without intervention and carry high lifetime risk of developing gastrointestinal malignancies. There are currently no FDA-approved therapies for PSC.</w:t>
      </w:r>
    </w:p>
    <w:p>
      <w:pPr>
        <w:spacing w:after="0" w:line="160"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 xml:space="preserve">In our live human tissue assay, PLN-74809 showed a greater than 50 percent decrease in the expression of pro-fibrotic genes, such as collagen type I alpha1 chain, or </w:t>
      </w:r>
      <w:r>
        <w:rPr>
          <w:rFonts w:ascii="Arial" w:cs="Arial" w:eastAsia="Arial" w:hAnsi="Arial"/>
          <w:sz w:val="18"/>
          <w:szCs w:val="18"/>
          <w:i w:val="1"/>
          <w:iCs w:val="1"/>
          <w:color w:val="auto"/>
        </w:rPr>
        <w:t>COL1A1,</w:t>
      </w:r>
      <w:r>
        <w:rPr>
          <w:rFonts w:ascii="Arial" w:cs="Arial" w:eastAsia="Arial" w:hAnsi="Arial"/>
          <w:sz w:val="18"/>
          <w:szCs w:val="18"/>
          <w:color w:val="auto"/>
        </w:rPr>
        <w:t xml:space="preserve"> and collagen type 3 alpha1 chain, or </w:t>
      </w:r>
      <w:r>
        <w:rPr>
          <w:rFonts w:ascii="Arial" w:cs="Arial" w:eastAsia="Arial" w:hAnsi="Arial"/>
          <w:sz w:val="18"/>
          <w:szCs w:val="18"/>
          <w:i w:val="1"/>
          <w:iCs w:val="1"/>
          <w:color w:val="auto"/>
        </w:rPr>
        <w:t>COL3A1,</w:t>
      </w:r>
      <w:r>
        <w:rPr>
          <w:rFonts w:ascii="Arial" w:cs="Arial" w:eastAsia="Arial" w:hAnsi="Arial"/>
          <w:sz w:val="18"/>
          <w:szCs w:val="18"/>
          <w:color w:val="auto"/>
        </w:rPr>
        <w:t xml:space="preserve"> that are responsible for collagen production in human IPF and PSC tissues. Additionally, we have completed a study in non-human primates in which we showed that inhibition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reduced TGF-ß activation by greater than 75% in cells isolated from the lungs after seven days of treatment.</w:t>
      </w:r>
    </w:p>
    <w:p>
      <w:pPr>
        <w:spacing w:after="0" w:line="146"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We have completed Phase 1a single ascending dose, or SAD, multiple ascending dose, or MAD, and food effect clinical trials in which PLN-74809 was shown to be orally bioavailable and generally well tolerated with a half-life that may support once-daily dosing.</w:t>
      </w:r>
    </w:p>
    <w:p>
      <w:pPr>
        <w:spacing w:after="0" w:line="130"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We have also completed a Phase 1b proof-of-mechanism trial in healthy volunteers evaluating PLN-74809’s ability to inhibit TGF-ß activation as measured through pSMAD2/3 levels. pSMADs act as signaling molecules directly downstream from the TGF-ß receptor, and therefore pSMAD2/3 levels can be used as a reliable biomarker for TGF-ß activation. In the Phase 1b trial, PLN-74809 was shown to inhibit TGF-ß activation by up to 70% in alveolar macrophages collected from healthy volunteers, in a dose- and exposure-dependent manner. Additionally, PLN-74809 was well tolerated with only mild adverse events and no drug-related adverse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 w:name="page7"/>
    <w:bookmarkEnd w:id="6"/>
    <w:p>
      <w:pPr>
        <w:jc w:val="both"/>
        <w:ind w:right="140" w:firstLine="501"/>
        <w:spacing w:after="0" w:line="263" w:lineRule="auto"/>
        <w:rPr>
          <w:sz w:val="20"/>
          <w:szCs w:val="20"/>
          <w:color w:val="auto"/>
        </w:rPr>
      </w:pPr>
      <w:r>
        <w:rPr>
          <w:rFonts w:ascii="Arial" w:cs="Arial" w:eastAsia="Arial" w:hAnsi="Arial"/>
          <w:sz w:val="18"/>
          <w:szCs w:val="18"/>
          <w:color w:val="auto"/>
        </w:rPr>
        <w:t>We are recruiting two Phase 2a trials of PLN-74809 in IPF. In the first of these trials, we are enrolling up to 12 IPF patients and utilizing a positron emission tomography, or PET, ligand to measure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target engagement by PLN-74809 in the lungs post-treatment with ascending single doses of PLN-74809. We expect to announce preliminary data from this trial in the first half of 2021.</w:t>
      </w:r>
    </w:p>
    <w:p>
      <w:pPr>
        <w:spacing w:after="0" w:line="15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The second trial is a 12-week randomized, double blind, placebo-controlled trial enrolling up to 84 IPF patients across four cohorts consisting of three doses of PLN-74809 and one placebo that will evaluate safety, tolerability and pharmacokinetics, or PK. We also plan to employ exploratory efficacy endpoints including Quantitative Lung Fibrosis, or QLF, imaging analysis, biomarkers, and pulmonary function tests including FVC. This trial is currently on track to complete enrollment by the end of 2021.</w:t>
      </w:r>
    </w:p>
    <w:p>
      <w:pPr>
        <w:spacing w:after="0" w:line="146"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We are also recruiting a Phase 2a trial of PLN-74809 in PSC. The trial is a 12-week randomized, double blind, placebo-controlled trial enrolling up to 84 PSC patients across four cohorts consisting of three doses of PLN-74809 and one placebo that will evaluate safety, tolerability, and PK. We also plan to employ exploratory efficacy endpoints including fibrosis biomarkers such as Pro-C3 and ELF, as well as ALP and liver imaging. This trial is currently on track to complete enrollment by mid-2022.</w:t>
      </w:r>
    </w:p>
    <w:p>
      <w:pPr>
        <w:spacing w:after="0" w:line="146" w:lineRule="exact"/>
        <w:rPr>
          <w:sz w:val="20"/>
          <w:szCs w:val="20"/>
          <w:color w:val="auto"/>
        </w:rPr>
      </w:pPr>
    </w:p>
    <w:p>
      <w:pPr>
        <w:ind w:right="240" w:firstLine="501"/>
        <w:spacing w:after="0" w:line="255" w:lineRule="auto"/>
        <w:rPr>
          <w:sz w:val="20"/>
          <w:szCs w:val="20"/>
          <w:color w:val="auto"/>
        </w:rPr>
      </w:pPr>
      <w:r>
        <w:rPr>
          <w:rFonts w:ascii="Arial" w:cs="Arial" w:eastAsia="Arial" w:hAnsi="Arial"/>
          <w:sz w:val="18"/>
          <w:szCs w:val="18"/>
          <w:color w:val="auto"/>
        </w:rPr>
        <w:t>Our second clinical stage product candidate, PLN-1474, is a small-molecule, selective inhibitor of TGF-ß activation by the integrin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in development for treatment of liver fibrosis associated with NASH.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serves as an activator of TGF-ß and its expression has been shown to be upregulated in hepatic stellate cells in late-stage NASH-associated liver fibrosis. In October 2019, we entered into a collaboration and license agreement with Novartis in which Novartis licensed global rights to PLN-1474. Under the terms of the agreement, we received a $50 million license fee, as well as $30 million of equity investment. Additionally, we are eligible to receive up to $416 million in total milestone payments, as well as tiered royalties on products commercialized from the collaboration.</w:t>
      </w:r>
    </w:p>
    <w:p>
      <w:pPr>
        <w:spacing w:after="0" w:line="165"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NASH is a severe form of non-alcoholic fatty liver disease, or NAFLD, that is associated with the development of liver fibrosis and potentially life-threatening liver dysfunction. NASH is highly prevalent, affecting approximately 16.5 million adults in the United States, including approximately 3.3 million with late-stage liver fibrosis. Over time, NASH-related liver fibrosis may progress to cirrhosis, resulting in impaired liver function and increased risk of liver-related complications and mortality. There are currently no FDA approved therapies for NASH, and to date investigational NASH therapies have only shown modest anti-fibrotic benefits in clinical trials.</w:t>
      </w:r>
    </w:p>
    <w:p>
      <w:pPr>
        <w:spacing w:after="0" w:line="147"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We have shown through our assays of live human fibrotic liver tissue that PLN-1474 is able to decrease the expression of pro-fibrotic genes such as COL1A1, the gene associated with the production of the most abundant type of collagen produced in fibrosis. We have also shown in multiple animal models of NASH that PLN-1474 has a potent anti-fibrotic effect.</w:t>
      </w:r>
    </w:p>
    <w:p>
      <w:pPr>
        <w:spacing w:after="0" w:line="143" w:lineRule="exact"/>
        <w:rPr>
          <w:sz w:val="20"/>
          <w:szCs w:val="20"/>
          <w:color w:val="auto"/>
        </w:rPr>
      </w:pPr>
    </w:p>
    <w:p>
      <w:pPr>
        <w:jc w:val="both"/>
        <w:ind w:right="20" w:firstLine="501"/>
        <w:spacing w:after="0" w:line="259" w:lineRule="auto"/>
        <w:rPr>
          <w:sz w:val="20"/>
          <w:szCs w:val="20"/>
          <w:color w:val="auto"/>
        </w:rPr>
      </w:pPr>
      <w:r>
        <w:rPr>
          <w:rFonts w:ascii="Arial" w:cs="Arial" w:eastAsia="Arial" w:hAnsi="Arial"/>
          <w:sz w:val="18"/>
          <w:szCs w:val="18"/>
          <w:color w:val="auto"/>
        </w:rPr>
        <w:t>We have completed a first-in-human, randomized, double-blind, placebo-controlled Phase 1 dose escalation trial that enrolled 84 healthy volunteers across single ascending dose and multiple ascending dose cohorts. Results showed that PLN-1474 was rapidly absorbed and well tolerated with no dose- or treatment-limiting toxicities with adverse events that were mostly mild with no severe or serious adverse events observed. The PLN-1474 IND application was transferred to Novartis in the first quarter of 2021.</w:t>
      </w:r>
    </w:p>
    <w:p>
      <w:pPr>
        <w:spacing w:after="0" w:line="160" w:lineRule="exact"/>
        <w:rPr>
          <w:sz w:val="20"/>
          <w:szCs w:val="20"/>
          <w:color w:val="auto"/>
        </w:rPr>
      </w:pPr>
    </w:p>
    <w:p>
      <w:pPr>
        <w:jc w:val="both"/>
        <w:ind w:right="120" w:firstLine="501"/>
        <w:spacing w:after="0" w:line="255" w:lineRule="auto"/>
        <w:rPr>
          <w:sz w:val="20"/>
          <w:szCs w:val="20"/>
          <w:color w:val="auto"/>
        </w:rPr>
      </w:pPr>
      <w:r>
        <w:rPr>
          <w:rFonts w:ascii="Arial" w:cs="Arial" w:eastAsia="Arial" w:hAnsi="Arial"/>
          <w:sz w:val="18"/>
          <w:szCs w:val="18"/>
          <w:color w:val="auto"/>
        </w:rPr>
        <w:t>Pursuant to our collaboration with Novartis, Novartis reimburses us for all development activities associated with the PLN-1474 Phase 1 trials and will be responsible for all development, manufacturing, and commercialization once the IND is transferred. In addition to PLN-1474, during the research term, Novartis is also collaborating with us on up to three separate integrin research programs. We will be eligible to receive up to $416.0 million in total from various developmental regulatory and commercial milestones as well as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52"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In addition to our clinical programs, we are developing two additional preclinical integrin-based programs. The first of these is our oncology program. As TGF-ß biology has been elucidated, it has become increasingly understood in the scientific literature that TGF-ß plays an important anti-inflammatory role in the tumor micro-environment, preventing T-cell infiltration and inhibiting release of various cytokines. This mechanism is becoming increasingly recognized as a potential cause of the resistance to checkpoint inhibitors such as anti-PD-1 therapies seen in many tumors. We are targeting the TGF-ß activating integrin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8</w:t>
      </w:r>
      <w:r>
        <w:rPr>
          <w:rFonts w:ascii="Arial" w:cs="Arial" w:eastAsia="Arial" w:hAnsi="Arial"/>
          <w:sz w:val="17"/>
          <w:szCs w:val="17"/>
          <w:color w:val="auto"/>
        </w:rPr>
        <w:t>, which is upregulated in certain tumors with the goal of sensitizing tumors to checkpoint inhibitors. This program has generated positive data in preclinical tumor models and our candidate is currently undergoing IND-enabling studies.</w:t>
      </w:r>
    </w:p>
    <w:p>
      <w:pPr>
        <w:spacing w:after="0" w:line="137"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Our second preclinical program is an allosteric agonistic monoclonal antibody against an undisclosed integrin receptor being developed for treatment of muscular dystrophies, including Duchenne Muscular Dystrophy. The target integrin is upregulated on muscle cells across multiple muscular dystrophy indications, acting as a substitute for dystrophin and helping to anchor muscle cells to the extracellular matrix. The program utilizes an allosteric agonistic antibody to activate the target in order to augment the naturally occurring compensatory mechanism. Because the antibody is not mutation specific, it could potentially be effective as a single therapy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 w:name="page8"/>
    <w:bookmarkEnd w:id="7"/>
    <w:p>
      <w:pPr>
        <w:ind w:right="380"/>
        <w:spacing w:after="0" w:line="277" w:lineRule="auto"/>
        <w:rPr>
          <w:sz w:val="20"/>
          <w:szCs w:val="20"/>
          <w:color w:val="auto"/>
        </w:rPr>
      </w:pPr>
      <w:r>
        <w:rPr>
          <w:rFonts w:ascii="Arial" w:cs="Arial" w:eastAsia="Arial" w:hAnsi="Arial"/>
          <w:sz w:val="18"/>
          <w:szCs w:val="18"/>
          <w:color w:val="auto"/>
        </w:rPr>
        <w:t>or in combination with other treatment modalities across multiple muscular dystrophy indications. This program is currently in the candidate selection phase of development.</w:t>
      </w:r>
    </w:p>
    <w:p>
      <w:pPr>
        <w:spacing w:after="0" w:line="143"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color w:val="auto"/>
        </w:rPr>
        <w:t>Pliant was formed to build upon our scientific founders’ pioneering work elucidating the biology of fibrosis and its underlying causes. Our mission is to advance the understanding of fibrosis by building a biology-, chemistry- and screening-based engine to drive drug development across the spectrum of fibrotic diseases. We have established what we believe is a leading capability to both identify relevant fibrosis targets across different tissue types and address those targets with product candidates that have been optimized for potency and selectivity. We have established collaborations with medical research institutions and tissue networks that provide us access to human fibrotic tissue from patients undergoing transplant to use in evaluation of our product candidates and share insights with thought leaders to further engage them in our mission. By refining the development of biology-driven product candidates in our laboratories through testing in freshly obtained human fibrotic tissue, we believe that we may be able to increase the efficiency of our development process and maximize the probability of success.</w:t>
      </w:r>
    </w:p>
    <w:p>
      <w:pPr>
        <w:spacing w:after="0" w:line="138"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We have assembled an executive team with highly relevant experience in fibrosis, small-molecule drug discovery and clinical development. Bernard Coulie, M.D., Ph.D., our President and Chief Executive Officer, has 20 years of experience in drug development, previously serving as CEO and Chief Medical Officer of ActoGeniX, as well as holding senior roles at Johnson &amp; Johnson. Éric Lefebvre, M.D., our Chief Medical Officer, brings deep experience in clinical development in liver disease. He previously served as head of clinical research and development for NASH at Allergan. Prior to Allergan, Dr. Lefebvre led HIV and HCV development at Janssen and later served as CMO at Tobira. We were founded by world-renowned researchers Dean Sheppard, M.D., Rik Derynck, Ph.D., Bill DeGrado, Ph.D. and Hal Chapman, M.D., all from the University of California, San Francisco, who bring broad experience in fibrosis biology and small-molecule chemistry among other related disciplines.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Our goal is to become a world-leading fibrosis company, developing and commercializing disease-modifying therapies across a spectrum of fibrotic diseases. To achieve this, we are focused on the following key strategies:</w:t>
      </w:r>
    </w:p>
    <w:p>
      <w:pPr>
        <w:spacing w:after="0" w:line="126" w:lineRule="exact"/>
        <w:rPr>
          <w:sz w:val="20"/>
          <w:szCs w:val="20"/>
          <w:color w:val="auto"/>
        </w:rPr>
      </w:pPr>
    </w:p>
    <w:p>
      <w:pPr>
        <w:ind w:left="1000" w:right="140" w:hanging="493"/>
        <w:spacing w:after="0" w:line="314"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Rapidly advance PLN-74809 in IPF and PSC through clinical development and commercialization</w:t>
      </w:r>
      <w:r>
        <w:rPr>
          <w:rFonts w:ascii="Arial" w:cs="Arial" w:eastAsia="Arial" w:hAnsi="Arial"/>
          <w:sz w:val="16"/>
          <w:szCs w:val="16"/>
          <w:color w:val="auto"/>
        </w:rPr>
        <w:t>. We are developing our lead oral</w:t>
      </w:r>
      <w:r>
        <w:rPr>
          <w:rFonts w:ascii="Arial" w:cs="Arial" w:eastAsia="Arial" w:hAnsi="Arial"/>
          <w:sz w:val="16"/>
          <w:szCs w:val="16"/>
          <w:b w:val="1"/>
          <w:bCs w:val="1"/>
          <w:color w:val="auto"/>
        </w:rPr>
        <w:t xml:space="preserve"> </w:t>
      </w:r>
      <w:r>
        <w:rPr>
          <w:rFonts w:ascii="Arial" w:cs="Arial" w:eastAsia="Arial" w:hAnsi="Arial"/>
          <w:sz w:val="16"/>
          <w:szCs w:val="16"/>
          <w:color w:val="auto"/>
        </w:rPr>
        <w:t>small-molecule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as a novel therapy for IPF and PSC, each an area of high unmet medical need. Both IPF and PSC are orphan indications that we believe we can commercialize on our own in key geographies using targeted sales forces.</w:t>
      </w:r>
    </w:p>
    <w:p>
      <w:pPr>
        <w:spacing w:after="0" w:line="101" w:lineRule="exact"/>
        <w:rPr>
          <w:rFonts w:ascii="Arial" w:cs="Arial" w:eastAsia="Arial" w:hAnsi="Arial"/>
          <w:sz w:val="16"/>
          <w:szCs w:val="16"/>
          <w:color w:val="auto"/>
        </w:rPr>
      </w:pPr>
    </w:p>
    <w:p>
      <w:pPr>
        <w:ind w:left="1000" w:hanging="493"/>
        <w:spacing w:after="0" w:line="289"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Selectively evaluate additional partnerships in indications and geographies where we believe partners can add significant commercial and/or development capabilities. </w:t>
      </w:r>
      <w:r>
        <w:rPr>
          <w:rFonts w:ascii="Arial" w:cs="Arial" w:eastAsia="Arial" w:hAnsi="Arial"/>
          <w:sz w:val="16"/>
          <w:szCs w:val="16"/>
          <w:color w:val="auto"/>
        </w:rPr>
        <w:t>Fibrotic diseases represent a broad set of disease indications to pursue. Our focus is to commercialize our</w:t>
      </w:r>
      <w:r>
        <w:rPr>
          <w:rFonts w:ascii="Arial" w:cs="Arial" w:eastAsia="Arial" w:hAnsi="Arial"/>
          <w:sz w:val="16"/>
          <w:szCs w:val="16"/>
          <w:b w:val="1"/>
          <w:bCs w:val="1"/>
          <w:color w:val="auto"/>
        </w:rPr>
        <w:t xml:space="preserve"> </w:t>
      </w:r>
      <w:r>
        <w:rPr>
          <w:rFonts w:ascii="Arial" w:cs="Arial" w:eastAsia="Arial" w:hAnsi="Arial"/>
          <w:sz w:val="16"/>
          <w:szCs w:val="16"/>
          <w:color w:val="auto"/>
        </w:rPr>
        <w:t>assets in orphan fibrosis indications and to selectively work with partners in larger indications and in geographies outside of North America.</w:t>
      </w:r>
    </w:p>
    <w:p>
      <w:pPr>
        <w:spacing w:after="0" w:line="1" w:lineRule="exact"/>
        <w:rPr>
          <w:rFonts w:ascii="Arial" w:cs="Arial" w:eastAsia="Arial" w:hAnsi="Arial"/>
          <w:sz w:val="16"/>
          <w:szCs w:val="16"/>
          <w:color w:val="auto"/>
        </w:rPr>
      </w:pPr>
    </w:p>
    <w:p>
      <w:pPr>
        <w:jc w:val="both"/>
        <w:ind w:left="1000" w:right="400"/>
        <w:spacing w:after="0" w:line="255" w:lineRule="auto"/>
        <w:rPr>
          <w:rFonts w:ascii="Arial" w:cs="Arial" w:eastAsia="Arial" w:hAnsi="Arial"/>
          <w:sz w:val="16"/>
          <w:szCs w:val="16"/>
          <w:color w:val="auto"/>
        </w:rPr>
      </w:pPr>
      <w:r>
        <w:rPr>
          <w:rFonts w:ascii="Arial" w:cs="Arial" w:eastAsia="Arial" w:hAnsi="Arial"/>
          <w:sz w:val="18"/>
          <w:szCs w:val="18"/>
          <w:color w:val="auto"/>
        </w:rPr>
        <w:t>Given the size and competitive dynamics of the NASH indication, we believe that our collaboration with Novartis provides PLN-1474 a strong platform for advancement. Furthermore, we will evaluate and potentially choose to partner our unpartnered product candidates in indications outside of fibrosis.</w:t>
      </w:r>
    </w:p>
    <w:p>
      <w:pPr>
        <w:spacing w:after="0" w:line="145" w:lineRule="exact"/>
        <w:rPr>
          <w:rFonts w:ascii="Arial" w:cs="Arial" w:eastAsia="Arial" w:hAnsi="Arial"/>
          <w:sz w:val="16"/>
          <w:szCs w:val="16"/>
          <w:color w:val="auto"/>
        </w:rPr>
      </w:pPr>
    </w:p>
    <w:p>
      <w:pPr>
        <w:ind w:left="1000" w:right="80" w:hanging="493"/>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Explore opportunities for our pipeline assets in additional fibrotic indications. </w:t>
      </w:r>
      <w:r>
        <w:rPr>
          <w:rFonts w:ascii="Arial" w:cs="Arial" w:eastAsia="Arial" w:hAnsi="Arial"/>
          <w:sz w:val="18"/>
          <w:szCs w:val="18"/>
          <w:color w:val="auto"/>
        </w:rPr>
        <w:t>We are evaluating the potential benefit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outside of their lead indications. Our product candidates have shown anti-fibrotic activity in multiple animal models as well as human tissue in indications outside of IPF, PSC, and NASH. We will continue to evaluate additional indications to maximize the potential of our pipeline.</w:t>
      </w:r>
    </w:p>
    <w:p>
      <w:pPr>
        <w:spacing w:after="0" w:line="139" w:lineRule="exact"/>
        <w:rPr>
          <w:rFonts w:ascii="Arial" w:cs="Arial" w:eastAsia="Arial" w:hAnsi="Arial"/>
          <w:sz w:val="18"/>
          <w:szCs w:val="18"/>
          <w:color w:val="auto"/>
        </w:rPr>
      </w:pPr>
    </w:p>
    <w:p>
      <w:pPr>
        <w:ind w:left="1000" w:right="20" w:hanging="493"/>
        <w:spacing w:after="0" w:line="292"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industry leading tools and capabilities to advance our mission of becoming a leading fibrosis company. </w:t>
      </w:r>
      <w:r>
        <w:rPr>
          <w:rFonts w:ascii="Arial" w:cs="Arial" w:eastAsia="Arial" w:hAnsi="Arial"/>
          <w:sz w:val="16"/>
          <w:szCs w:val="16"/>
          <w:color w:val="auto"/>
        </w:rPr>
        <w:t>Since our</w:t>
      </w:r>
      <w:r>
        <w:rPr>
          <w:rFonts w:ascii="Arial" w:cs="Arial" w:eastAsia="Arial" w:hAnsi="Arial"/>
          <w:sz w:val="16"/>
          <w:szCs w:val="16"/>
          <w:b w:val="1"/>
          <w:bCs w:val="1"/>
          <w:color w:val="auto"/>
        </w:rPr>
        <w:t xml:space="preserve"> </w:t>
      </w:r>
      <w:r>
        <w:rPr>
          <w:rFonts w:ascii="Arial" w:cs="Arial" w:eastAsia="Arial" w:hAnsi="Arial"/>
          <w:sz w:val="16"/>
          <w:szCs w:val="16"/>
          <w:color w:val="auto"/>
        </w:rPr>
        <w:t>founding we have endeavored to advance the understanding of fibrosis biology, uncover new targets and advance novel product candidates. Currently, our proprietary capabilities include a target expression atlas, an expansive library of over 7,000 integrin inhibitor molecules, integrin screening assay platform, live fibrotic human tissue program, PET-ligand imaging program, and biomarker assays. We continue to expand our integrin inhibitor library and develop tools such as additional PET-ligands as well as novel disease biomarkers. In addition, we have a library of over 70,000 compounds for non-integrin targets. We intend to leverage these tools and capabilities in a target- and modality-agnostic manner to expand our pipeline with a mission to become a world-leading fibrosis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 A Condition of Uncontrolled Scarring</w:t>
      </w:r>
    </w:p>
    <w:p>
      <w:pPr>
        <w:spacing w:after="0" w:line="189"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Fibrosis refers to excessive scarring often resulting from aberrant tissue repair processes. In normal tissues, fibrotic pathways represent a repair mechanism by which the tissues heal themselves in response to injury or disease. These pathways are normally deactivated upon completion of tissue repair. However, when they become dysregulated and remain activated, excess collagen deposition can cause tissues to thicken and become stiff, ultimately impairing their physiological function.</w:t>
      </w:r>
    </w:p>
    <w:p>
      <w:pPr>
        <w:spacing w:after="0" w:line="160" w:lineRule="exact"/>
        <w:rPr>
          <w:sz w:val="20"/>
          <w:szCs w:val="20"/>
          <w:color w:val="auto"/>
        </w:rPr>
      </w:pPr>
    </w:p>
    <w:p>
      <w:pPr>
        <w:ind w:right="360" w:firstLine="501"/>
        <w:spacing w:after="0" w:line="277" w:lineRule="auto"/>
        <w:rPr>
          <w:sz w:val="20"/>
          <w:szCs w:val="20"/>
          <w:color w:val="auto"/>
        </w:rPr>
      </w:pPr>
      <w:r>
        <w:rPr>
          <w:rFonts w:ascii="Arial" w:cs="Arial" w:eastAsia="Arial" w:hAnsi="Arial"/>
          <w:sz w:val="18"/>
          <w:szCs w:val="18"/>
          <w:color w:val="auto"/>
        </w:rPr>
        <w:t>Fibrosis is a disease of connective tissue. Normal connective tissue forms a supportive network between cells, lending structure and integrity to tissues built up of many cell types. Connective tissue is composed of collagenous and elastic fibers, as well as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t>number of supporting cells such as fibroblasts and white blood cells. These supporting cells are embedded in a gel-like matrix made up of proteins known as the extra-cellular matrix. The most important protein in this matrix is collagen, which takes the form of elongated, fine fibers, providing flexible support to the surrounding cells. In fibrotic tissues, initial insults such as tissue damage or inflammation spur the deposition of excess collagen. Normally such responses are balanced in finely controlled feedback loops, but in fibrotic disease these feedback loops are dysregulated, resulting in progressive scarring, thickening, and loss of function.</w:t>
      </w:r>
    </w:p>
    <w:p>
      <w:pPr>
        <w:spacing w:after="0" w:line="161"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Fibrosis occurs in many organ systems throughout the body including the lungs, liver, kidneys, gastrointestinal tract, skin, and muscles. While the exact pathologies of diseases in these organs vary, the development of fibrosis involves many common cell types and biochemical pathways, including the TGF-ß signaling pathway. The ultimate result is similar across many tissues: secretion and extracellular activation of growth factors that stimulate fibroblasts to secrete excess collagen, leading to runaway growth of scar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127635</wp:posOffset>
            </wp:positionV>
            <wp:extent cx="4457700" cy="2143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TGF-ß Signaling in Fibrosis</w:t>
      </w:r>
    </w:p>
    <w:p>
      <w:pPr>
        <w:spacing w:after="0" w:line="185" w:lineRule="exact"/>
        <w:rPr>
          <w:sz w:val="20"/>
          <w:szCs w:val="20"/>
          <w:color w:val="auto"/>
        </w:rPr>
      </w:pPr>
    </w:p>
    <w:p>
      <w:pPr>
        <w:ind w:right="100" w:firstLine="501"/>
        <w:spacing w:after="0" w:line="273" w:lineRule="auto"/>
        <w:rPr>
          <w:sz w:val="20"/>
          <w:szCs w:val="20"/>
          <w:color w:val="auto"/>
        </w:rPr>
      </w:pPr>
      <w:r>
        <w:rPr>
          <w:rFonts w:ascii="Arial" w:cs="Arial" w:eastAsia="Arial" w:hAnsi="Arial"/>
          <w:sz w:val="17"/>
          <w:szCs w:val="17"/>
          <w:color w:val="auto"/>
        </w:rPr>
        <w:t>We believe that selectively inhibiting TGF-ß activation holds the key to successfully treating fibrosis across multiple tissues and organs. TGF-ß is secreted by nearly all cells and organs in mammals and stored in large amounts outside of cells, in the extra-cellular matrix, as part of an inactive complex. In healthy tissues, TGF-ß is transiently activated in response to tissue injury which initiates a cascade that results in collagen production and, ultimately, healing of the tissue. In fibrosis, however TGF-ß signaling becomes dysregulated and perpetuated, with TGF-ß being continuously activated, leading to excess collagen deposition in the absence of acute tissue injury. Moreover, induced activation of TGF-ß alone in animal models has been shown to be sufficient to induce fibrosis, and inhibition of TGF-ß activation has been shown to prevent or attenuate fibrosis.</w:t>
      </w:r>
    </w:p>
    <w:p>
      <w:pPr>
        <w:spacing w:after="0" w:line="137"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TGF-ß can be activated in multiple ways in response to specific tissue injury. One important class of cell-surface proteins that activate TGF-ß in fibrosis are integrins. Integrins have a variety of functions, including signaling inside the cells, providing tissue structure and stability through adhesion between cells. Integrins are heterodimeric proteins, meaning they are composed of two different protein subunits paired together. These subunits are known as α and ß subunits. In humans, there are eighteen distinct α subunits and eight distinct ß subunits, which combine to form 24 known and functional integrin pairs.</w:t>
      </w:r>
    </w:p>
    <w:p>
      <w:pPr>
        <w:spacing w:after="0" w:line="161" w:lineRule="exact"/>
        <w:rPr>
          <w:sz w:val="20"/>
          <w:szCs w:val="20"/>
          <w:color w:val="auto"/>
        </w:rPr>
      </w:pPr>
    </w:p>
    <w:p>
      <w:pPr>
        <w:ind w:right="100" w:firstLine="501"/>
        <w:spacing w:after="0" w:line="269" w:lineRule="auto"/>
        <w:rPr>
          <w:sz w:val="20"/>
          <w:szCs w:val="20"/>
          <w:color w:val="auto"/>
        </w:rPr>
      </w:pPr>
      <w:r>
        <w:rPr>
          <w:rFonts w:ascii="Arial" w:cs="Arial" w:eastAsia="Arial" w:hAnsi="Arial"/>
          <w:sz w:val="17"/>
          <w:szCs w:val="17"/>
          <w:color w:val="auto"/>
        </w:rPr>
        <w:t>Certain integrins bind the inactive TGF-ß complex. In response to tissue injury, the cells expressing these integrins are induced to contract, exerting physical force on the bound TGF-ß complex. This mechanical force changes the shape of the complex, releasing active TGF-ß. This activation triggers a biological cascade which results in collagen production, and when dysregulated leads to fibrosis. As depicted in the figure below, this cascade involves (i) binding of active TGF-ß to its receptor, the TGF-ß type I receptor kinase also known as ALK5; (ii) phosphorylation of immediate downstream signaling proteins known as SMAD2 and SMAD3; (iii) formation of a transcription initiation complex by pSMAD2, pSMAD3 and SMAD4; and (iv) subsequent transcription of target genes that encode fibrotic proteins such as collagen. Importantly, whereas certain TGF-ß-activating integrins are expressed at very low levels in healthy tissues, the TGF-ß cascade can lead to the upregulation of these integrins resulting in a TGF-ß-driven positive feed-forward loop which further increases TGF-ß activation. Furthermore, as fibrosis progresses and the fibrotic organ gets stiffer, it becomes progressively easier for contracting cells to activate integrin-bound TGF-ß. It is because of this continued, tissue-specific upregulation of integrins and their key roles in continued TGF-ß-activation that we believe that integrins provide an avenue to selectively inhibit TGF-ß activation in fibrotic tissue without affecting TGF-ß’s important physiological roles in healthy tissues.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v Integrins promote fibrosis through activation of TGF-ß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154305</wp:posOffset>
            </wp:positionV>
            <wp:extent cx="4474845" cy="1954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7484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Model of integrin regulation of TGF-ß signaling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Challenges to Drug Development in Fibrosis</w:t>
      </w:r>
    </w:p>
    <w:p>
      <w:pPr>
        <w:spacing w:after="0" w:line="185"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Fibrosis has historically been a difficult therapeutic area to target pharmaceutically. The biology and underlying causes of fibrosis are complex and, in many diseases, poorly understood. In the past, many patients with fibrotic disease were treated with anti-inflammatory agents such as steroids. While steroids may have a mild anti-fibrotic effect in some forms of fibrosis, they can exacerbate others, such as IPF. Additionally, the negative effects of chronic steroid exposure make it difficult to treat patients with these agents for long-term periods.</w:t>
      </w:r>
    </w:p>
    <w:p>
      <w:pPr>
        <w:spacing w:after="0" w:line="146"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More recently, it has become well understood that regardless of the underlying cause, TGF-ß activation is at the heart of several key processes that drive fibrosis, including collagen formation, deposition of extracellular matrix proteins and activation and proliferation of fibroblast cells. As such, much of the historic drug development efforts to treat fibrosis have been aimed at systemically inhibiting or disrupting the TGF-ß signaling pathway by either (i) blocking TGF-ß binding to the TGF-ß receptors with an antibody or (ii) preventing the type I TGF-ß receptor, also known as ALK5, from activating the SMADs using a small-molecule kinase inhibitor. However, because of TGF-ß’s role in normal physiology, these approaches cause substantial toxicity and dysregulation of normal functions. In fact, documented toxicities that arise from systemic inhibition of TGF-ß signaling include cardiac toxicity, inflammation, and focal epithelial hyperplasia.</w:t>
      </w:r>
    </w:p>
    <w:p>
      <w:pPr>
        <w:spacing w:after="0" w:line="168"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A potentially safer approach to fibrosis therapy is to inhibit specific pro-fibrotic signaling molecules, such as connective tissue growth factor and autotaxin, which operate downstream of TGF-ß activation, thereby mitigating the tolerability issues associated with systemic TGF-ß inhibition. While tolerability has been shown to improve with this approach, the efficacy shown to date has been modest, likely because TGF-ß activates multiple pro-fibrotic signaling pathways in addition to those targeted by these approaches.</w:t>
      </w:r>
    </w:p>
    <w:p>
      <w:pPr>
        <w:spacing w:after="0" w:line="146"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Another recent approach is to prevent TGF-ß activation by stabilizing TGF-ß in its inactive form. However, it is not known whether latent TGF-ß stabilization can be accomplished in a tissue specific manner.</w:t>
      </w:r>
    </w:p>
    <w:p>
      <w:pPr>
        <w:spacing w:after="0" w:line="130"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In addition to the historical difficulty in targeting TGF-ß, clinical development for the treatment of fibrosis has also been limited by the lack of tools to understand this complex multicellular process. Only certain parts of this process can be modeled using cellular assays. More complete representations of fibrosis can be generated in animal models, but these models tend to be acute in nature and do not accurately represent disease pathology in humans which, in most cases, develops over decades. While fibrosis has historically been a difficult area of development, there has been significant interest in the space from large-cap pharma companies due to the relative scarcity of companies developing antifibrotic candidates. This is evidenced by several recent notable acquisitions in the space including Roche’s acquisitions of InterMune and Promedior, Allergan’s acquisition of Tobira, and Gilead’s strategic investment in Galapagos.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Integrin Inhibitors as a Potential Treatment for Fibrosis</w:t>
      </w:r>
    </w:p>
    <w:p>
      <w:pPr>
        <w:spacing w:after="0" w:line="198" w:lineRule="exact"/>
        <w:rPr>
          <w:sz w:val="20"/>
          <w:szCs w:val="20"/>
          <w:color w:val="auto"/>
        </w:rPr>
      </w:pPr>
    </w:p>
    <w:p>
      <w:pPr>
        <w:ind w:right="60" w:firstLine="501"/>
        <w:spacing w:after="0" w:line="289" w:lineRule="auto"/>
        <w:rPr>
          <w:sz w:val="20"/>
          <w:szCs w:val="20"/>
          <w:color w:val="auto"/>
        </w:rPr>
      </w:pPr>
      <w:r>
        <w:rPr>
          <w:rFonts w:ascii="Arial" w:cs="Arial" w:eastAsia="Arial" w:hAnsi="Arial"/>
          <w:sz w:val="16"/>
          <w:szCs w:val="16"/>
          <w:color w:val="auto"/>
        </w:rPr>
        <w:t>An ideal approach to fibrosis treatment would be one that inhibits TGF-ß activation in only those tissues where fibrosis is occurring. One potential way to accomplish this is to inhibit the integrin proteins that are known to be overexpressed in specific fibrotic tissue and cause the abnormal activation of TGF-ß. In several forms of fibrosis, namely IPF and PSC, TGF-ß activating integrins such as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are over-expressed. These integrins are normally expressed at low levels in healthy tissue. Therefore, we would not expect off-target toxicity effects by selectively inhibiting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avß1. By inhibiting fibrosis-specific TGF-ß activators such as these specific integrins, it is possible to block abnormal TGF-ß activation in the specific tissues where fibrosis occurs, without affecting TGF-ß signaling in healthy tissues. However, integrin drug development has historically been challenging due to the difficulty of developing small molecule integrin inhibitors that are both selective for specific integrins and bioavailable. Notably, a recent approach targeting integrins selectively with a monoclonal antibody was terminated due to safety concerns, which we believe may be related to antibody-mediated immune activation. We believe our pipeline of bioavailable highly selective small molecule integrin inhibitors has the potential to address these challenges.</w:t>
      </w:r>
    </w:p>
    <w:p>
      <w:pPr>
        <w:spacing w:after="0" w:line="126" w:lineRule="exact"/>
        <w:rPr>
          <w:sz w:val="20"/>
          <w:szCs w:val="20"/>
          <w:color w:val="auto"/>
        </w:rPr>
      </w:pPr>
    </w:p>
    <w:p>
      <w:pPr>
        <w:ind w:right="40" w:firstLine="501"/>
        <w:spacing w:after="0" w:line="262" w:lineRule="auto"/>
        <w:rPr>
          <w:sz w:val="20"/>
          <w:szCs w:val="20"/>
          <w:color w:val="auto"/>
        </w:rPr>
      </w:pPr>
      <w:r>
        <w:rPr>
          <w:rFonts w:ascii="Arial" w:cs="Arial" w:eastAsia="Arial" w:hAnsi="Arial"/>
          <w:sz w:val="18"/>
          <w:szCs w:val="18"/>
          <w:color w:val="auto"/>
        </w:rPr>
        <w:t>Recently, large biopharmaceutical companies have begun to recognize the potential of anti-integrin approaches to treat fibrosis and made large investments in the space. AbbVie recently in-licensed a set of preclinical integrin inhibitors for the treatment of fibrosis including an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inhibitor targeting IPF. The AbbVie product candidate is a single selective inhibitor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however, it has been shown that the expression of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is upregulated in IPF. We believe that our dual-selective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inhibitor approach has the potential to provide a more potent anti-fibrotic effect than a single selective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inhibitor.</w:t>
      </w:r>
    </w:p>
    <w:p>
      <w:pPr>
        <w:spacing w:after="0" w:line="126" w:lineRule="exact"/>
        <w:rPr>
          <w:sz w:val="20"/>
          <w:szCs w:val="20"/>
          <w:color w:val="auto"/>
        </w:rPr>
      </w:pPr>
    </w:p>
    <w:p>
      <w:pPr>
        <w:ind w:right="440" w:firstLine="501"/>
        <w:spacing w:after="0" w:line="301" w:lineRule="auto"/>
        <w:rPr>
          <w:sz w:val="20"/>
          <w:szCs w:val="20"/>
          <w:color w:val="auto"/>
        </w:rPr>
      </w:pPr>
      <w:r>
        <w:rPr>
          <w:rFonts w:ascii="Arial" w:cs="Arial" w:eastAsia="Arial" w:hAnsi="Arial"/>
          <w:sz w:val="16"/>
          <w:szCs w:val="16"/>
          <w:color w:val="auto"/>
        </w:rPr>
        <w:t>We believe that recent developments in the field of integrin inhibitors validate our initial focus on integrin inhibitors as a treatment for fibrosis. Utilizing our proprietary discovery and development capabilities, we believe that we have overcome key historical challenges to the development of integrin inhibitors, including potency, selectivity, and bioavailability. We have identified two bioavailable and highly potent and selective integrin inhibitors. Our lead product candidate, PLN-74809, has completed Phase 1a trials and has demonstrated potential for a once daily oral dosing profile.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Capability and Approach to Fibrosis Drug Discovery and Development</w:t>
      </w:r>
    </w:p>
    <w:p>
      <w:pPr>
        <w:spacing w:after="0" w:line="189"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 xml:space="preserve">Our approach to drug development in fibrosis combines our deep knowledge of the biology of fibrosis with various cellular, tissue,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assays developed in house to interrogate the biology of fibrosis and uncover pathways and potential targets. We developed an extensive panel of cell assays, precision cut tissue assays and animal models covering various types of fibrotic diseases. These assays allow us to evaluate target expression in fibrotic tissues as well as the anti-fibrotic activity of our candidates after treatment and begin to establish proof-of-biological-mechanism in both animal models and human tissue prior to initiating clinical trials. We believe these collective capabilities uniquely allow us to (i) efficiently identify targets, (ii) optimize the potency and selectivity of candidates and (iii) de-risk product candidates in advance of human proof-of-concept.</w:t>
      </w:r>
    </w:p>
    <w:p>
      <w:pPr>
        <w:spacing w:after="0" w:line="137" w:lineRule="exact"/>
        <w:rPr>
          <w:sz w:val="20"/>
          <w:szCs w:val="20"/>
          <w:color w:val="auto"/>
        </w:rPr>
      </w:pPr>
    </w:p>
    <w:p>
      <w:pPr>
        <w:ind w:right="100" w:firstLine="501"/>
        <w:spacing w:after="0" w:line="279" w:lineRule="auto"/>
        <w:rPr>
          <w:sz w:val="20"/>
          <w:szCs w:val="20"/>
          <w:color w:val="auto"/>
        </w:rPr>
      </w:pPr>
      <w:r>
        <w:rPr>
          <w:rFonts w:ascii="Arial" w:cs="Arial" w:eastAsia="Arial" w:hAnsi="Arial"/>
          <w:sz w:val="17"/>
          <w:szCs w:val="17"/>
          <w:color w:val="auto"/>
        </w:rPr>
        <w:t>The first tool we use in our discovery process is our target expression atlas. Utilizing samples from normal and fibrotic human tissue, we developed a quantitative atlas of gene and protein expression across multiple fibrotic diseases. This database represents a wealth of data that we use to quantify expression of tissue specific targets for potential therapeutics. The atlas is continuously expanding through acquisition of additional samples as well as additional analyses. To date, we have advanced multiple potential targets to our early discovery pipeline.</w:t>
      </w:r>
    </w:p>
    <w:p>
      <w:pPr>
        <w:spacing w:after="0" w:line="144"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The second important tool in our discovery process is our compound library that we screen for activity against targets identified through our target atlas. While we are agnostic to treatment modality, our initial targeted chemistry effort has been focused on integrin inhibitors, and our medicinal chemistry team has developed a proprietary library of over 7,000 potential integrin inhibitors. The goal of the library is to maximize structural diversity while targeting optimal absorption, distribution, metabolism, and excretion, or ADME, properties. We expect that the library will continue to grow as we investigate new structures. We have designed the library based on in silico known X-ray structures/homology models, structure-activity relationships of structural motifs of known integrin inhibitors, and de novo molecular design. In addition to our proprietary integrin inhibitor library, we have a non-integrin compound library of over 70,000 compounds that we screen against non-integrin targets.</w:t>
      </w:r>
    </w:p>
    <w:p>
      <w:pPr>
        <w:spacing w:after="0" w:line="137"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Once we have identified a potential target through our target expression atlas, we screen our library of compounds against the target. We have developed screening assays for 20 of the 24 known integrins and use these assays to evaluate the potency and selectivity of binding for our potential drug candidates prior to preclinical studies. Given the selectivity and potency challenges that have hampered integrin drug development, we believe our integrin assay panel represents a major step forward in integrin-based drug development.</w:t>
      </w:r>
    </w:p>
    <w:p>
      <w:pPr>
        <w:spacing w:after="0" w:line="146"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We believe a key advantage of our development strategy is our ability to test our product candidates in live human fibrotic tissue, which helps us to bridge the gap between animal models and clinical proof-of-concept. We have developed proprietary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right="20"/>
        <w:spacing w:after="0" w:line="296" w:lineRule="auto"/>
        <w:rPr>
          <w:sz w:val="20"/>
          <w:szCs w:val="20"/>
          <w:color w:val="auto"/>
        </w:rPr>
      </w:pPr>
      <w:r>
        <w:rPr>
          <w:rFonts w:ascii="Arial" w:cs="Arial" w:eastAsia="Arial" w:hAnsi="Arial"/>
          <w:sz w:val="16"/>
          <w:szCs w:val="16"/>
          <w:color w:val="auto"/>
        </w:rPr>
        <w:t>protocols that extend the viability of live human explant tissue samples which allow us to reproducibly perform multiday experiments. We also maintain an on-call, around the clock team that obtains tissue samples following transplant procedures and transports those tissues to our lab within hours of explant, in a highly coordinated process. Our access to these live tissue samples allows us to evaluate the effects of our product candidates on multiple markers of anti-fibrotic activity. The data from these experiments increase our confidence that the tested product candidates will show anti-fibrotic effects in patients. In this way, our human tissue program serves to further de-risk product candidates and increase their likelihood of success in the clinic.</w:t>
      </w:r>
    </w:p>
    <w:p>
      <w:pPr>
        <w:spacing w:after="0" w:line="134" w:lineRule="exact"/>
        <w:rPr>
          <w:sz w:val="20"/>
          <w:szCs w:val="20"/>
          <w:color w:val="auto"/>
        </w:rPr>
      </w:pPr>
    </w:p>
    <w:p>
      <w:pPr>
        <w:ind w:right="220" w:firstLine="501"/>
        <w:spacing w:after="0" w:line="275" w:lineRule="auto"/>
        <w:rPr>
          <w:sz w:val="20"/>
          <w:szCs w:val="20"/>
          <w:color w:val="auto"/>
        </w:rPr>
      </w:pPr>
      <w:r>
        <w:rPr>
          <w:rFonts w:ascii="Arial" w:cs="Arial" w:eastAsia="Arial" w:hAnsi="Arial"/>
          <w:sz w:val="17"/>
          <w:szCs w:val="17"/>
          <w:color w:val="auto"/>
        </w:rPr>
        <w:t>Once in clinical development, we seek to further de-risk our programs by designing clinical trials that allow us to show proof-of-mechanism in advance of clinical efficacy data. Because fibrosis is a chronic disease, proof-of-efficacy in human trials is expensive and takes years to complete. We utilize pharmacodynamic biomarkers and advanced imaging techniques, including PET, to evaluate target engagement by our product candidates over relatively short time periods and observe whether the product candidate is having the anticipated effect. We believe obtaining these clinical data points in an efficient manner will allow us to optimize our clinical development strategy and resource allocation.</w:t>
      </w:r>
    </w:p>
    <w:p>
      <w:pPr>
        <w:spacing w:after="0" w:line="136" w:lineRule="exact"/>
        <w:rPr>
          <w:sz w:val="20"/>
          <w:szCs w:val="20"/>
          <w:color w:val="auto"/>
        </w:rPr>
      </w:pPr>
    </w:p>
    <w:p>
      <w:pPr>
        <w:ind w:right="60" w:firstLine="501"/>
        <w:spacing w:after="0" w:line="286" w:lineRule="auto"/>
        <w:rPr>
          <w:sz w:val="20"/>
          <w:szCs w:val="20"/>
          <w:color w:val="auto"/>
        </w:rPr>
      </w:pPr>
      <w:r>
        <w:rPr>
          <w:rFonts w:ascii="Arial" w:cs="Arial" w:eastAsia="Arial" w:hAnsi="Arial"/>
          <w:sz w:val="17"/>
          <w:szCs w:val="17"/>
          <w:color w:val="auto"/>
        </w:rPr>
        <w:t>We and our partners also proactively conduct observational, natural history trials in target diseases to better understand disease pathophysiology and progression and develop new molecular biomarkers. Through these trials, we have gone on to develop patient registries and establish relationships with clinicians at leading medical research institutions dedicated to bringing novel fibrosis therapies to their patients.</w:t>
      </w:r>
    </w:p>
    <w:p>
      <w:pPr>
        <w:spacing w:after="0" w:line="125"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We are developing an extensive biomarker discovery and validation program. We are seeking to develop biomarkers to (i) identify patients at high risk of rapid disease progression, (ii) identify patients more likely to respond to treatment and (iii) monitor early treatment responses. We are conducting clinical studies and other research with leading academic centers to track disease progression and collect biological samples such as blood, urine, and tissue biopsies which we can use to discover and validate novel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127635</wp:posOffset>
            </wp:positionV>
            <wp:extent cx="4474845" cy="1697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748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systematic approach to identifying and targeting integrins in fibrosis</w:t>
      </w:r>
    </w:p>
    <w:p>
      <w:pPr>
        <w:spacing w:after="0" w:line="198"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Selective inhibition of TGF-ß activation in fibrotic tissues could potentially be the safest and most effective approach to treating fibrosis. One way to accomplish this is to inhibit the integrin receptors that drive excessive activation of TGF-ß. Given the importance of integrins in regulating the initial steps in fibrosis, we have focused our initial drug discovery efforts on a dual approach. This approach includes both biological profiling to identify which integrins are important in various diseased tissues and chemical profiling of libraries containing proprietary integrin inhibitors to help determine their selectivity and potency for individual integrins.</w:t>
      </w:r>
    </w:p>
    <w:p>
      <w:pPr>
        <w:spacing w:after="0" w:line="14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Utilizing our extensive in-house medicinal chemistry expertise, we have created a library of over 7,000 integrin-inhibitors. We screen this library against the integrin targets that we identify through our expression atlas and or biological profiling process. To our knowledge, this type of industrial-scale, systematic biological and chemical profiling, seeking selective inhibitors of one or more integrins, has not previously been carried out. We believe this combination makes our approach distinctive.</w:t>
      </w:r>
    </w:p>
    <w:p>
      <w:pPr>
        <w:spacing w:after="0" w:line="146"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Central to our integrin inhibitor discovery process are our integrin assay panels. A key challenge in integrin inhibition, historically, has been selectivity for specific integrins. To address this challenge, we have developed assays against the 20 most relevant known integrins. We use these screening assays to measure potency and selectivity of potential candidates against these integrins. This allows us to quickly optimize the integrin binding profiles of potential development candidates in an iterative process.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jc w:val="both"/>
        <w:ind w:right="100" w:firstLine="501"/>
        <w:spacing w:after="0" w:line="263" w:lineRule="auto"/>
        <w:rPr>
          <w:sz w:val="20"/>
          <w:szCs w:val="20"/>
          <w:color w:val="auto"/>
        </w:rPr>
      </w:pPr>
      <w:r>
        <w:rPr>
          <w:rFonts w:ascii="Arial" w:cs="Arial" w:eastAsia="Arial" w:hAnsi="Arial"/>
          <w:sz w:val="18"/>
          <w:szCs w:val="18"/>
          <w:color w:val="auto"/>
        </w:rPr>
        <w:t>Integrins can undergo conformational change. This results in different binding affinities. We believe an ideal integrin inhibitor should potently bind across the spectrum of conformations. Through the use of specific assays, we can measure the potency of our product candidates against multiple integrin conformations and seek to optimize for candidates that are able to potently bind to all conformations.</w:t>
      </w:r>
    </w:p>
    <w:p>
      <w:pPr>
        <w:spacing w:after="0" w:line="157" w:lineRule="exact"/>
        <w:rPr>
          <w:sz w:val="20"/>
          <w:szCs w:val="20"/>
          <w:color w:val="auto"/>
        </w:rPr>
      </w:pPr>
    </w:p>
    <w:p>
      <w:pPr>
        <w:ind w:right="420" w:firstLine="501"/>
        <w:spacing w:after="0" w:line="263" w:lineRule="auto"/>
        <w:rPr>
          <w:sz w:val="20"/>
          <w:szCs w:val="20"/>
          <w:color w:val="auto"/>
        </w:rPr>
      </w:pPr>
      <w:r>
        <w:rPr>
          <w:rFonts w:ascii="Arial" w:cs="Arial" w:eastAsia="Arial" w:hAnsi="Arial"/>
          <w:sz w:val="18"/>
          <w:szCs w:val="18"/>
          <w:color w:val="auto"/>
        </w:rPr>
        <w:t>In addition to our deep understanding of integrin biology, we have gained significant insight in structure-activity relationships that determine integrin selectivity and optimal PK profiles. Utilizing this knowledge, we are now able to precisely engineer bioavailable integrin inhibitors with high potency and desired selectivity.</w:t>
      </w:r>
    </w:p>
    <w:p>
      <w:pPr>
        <w:spacing w:after="0" w:line="143"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Our integrin inhibitor profiling capability has enabled us to quickly identify inhibitors that target individual integrins such as PLN-1474, which selectively inhibits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as well as dual inhibitors such PLN-74809 which selectively targets both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Combining the data from our biological profiling and chemical profiling sets has enabled us to identify compounds that we believe have the highest potential for therapeutic activity in specific fibrotic diseases. Our iterative drug discovery effort focuses on drug-like properties of compounds early in the testing process. Compounds are screened for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potency/selectivity and ADME/PK properties. This enables us to move from compound optimization to</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testing in a matter of months.</w:t>
      </w:r>
    </w:p>
    <w:p>
      <w:pPr>
        <w:spacing w:after="0" w:line="121"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We continue to evaluate our broad proprietary library of integrin inhibitors to identify additional product candidates to treat fibrotic diseases. Furthermore, our approach allows us to use our discovery and development capabilities to develop non-integrin therapeutic modalities to treat fibrotic diseases. Our rich library also provides a deep series of potential backup molecules with structurally unique chemotypes that we believe can enhance the probability of clinical success.</w:t>
      </w:r>
    </w:p>
    <w:p>
      <w:pPr>
        <w:spacing w:after="0" w:line="160"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 xml:space="preserve">As with all of our development efforts, a key approach to preclinically de-risking our integrin inhibitor candidates is evaluation of candidates in live human fibrotic tissue obtained following transplant procedures. The ability to observe effects of our product candidates on gene expression in human tissues prior to entering the clinic provides a bridge from animal models to clinical proof-of-concept and helps give us additional confidence as we move toward human trials. Similarly, if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live human tissue studies show little or no effect on the target genes, we can quickly reallocate resources, saving time and money, and minimizing unnecessary patient exposure.</w:t>
      </w:r>
    </w:p>
    <w:p>
      <w:pPr>
        <w:spacing w:after="0" w:line="147" w:lineRule="exact"/>
        <w:rPr>
          <w:sz w:val="20"/>
          <w:szCs w:val="20"/>
          <w:color w:val="auto"/>
        </w:rPr>
      </w:pPr>
    </w:p>
    <w:p>
      <w:pPr>
        <w:jc w:val="both"/>
        <w:ind w:right="200" w:firstLine="501"/>
        <w:spacing w:after="0" w:line="259" w:lineRule="auto"/>
        <w:rPr>
          <w:sz w:val="20"/>
          <w:szCs w:val="20"/>
          <w:color w:val="auto"/>
        </w:rPr>
      </w:pPr>
      <w:r>
        <w:rPr>
          <w:rFonts w:ascii="Arial" w:cs="Arial" w:eastAsia="Arial" w:hAnsi="Arial"/>
          <w:sz w:val="18"/>
          <w:szCs w:val="18"/>
          <w:color w:val="auto"/>
        </w:rPr>
        <w:t>A second important de-risking strategy involves biomarker measurement in both preclinical and early-stage clinical studies. By utilizing specific biomarkers such as pSMAD2/3 that operate immediately downstream from TGF-ß, we are able to measure the effects of our drugs on TGF-ß activation. We believe understanding the ability of our drug candidates to reduce TGF-ß activation is crucial to gaining confidence in the anti-fibrotic activity of our product candidates as we move forward in the clinic.</w:t>
      </w:r>
    </w:p>
    <w:p>
      <w:pPr>
        <w:spacing w:after="0" w:line="146" w:lineRule="exact"/>
        <w:rPr>
          <w:sz w:val="20"/>
          <w:szCs w:val="20"/>
          <w:color w:val="auto"/>
        </w:rPr>
      </w:pPr>
    </w:p>
    <w:p>
      <w:pPr>
        <w:ind w:firstLine="501"/>
        <w:spacing w:after="0" w:line="274" w:lineRule="auto"/>
        <w:rPr>
          <w:sz w:val="20"/>
          <w:szCs w:val="20"/>
          <w:color w:val="auto"/>
        </w:rPr>
      </w:pPr>
      <w:r>
        <w:rPr>
          <w:rFonts w:ascii="Arial" w:cs="Arial" w:eastAsia="Arial" w:hAnsi="Arial"/>
          <w:sz w:val="17"/>
          <w:szCs w:val="17"/>
          <w:color w:val="auto"/>
        </w:rPr>
        <w:t>In our Phase 2 clinical trials, we will use an advanced imaging technique to generate mechanistic data and de-risk the development of our candidates. Fibrosis is a chronic process, and it can take 6 months to a year to see a clinical benefit with a product candidate. We will utilize PET imaging to evaluate target engagement in patients and to determine if PLN-74809 is penetrating and having an effect in the tissues. We have an ongoing collaboration with Stanford pursuant to which we are evaluating Stanford’s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PET ligand in IPF patients. We are using this ligand to evaluate the level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expression in the lungs of IPF patients, as well as to measure our product candidate’s ability to bind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In addition to the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PET ligand, Pliant has developed an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PET tracer to evaluate the level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expression in fibrotic tissues, as well as to measure the ability of our product candidates to penetrate fibrotic tissues and bind to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We filed an IND for this program in December 2020 and the FDA has since issued a “safe to proceed” letter. We plan to initiate clinical trials of our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PET ligand as soon as possible.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PLN-74809 for the treatment of IPF and PSC</w:t>
      </w:r>
    </w:p>
    <w:p>
      <w:pPr>
        <w:spacing w:after="0" w:line="185" w:lineRule="exact"/>
        <w:rPr>
          <w:sz w:val="20"/>
          <w:szCs w:val="20"/>
          <w:color w:val="auto"/>
        </w:rPr>
      </w:pPr>
    </w:p>
    <w:p>
      <w:pPr>
        <w:ind w:right="120" w:firstLine="501"/>
        <w:spacing w:after="0" w:line="293" w:lineRule="auto"/>
        <w:rPr>
          <w:sz w:val="20"/>
          <w:szCs w:val="20"/>
          <w:color w:val="auto"/>
        </w:rPr>
      </w:pPr>
      <w:r>
        <w:rPr>
          <w:rFonts w:ascii="Arial" w:cs="Arial" w:eastAsia="Arial" w:hAnsi="Arial"/>
          <w:sz w:val="16"/>
          <w:szCs w:val="16"/>
          <w:color w:val="auto"/>
        </w:rPr>
        <w:t>Our lead product candidate, PLN-74809, is an oral small-molecule, dual-selective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integrins which we are developing for the treatment of IPF and PSC. We have received orphan drug designation for PLN-74809 in both IPF and PSC. We completed a Phase 1a trial of PLN-74809 in healthy volunteers and a Phase 1b trial in which we assessed target engagement and proof-of-mechanism in healthy volunteers by examining the inhibition of TGF-ß activation in alveolar macrophages. We are recruiting two Phase 2a trials of PLN-74809 in IPF patients subject to the impact of the COVID-19 pandemic. We are also recruiting a Phase 2a trial of PLN-74809 in PSC patients subject to the impact of the COVID-19 pandemic. The Phase 2a studies in IPF and PSC are enrolling up to 84 patients each, evaluating up to three dose cohorts of PLN-74809 or placebo.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 background</w:t>
      </w:r>
    </w:p>
    <w:p>
      <w:pPr>
        <w:spacing w:after="0" w:line="185"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IPF is a debilitating, age-related lung disease of unknown causes that has few treatment options. It is a form of progressive pulmonary fibrosis that leads to thickening and stiffening of the lung tissue resulting in the loss of lung function. As tissue scarring progresses, the lungs’ ability to transfer oxygen into the bloodstream becomes increasingly impaired. Average life expectancy at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time of confirmatory diagnosis of IPF is estimated to be between three and four years. Approximately 60 to 80 percent of patients die within five years of diagnosis. These survival rates are worse than those of many late-stage cancers, such as stage 3 breast cancer.</w:t>
      </w:r>
    </w:p>
    <w:p>
      <w:pPr>
        <w:spacing w:after="0" w:line="143" w:lineRule="exact"/>
        <w:rPr>
          <w:sz w:val="20"/>
          <w:szCs w:val="20"/>
          <w:color w:val="auto"/>
        </w:rPr>
      </w:pPr>
    </w:p>
    <w:p>
      <w:pPr>
        <w:jc w:val="both"/>
        <w:ind w:right="140" w:firstLine="501"/>
        <w:spacing w:after="0" w:line="311" w:lineRule="auto"/>
        <w:rPr>
          <w:sz w:val="20"/>
          <w:szCs w:val="20"/>
          <w:color w:val="auto"/>
        </w:rPr>
      </w:pPr>
      <w:r>
        <w:rPr>
          <w:rFonts w:ascii="Arial" w:cs="Arial" w:eastAsia="Arial" w:hAnsi="Arial"/>
          <w:sz w:val="16"/>
          <w:szCs w:val="16"/>
          <w:color w:val="auto"/>
        </w:rPr>
        <w:t>Patients with IPF experience debilitating symptoms, including shortness of breath and difficulty performing routine functions, such as walking and talking. Other symptoms include a chronic, dry, hacking cough; fatigue; weakness; discomfort in the chest; loss of appetite; and weight loss. IPF is a rare disease that affects approximately 140,000 people in the United States. There are an estimated 30,000 to 40,000 new cases diagnosed each year.</w:t>
      </w:r>
    </w:p>
    <w:p>
      <w:pPr>
        <w:spacing w:after="0" w:line="108"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Currently, there is no pharmacological cure for IPF and only a small proportion of late-stage IPF patients may be eligible for a lung transplant. The current non-transplant standard of care aims to slow the disease progression and improve the quality of life. Two therapies to treat IPF have recently been approved by the FDA: Esbriet® (pirfenidone), marketed by Genentech, and OFEV® (nintedanib), marketed by Boehringer Ingelheim. After decades during which the FDA approved no new treatments for IPF, the approvals of pirfenidone and nintedanib represented a major breakthrough for IPF patients. However, while these therapies may help slow the decline of lung function, neither drug has been shown to stop the progression of IPF. We believe that, despite the approval of pirfenidone and nintedanib by FDA, there remains an unmet need for IPF patients that we plan to address through our product candidate.</w:t>
      </w:r>
    </w:p>
    <w:p>
      <w:pPr>
        <w:spacing w:after="0" w:line="154"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Despite its mechanism of action being unknown, pirfenidone has been shown in registrational trials to have a modest effect on slowing the progression of IPF as measured by forced vital capacity, or FVC, in approximately fifteen percent of patients. Recent studies suggest that pirfenidone may have an impact on survival compared to placebo, but these results have not been confirmed. In March 2020, the FDA granted breakthrough therapy designation for pirfenidone for treatment of unclassifiable lung fibrosis.</w:t>
      </w:r>
    </w:p>
    <w:p>
      <w:pPr>
        <w:spacing w:after="0" w:line="160"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Nintedanib is an inhibitor of multiple tyrosine kinases that are receptors for growth factors such as platelet-derived growth factor, or PDGF, fibroblast growth factor, or FGF, and vascular endothelial growth factor or VEGF. Nintedanib reduced the rate of decline of pulmonary function in multiple trials by approximately half and led to significant delays in the time to acute disease exacerbation. While treatment was associated with a trend towards increased survival in registration trials, it has not been shown conclusively to have a survival benefit. Recent exploratory analyses from pooled data from six clinical trials of nintedanib suggest that nintedanib may extend life expectancy in patients with IPF. The FDA approved nintedanib for the treatment of lung fibrosis associated with systemic sclerosis in September 2019, and for the treatment of chronic fibrosing interstitial lung disease, or ILD with a progressive phenotype in March 2020.</w:t>
      </w:r>
    </w:p>
    <w:p>
      <w:pPr>
        <w:spacing w:after="0" w:line="154"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Elevated liver enzymes have been observed with both of these drugs, requiring monitoring of liver tests and potentially temporary dose reduction and discontinuation. Cases of drug-induced liver injury, including one fatal outcome, have been reported in patients treated with nintedanib. Pirfenidone’s prescribing information also carries a similar warning about elevated liver enzymes. Despite the remaining unmet need, combined sales of pirfenidone and nintedanib in 2019 were over $2.7 billion. IPF remains a major cause of morbidity and mortality and an area of high unmet medical need for which a commercial opportunity remains.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sclerosing cholangitis background</w:t>
      </w:r>
    </w:p>
    <w:p>
      <w:pPr>
        <w:spacing w:after="0" w:line="198" w:lineRule="exact"/>
        <w:rPr>
          <w:sz w:val="20"/>
          <w:szCs w:val="20"/>
          <w:color w:val="auto"/>
        </w:rPr>
      </w:pPr>
    </w:p>
    <w:p>
      <w:pPr>
        <w:ind w:right="120" w:firstLine="501"/>
        <w:spacing w:after="0" w:line="273" w:lineRule="auto"/>
        <w:rPr>
          <w:sz w:val="20"/>
          <w:szCs w:val="20"/>
          <w:color w:val="auto"/>
        </w:rPr>
      </w:pPr>
      <w:r>
        <w:rPr>
          <w:rFonts w:ascii="Arial" w:cs="Arial" w:eastAsia="Arial" w:hAnsi="Arial"/>
          <w:sz w:val="17"/>
          <w:szCs w:val="17"/>
          <w:color w:val="auto"/>
        </w:rPr>
        <w:t>PSC is a progressive liver disorder characterized by inflammation and fibrosis of the bile ducts which transport bile from the liver to the intestines. This type of fibrosis often results in obstruction or interruption of bile flow from the liver, a condition known as cholestasis, leading to liver fibrosis. Cirrhosis eventually develops and many individuals ultimately require a liver transplant. PSC patients are also at a higher risk of developing hepatobiliary cancers, including a 5 to 20 percent lifetime chance of developing cholangiocarcinoma, a typically rare form of cancer with an especially poor prognosis. The exact cause of PSC is unknown. PSC is normally diagnosed at middle age, with a median age at diagnosis of approximately 40 years old. The prevalence of PSC in the United States is estimated to be between 30,000 and 45,000 patients.</w:t>
      </w:r>
    </w:p>
    <w:p>
      <w:pPr>
        <w:spacing w:after="0" w:line="13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In the absence of liver transplant, median survival of PSC patients is 10 to 12 years following diagnosis without intervention. There are currently no approved pharmacological treatments for PSC. A number of immunosuppressive and anti-inflammatory agents have been studied in patients with PSC, but none has been conclusively proven to slow progression. Liver transplantation is the only available treatment for PSC patients; however, disease has been shown to recur in up to 20 percent of patients following transplantation.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PLN-74809</w:t>
      </w:r>
    </w:p>
    <w:p>
      <w:pPr>
        <w:spacing w:after="0" w:line="198"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PLN-74809 is a small-molecule that selectively inhibits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integrins that we are developing as a potential therapy for IPF and PSC. We have determined that TGF-ß activation in fibrosis associated with IPF and PSC involves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integrins. It has been shown that expression of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on epithelial cells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on fibroblasts can lead to excessive activation of TGF-ß in fibrosis. Epithelial tissue includes any tissue that lines the surfaces of the body such as alveoli, bile ducts, urinary tract, skin, and gastrointestinal tract. Each of these tissues contains multiple cell types including epithelial cells and fibroblasts. 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important secondary effect of the TGF-ß cascade is that it promotes upregulation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on epithelial cells. The increased expression of these integrins on the cell surface contributes in turn to further TGF-ß activation in a TGF-ß-driven positive feed-forward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117475</wp:posOffset>
            </wp:positionV>
            <wp:extent cx="2802890" cy="1577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2890" cy="1577340"/>
                    </a:xfrm>
                    <a:prstGeom prst="rect">
                      <a:avLst/>
                    </a:prstGeom>
                    <a:noFill/>
                  </pic:spPr>
                </pic:pic>
              </a:graphicData>
            </a:graphic>
          </wp:anchor>
        </w:drawing>
      </w:r>
    </w:p>
    <w:p>
      <w:pPr>
        <w:spacing w:after="0" w:line="326"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 xml:space="preserve">Activation of TGF-ß by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w:t>
      </w:r>
      <w:r>
        <w:rPr>
          <w:rFonts w:ascii="Arial" w:cs="Arial" w:eastAsia="Arial" w:hAnsi="Arial"/>
          <w:sz w:val="16"/>
          <w:szCs w:val="16"/>
          <w:b w:val="1"/>
          <w:bCs w:val="1"/>
          <w:color w:val="auto"/>
        </w:rPr>
        <w:t xml:space="preserve"> leads to:</w:t>
      </w:r>
    </w:p>
    <w:p>
      <w:pPr>
        <w:spacing w:after="0" w:line="174"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Activation of TGF-ß signaling pathways</w:t>
      </w:r>
    </w:p>
    <w:p>
      <w:pPr>
        <w:spacing w:after="0" w:line="167"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Expression of pro-fibrotic genes including </w:t>
      </w:r>
      <w:r>
        <w:rPr>
          <w:rFonts w:ascii="Arial" w:cs="Arial" w:eastAsia="Arial" w:hAnsi="Arial"/>
          <w:sz w:val="16"/>
          <w:szCs w:val="16"/>
          <w:i w:val="1"/>
          <w:iCs w:val="1"/>
          <w:color w:val="auto"/>
        </w:rPr>
        <w:t>COL1A1</w:t>
      </w:r>
    </w:p>
    <w:p>
      <w:pPr>
        <w:spacing w:after="0" w:line="181"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Subsequent collagen production and deposition</w:t>
      </w:r>
    </w:p>
    <w:p>
      <w:pPr>
        <w:spacing w:after="0" w:line="163"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Additional upregulation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Epithelial tissue fibrosis is driven by two types of integrins</w:t>
      </w:r>
    </w:p>
    <w:p>
      <w:pPr>
        <w:spacing w:after="0" w:line="202"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Data from our lab, as well as scientific literature, have shown that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proteins are overexpressed in at least two different fibrosis indications: IPF and PSC. In lung tissue from IPF patients we and others have shown that alveolar epithelial cells have elevated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expression, and that the level of over-expression correlates with disease severity. We have also shown that in these patients,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expression is upregulated. In liver tissue from PSC patients, we have shown that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is upregulated in cholangiocytes, the epithelial cells that line the bile ducts, and that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is upregulated in whole fibrotic liver tissue.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are normally expressed at very low levels in healthy tissue making them ideal targets for selectively inhibiting TGF-ß activation in IPF and 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131445</wp:posOffset>
            </wp:positionV>
            <wp:extent cx="1885950" cy="1491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w:t>
      </w:r>
      <w:r>
        <w:rPr>
          <w:rFonts w:ascii="Arial" w:cs="Arial" w:eastAsia="Arial" w:hAnsi="Arial"/>
          <w:sz w:val="18"/>
          <w:szCs w:val="18"/>
          <w:b w:val="1"/>
          <w:bCs w:val="1"/>
          <w:color w:val="auto"/>
        </w:rPr>
        <w:t>is upregulated in the lung tissue of IPF</w:t>
      </w:r>
    </w:p>
    <w:p>
      <w:pPr>
        <w:spacing w:after="0" w:line="2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patients and the liver tissue of PSC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141605</wp:posOffset>
            </wp:positionV>
            <wp:extent cx="4371975" cy="2194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7197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p &lt; 0.05(1)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15" w:name="page16"/>
    <w:bookmarkEnd w:id="15"/>
    <w:p>
      <w:pPr>
        <w:jc w:val="both"/>
        <w:ind w:left="500" w:right="22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p-value is the probability that the reported result was achieved purely by chance, such that a p-value of less than or equal to 0.05 or 0.01 means that there is a 5.0% or 1.0% or less probability, respectively, that the difference between the control group and the treatment group is purely due to chance. A p-value of 0.05 or less typically represents a statistically significant result.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expression is upregulated in lung and liver fibrosis</w:t>
      </w:r>
    </w:p>
    <w:p>
      <w:pPr>
        <w:spacing w:after="0" w:line="202" w:lineRule="exact"/>
        <w:rPr>
          <w:sz w:val="20"/>
          <w:szCs w:val="20"/>
          <w:color w:val="auto"/>
        </w:rPr>
      </w:pPr>
    </w:p>
    <w:p>
      <w:pPr>
        <w:ind w:firstLine="501"/>
        <w:spacing w:after="0" w:line="279" w:lineRule="auto"/>
        <w:rPr>
          <w:sz w:val="20"/>
          <w:szCs w:val="20"/>
          <w:color w:val="auto"/>
        </w:rPr>
      </w:pPr>
      <w:r>
        <w:rPr>
          <w:rFonts w:ascii="Arial" w:cs="Arial" w:eastAsia="Arial" w:hAnsi="Arial"/>
          <w:sz w:val="17"/>
          <w:szCs w:val="17"/>
          <w:color w:val="auto"/>
        </w:rPr>
        <w:t>We have conducted a non-interventional clinical trial in IPF patients to assess the expression of integrin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using a PET ligand. This trial confirmed that patients with IPF have high levels of integrin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expression, which tend to be co-localized with fibrotic regions of the lungs. This trial was published in Nature Communications in 2019. The specificity of this PET ligand can be seen in images from an IPF patient who received a unilateral lung transplant. The PET ligand is only taken up in the diseased lung but not in the transplanted healthy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117475</wp:posOffset>
            </wp:positionV>
            <wp:extent cx="4954905" cy="2486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490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Pulmonary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r>
        <w:rPr>
          <w:rFonts w:ascii="Arial" w:cs="Arial" w:eastAsia="Arial" w:hAnsi="Arial"/>
          <w:sz w:val="18"/>
          <w:szCs w:val="18"/>
          <w:b w:val="1"/>
          <w:bCs w:val="1"/>
          <w:color w:val="auto"/>
        </w:rPr>
        <w:t xml:space="preserve"> PET ligand uptake in an IPF patient with a unilateral lung transplantation is confined to the IPF lung</w:t>
      </w:r>
    </w:p>
    <w:p>
      <w:pPr>
        <w:spacing w:after="0" w:line="189"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We have shown that inhibition of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integrins is required to maximally inhibit the expression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a key gene that encodes type I collagen, in models of lung and biliary fibrosis as well as in human IPF tissue. </w:t>
      </w:r>
      <w:r>
        <w:rPr>
          <w:rFonts w:ascii="Arial" w:cs="Arial" w:eastAsia="Arial" w:hAnsi="Arial"/>
          <w:sz w:val="18"/>
          <w:szCs w:val="18"/>
          <w:i w:val="1"/>
          <w:iCs w:val="1"/>
          <w:color w:val="auto"/>
        </w:rPr>
        <w:t>COL1A1</w:t>
      </w:r>
      <w:r>
        <w:rPr>
          <w:rFonts w:ascii="Arial" w:cs="Arial" w:eastAsia="Arial" w:hAnsi="Arial"/>
          <w:sz w:val="18"/>
          <w:szCs w:val="18"/>
          <w:color w:val="auto"/>
        </w:rPr>
        <w:t xml:space="preserve"> is a TGF-ß regulated gene that is expressed in fibrotic tissue. The expression level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correlates with the amount of collagen deposited as measured by the standard biochemical method of quantification of hydroxyproline, an amino acid that is a major component of collagen.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Clinical development of PLN-74809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trials</w:t>
      </w:r>
    </w:p>
    <w:p>
      <w:pPr>
        <w:spacing w:after="0" w:line="185" w:lineRule="exact"/>
        <w:rPr>
          <w:sz w:val="20"/>
          <w:szCs w:val="20"/>
          <w:color w:val="auto"/>
        </w:rPr>
      </w:pPr>
    </w:p>
    <w:p>
      <w:pPr>
        <w:ind w:right="20" w:firstLine="501"/>
        <w:spacing w:after="0" w:line="290" w:lineRule="auto"/>
        <w:rPr>
          <w:sz w:val="20"/>
          <w:szCs w:val="20"/>
          <w:color w:val="auto"/>
        </w:rPr>
      </w:pPr>
      <w:r>
        <w:rPr>
          <w:rFonts w:ascii="Arial" w:cs="Arial" w:eastAsia="Arial" w:hAnsi="Arial"/>
          <w:sz w:val="16"/>
          <w:szCs w:val="16"/>
          <w:color w:val="auto"/>
        </w:rPr>
        <w:t>We completed an extended Phase 1a first-in-human, or FIH, SAD/MAD and food effect clinical trial of PLN-74809 in healthy volunteers. In the SAD portion of the trial, single doses of PLN-74809 were administered to 32 volunteers across four cohorts at doses of 15, 30, 50 and 75 mg. Eight additional volunteers in the SAD portion of the trial received placebo. In the MAD portion of the trial, PLN-74809 was administered orally to 27 volunteers, once-daily over 14 days at 10, 20, 40 mg. Six additional volunteers in the MAD portion of the trial received placebo. In the food effect part of the trial, PLN-74809 was administered to 12 volunteers, administered as a single dose with and without food. PLN-74809 was shown to be well tolerated with no dose-related adverse events. All but two adverse events reported in the entire trial were mild except for a moderate adverse event of dental abscess (SAD, 30 mg dose cohort) and a moderate adverse event of viral syndrome (MAD, 40 mg dose cohort). All adverse events resolved or recovered and no dose relationship for adverse events was observed. No notable findings were observed for laboratory abnormalities, vital signs, or ECG/telemetry.</w:t>
      </w:r>
    </w:p>
    <w:p>
      <w:pPr>
        <w:spacing w:after="0" w:line="125" w:lineRule="exact"/>
        <w:rPr>
          <w:sz w:val="20"/>
          <w:szCs w:val="20"/>
          <w:color w:val="auto"/>
        </w:rPr>
      </w:pPr>
    </w:p>
    <w:p>
      <w:pPr>
        <w:ind w:right="60" w:firstLine="501"/>
        <w:spacing w:after="0" w:line="279" w:lineRule="auto"/>
        <w:rPr>
          <w:sz w:val="20"/>
          <w:szCs w:val="20"/>
          <w:color w:val="auto"/>
        </w:rPr>
      </w:pPr>
      <w:r>
        <w:rPr>
          <w:rFonts w:ascii="Arial" w:cs="Arial" w:eastAsia="Arial" w:hAnsi="Arial"/>
          <w:sz w:val="17"/>
          <w:szCs w:val="17"/>
          <w:color w:val="auto"/>
        </w:rPr>
        <w:t>Since completing the Phase 1 FIH trial, we have conducted a Phase 1 extended dose escalation trial evaluating PLN-74809 at higher doses. This was a randomized, double blind, placebo-controlled trial evaluating safety and tolerability as well as PK in 80 healthy volunteers at single doses up to 320 mg and multiple doses up to 160 mg. The PK profile of the higher dose cohorts remained in line with previous cohorts, and PLN-74809 remained well tolerated with no drug related severe adverse events or serious adverse events reported in either cohort.</w:t>
      </w:r>
    </w:p>
    <w:p>
      <w:pPr>
        <w:spacing w:after="0" w:line="14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Participants with Drug Related Adverse Events in PLN-74809 in Phase 1a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128905</wp:posOffset>
            </wp:positionV>
            <wp:extent cx="3840480" cy="1560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048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Additionally, PLN-74809 was well absorbed, and displayed a half-life of approximately 50 hours. PLN-74809 reached steady state plasma concentrations after seven days of dosing. Co-administration of PLN-74809 with food decreased drug concentrations relative to the fasted state, with AUC decreasing by approximately 40 percent and Cmax by approximately 50 percent.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88900</wp:posOffset>
            </wp:positionV>
            <wp:extent cx="3514725" cy="2992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4725"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501"/>
        <w:spacing w:after="0" w:line="296" w:lineRule="auto"/>
        <w:rPr>
          <w:sz w:val="20"/>
          <w:szCs w:val="20"/>
          <w:color w:val="auto"/>
        </w:rPr>
      </w:pPr>
      <w:r>
        <w:rPr>
          <w:rFonts w:ascii="Arial" w:cs="Arial" w:eastAsia="Arial" w:hAnsi="Arial"/>
          <w:sz w:val="16"/>
          <w:szCs w:val="16"/>
          <w:color w:val="auto"/>
        </w:rPr>
        <w:t>We have also completed a Phase 1b proof-of-mechanism trial in healthy volunteers that was similar in design to our previously completed non-human primate mechanistic trial. The purpose of this randomized, double-blind, ascending-dose, placebo-controlled trial was to evaluate PLN-74809’s ability to inhibit TGF-ß activation in the lung as measured by pSMAD2 levels in pulmonary alveolar macrophages collected from bronchoalveolar lavage, or BAL, fluid and to further characterize the PK/PD relationship in humans. Additionally, this trial will serve to inform dosing in our planned Phase 2a trials. We conducted this trial in healthy volunteers due to the safety risks associated with performing multiple BAL procedures in IPF patients.</w:t>
      </w:r>
    </w:p>
    <w:p>
      <w:pPr>
        <w:spacing w:after="0" w:line="121"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We enrolled 18 volunteers across four dose cohorts (each cohort randomized 3:1 active to placebo). Two cohorts were dosed at 20 mg once daily and two cohorts were dosed at 40 mg once daily. Volunteers underwent an initial BAL procedure prior to treatment to measure baseline pSMAD levels. They were then treated with PLN-74809 or placebo for seven days, after which they underwent two additional BAL procedures to measure the amount of pSMAD reduction post-treatment at multiple time points. By utilizing two cohorts each for the 20 mg and 40 mg doses, we were able to measure pSMAD and drug levels at 4 different time points post treatment for each dose (3-, 6-, 12- and 24-hours post-dose on day 7), allowing assessment of PK/PD relationship over a 24-hour period.</w:t>
      </w:r>
    </w:p>
    <w:p>
      <w:pPr>
        <w:spacing w:after="0" w:line="165"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color w:val="auto"/>
        </w:rPr>
        <w:t>In the Phase 1b trial, 16 participants completed pre- and post-treatment BAL procedures. Four out of six participants (66%) receiving the high dose of PLN-74809 experienced mean reductions of 58.6% (6.9%) in pSMAD2 levels at six hours post-dose relative to baseline levels. Notably, all four of the volunteers in the high dose cohort with reductions in pSMAD2 levels also achieved plasma concentrations of PLN-74809 corresponding to the predicted plasma protein adjusted IC50 of 700 ng/ml. The two volunteers in the high dose cohort who did not achieve these concentrations did not experience reductions in pSMAD2 levels. In the low dose cohort, no volunteers achieved plasma protein adjusted IC50, and only one volunteer experienced significant reduction in pSMAD2 levels post treatment, relative to baseline levels. These results demonstrate PLN-74809’s effect on reducing TGF-ß activation in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lungs in a dose- and exposure-dependent manner, supporting a PK/PD relationship in humans. These data support the biological activity of PLN-74809 and guided dose selection and trial design of our ongoing Phase 2a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117475</wp:posOffset>
            </wp:positionV>
            <wp:extent cx="4474845" cy="2108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7484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501"/>
        <w:spacing w:after="0" w:line="286" w:lineRule="auto"/>
        <w:rPr>
          <w:sz w:val="20"/>
          <w:szCs w:val="20"/>
          <w:color w:val="auto"/>
        </w:rPr>
      </w:pPr>
      <w:r>
        <w:rPr>
          <w:rFonts w:ascii="Arial" w:cs="Arial" w:eastAsia="Arial" w:hAnsi="Arial"/>
          <w:sz w:val="17"/>
          <w:szCs w:val="17"/>
          <w:color w:val="auto"/>
        </w:rPr>
        <w:t>Treatment with PLN-74809 was well tolerated with no drug-related adverse events. None of the adverse events reported were observed in more than one participant. In the 40 mg dose cohort, two trial participants discontinued treatment prematurely (one participant receiving PLN-74809 and one receiving placebo) and did not undergo post-treatment BAL procedures; these participants were subsequently replaced.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Adverse Events Reported by Participants Receiving PLN-74809 in Phase 1b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154305</wp:posOffset>
            </wp:positionV>
            <wp:extent cx="3857625" cy="1165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5762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As of December 2020, a total of 184 healthy volunteers have been exposed to PLN-74809 and 35 have been exposed to placebo in Phase 1 studies. The most common TEAEs in PLN-74809-treated volunteers were mild headache (12/184 [6.5%] participants) and mild constipation (6/184 [3.3%] participants).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planned clinical trials for IPF and PSC</w:t>
      </w:r>
    </w:p>
    <w:p>
      <w:pPr>
        <w:spacing w:after="0" w:line="185" w:lineRule="exact"/>
        <w:rPr>
          <w:sz w:val="20"/>
          <w:szCs w:val="20"/>
          <w:color w:val="auto"/>
        </w:rPr>
      </w:pPr>
    </w:p>
    <w:p>
      <w:pPr>
        <w:ind w:right="40" w:firstLine="501"/>
        <w:spacing w:after="0" w:line="273" w:lineRule="auto"/>
        <w:rPr>
          <w:sz w:val="20"/>
          <w:szCs w:val="20"/>
          <w:color w:val="auto"/>
        </w:rPr>
      </w:pPr>
      <w:r>
        <w:rPr>
          <w:rFonts w:ascii="Arial" w:cs="Arial" w:eastAsia="Arial" w:hAnsi="Arial"/>
          <w:sz w:val="17"/>
          <w:szCs w:val="17"/>
          <w:color w:val="auto"/>
        </w:rPr>
        <w:t>We are currently recruiting two Phase 2a trials of PLN-74809 in patients with IPF, subject to the impact of the COVID-19 pandemic. The first of these is an open-label trial utilizing a PET ligand to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that allows imaging of target engagement by PLN-74809 in the lungs of IPF patients during treatment. Patients will receive a single dose of PLN-74809 across a dose range starting at 60 mg. We will obtain a PET scan at baseline to evaluate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expression levels in the patients’ lungs and then initiate treatment with PLN-74809. A post-treatment PET scan will be performed at approximately three hours after administration of the dose, which will enable us to evaluate PLN-74809’s target engagement in patients’ lungs at maximum drug concentration. When PLN-74809 binds to the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receptor, we would expect to see decreased PET ligand uptake in the lungs post-treatment when compared to pre-treatment levels. The relationship between dose and target engagement is important to confirm penetration of PLN-74809 into fibrotic tissue, establish a PK/PD relationship between PLN-74809 plasma exposure and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target engagement, link biological activity shown in Phase 1b healthy volunteer BAL study to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6</w:t>
      </w:r>
      <w:r>
        <w:rPr>
          <w:rFonts w:ascii="Arial" w:cs="Arial" w:eastAsia="Arial" w:hAnsi="Arial"/>
          <w:sz w:val="17"/>
          <w:szCs w:val="17"/>
          <w:color w:val="auto"/>
        </w:rPr>
        <w:t xml:space="preserve"> target engagement in IPF lungs and guide dose selection in future studies.</w:t>
      </w:r>
    </w:p>
    <w:p>
      <w:pPr>
        <w:spacing w:after="0" w:line="159" w:lineRule="exact"/>
        <w:rPr>
          <w:sz w:val="20"/>
          <w:szCs w:val="20"/>
          <w:color w:val="auto"/>
        </w:rPr>
      </w:pPr>
    </w:p>
    <w:p>
      <w:pPr>
        <w:ind w:firstLine="501"/>
        <w:spacing w:after="0" w:line="287" w:lineRule="auto"/>
        <w:rPr>
          <w:sz w:val="20"/>
          <w:szCs w:val="20"/>
          <w:color w:val="auto"/>
        </w:rPr>
      </w:pPr>
      <w:r>
        <w:rPr>
          <w:rFonts w:ascii="Arial" w:cs="Arial" w:eastAsia="Arial" w:hAnsi="Arial"/>
          <w:sz w:val="17"/>
          <w:szCs w:val="17"/>
          <w:color w:val="auto"/>
        </w:rPr>
        <w:t>Pliant has developed a wholly owned PET tracer of the protein integrin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We filed an IND in December 2020, and the FDA has since issued a “safe to proceed” letter. We plan to use this PET tracer to evaluate expression levels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in various fibrotic tissues. Additionally, this tracer may allow us to evaluate tissue penetration and target engagement of developmental candidates that bind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similar to the current Phase 2a PET trial we are running in IPF. We expect to advance clinical trials of the integrin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PET tracer as soon as possible.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9" w:name="page20"/>
    <w:bookmarkEnd w:id="19"/>
    <w:p>
      <w:pPr>
        <w:ind w:right="60" w:firstLine="501"/>
        <w:spacing w:after="0" w:line="301" w:lineRule="auto"/>
        <w:rPr>
          <w:sz w:val="20"/>
          <w:szCs w:val="20"/>
          <w:color w:val="auto"/>
        </w:rPr>
      </w:pPr>
      <w:r>
        <w:rPr>
          <w:rFonts w:ascii="Arial" w:cs="Arial" w:eastAsia="Arial" w:hAnsi="Arial"/>
          <w:sz w:val="16"/>
          <w:szCs w:val="16"/>
          <w:color w:val="auto"/>
        </w:rPr>
        <w:t>Our second Phase 2a trial is a randomized, double-blind, placebo-controlled IPF trial evaluating up to three doses of PLN-74809 in IPF patients. We plan to explore doses up to 160 mg per day at the highest dose. This is a 12-week trial evaluating safety and tolerability, as well as PK in IPF patients. We plan to evaluate exploratory endpoints including pulmonary function tests, biomarkers, and imaging, including Quantitative Lung Fibrosis HRCT imaging, or QLF. This is a multinational trial with approximately 60 sites in U.S., Canada, Australia, New Zealand, and multiple countries in Europe.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12-Week Safety, PK, Biomarker Trial in IPF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2623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 of 12-week Phase 2a IPF trial</w:t>
      </w:r>
    </w:p>
    <w:p>
      <w:pPr>
        <w:spacing w:after="0" w:line="189"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In our 12-week Phase 2a IPF trial, we will utilize QLF as a biomarker for early detection of changes in lung fibrosis. QLF is a fibrosis biomarker assessed using high resolution CT imaging, and utilizes quantitative image analysis to measure the density of lung tissue and quantify the volume of fibrosis present in the lung. QLF technology was developed by MedQIA, and has been evaluated in over 5,000 ILD patients, showing an ability to predict FVC decline in patients with IPF. While we will measure both endpoints, we believe QLF may allow us to detect changes in lung fibrosis in a more specific way than FVC.</w:t>
      </w:r>
    </w:p>
    <w:p>
      <w:pPr>
        <w:spacing w:after="0" w:line="147"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QLF has been utilized in recent clinical trials to evaluate early treatment effects in the amount of lung fibrosis present. In Biogen’s Phase 2a trial of BG00011, a mAb targeting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dose-dependent trends in QLF were seen at 8 weeks, with the 1mg/kg cohort showing a decrease in the amount of fibrosis present with a r=-0.49 correlation to FVC.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t>Biogen’s Phase 2a 8-week QLF Results</w:t>
      </w:r>
    </w:p>
    <w:p>
      <w:pPr>
        <w:spacing w:after="0" w:line="189" w:lineRule="exact"/>
        <w:rPr>
          <w:sz w:val="20"/>
          <w:szCs w:val="20"/>
          <w:color w:val="auto"/>
        </w:rPr>
      </w:pPr>
    </w:p>
    <w:p>
      <w:pPr>
        <w:ind w:right="540" w:firstLine="501"/>
        <w:spacing w:after="0" w:line="277" w:lineRule="auto"/>
        <w:rPr>
          <w:sz w:val="20"/>
          <w:szCs w:val="20"/>
          <w:color w:val="auto"/>
        </w:rPr>
      </w:pPr>
      <w:r>
        <w:rPr>
          <w:rFonts w:ascii="Arial" w:cs="Arial" w:eastAsia="Arial" w:hAnsi="Arial"/>
          <w:sz w:val="18"/>
          <w:szCs w:val="18"/>
          <w:color w:val="auto"/>
        </w:rPr>
        <w:t>Additionally, FibroGen utilized FVC in their Phase 2 trial of pamrevlumab, their anti-CTGF mAb, in IPF. FibroGen showed 71% and 50% reductions in progression of fibrosis versus placebo at 24 and 48 weeks, respectively, as measured by QLF.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117475</wp:posOffset>
            </wp:positionV>
            <wp:extent cx="4474845" cy="1611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748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We are conducting a 12-week Phase 2a randomized, double-blind, placebo-controlled trial of PLN-74809 in PSC patients. We are evaluating up to three cohort doses of PLN-74809 (40 mg, 80 mg, or 160 mg) or placebo. This is a multinational trial with approximately 60 sites in U.S., Canada, Australia, New Zealand, and multiple countries in Europe.</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12 Week Safety, PK, Biomarker Trial in PSC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128905</wp:posOffset>
            </wp:positionV>
            <wp:extent cx="6172200" cy="2691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Design of we week Phase 2a PSC trial</w:t>
      </w:r>
    </w:p>
    <w:p>
      <w:pPr>
        <w:spacing w:after="0" w:line="189"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color w:val="auto"/>
        </w:rPr>
        <w:t>The primary endpoints for our Phase 2a PSC trial will be safety and tolerability, as well as PK. We will also employ exploratory endpoints including fibrosis biomarkers including PRO-C3 and ELF, which are predictive of transplant-free survival in PSC patients, change in alkaline phosphatase, and liver imaging. Regulators have suggested that composite endpoints including biomarkers such as alkaline phosphatase, PRO-C3 and ELF coupled with liver histology may support approval in PSC. Both Gilead and Dr. Falk’s are including liver histology as a primary endpoint in their respective Phase 3 PSC trials. NGM Biopharmaceuticals, Inc., or NGM, showed dose-dependent changes in PRO-C3 and ELF at 12 weeks in its Phase 2a PSC trial, with levels returning to baseline after the removal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131445</wp:posOffset>
            </wp:positionV>
            <wp:extent cx="3120390" cy="1954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203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NGM ELF and Pro-C3 Data Over 12 Weeks of Treatment in PSC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Potential Development Plans for PLN-74809 in Pulmonary and Hepatic Indications</w:t>
      </w:r>
    </w:p>
    <w:p>
      <w:pPr>
        <w:spacing w:after="0" w:line="185"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We are currently exploring the potential effects of PLN-74809 in fibrotic diseases outside of IPF and PSC and may choose to explore the development of PLN-74809 in additional indications in the future. For example, we believe PLN-74809 could provide anti-fibrotic benefits in several pulmonary and hepatic fibrosis diseases where there is over-expression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including pulmonary fibrosis associated with systemic sclerosis, pulmonary fibrosis associated with rheumatoid arthritis, pulmonary fibrosis associated with other forms of interstitial lung disease, primary biliary cholangitis, or PBC, biliary atresia and progressive familial intrahepatic cholestasis, or PFIC. Additionally, we believe that PLN-74809 could provide anti-fibrotic benefits in the setting of end stage renal disease.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PLN-74809 for Treatment of COVID-19 ARDS</w:t>
      </w:r>
    </w:p>
    <w:p>
      <w:pPr>
        <w:spacing w:after="0" w:line="198"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Acute respiratory distress syndrome, or ARDS, is a major cause of mortality associated with COVID-19. Research has shown that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expression is elevated in the lungs of COVID-19 patients leading to increased TGF-ß levels. Increased TGF-ß levels in ARDS lead to epithelial cell death, alveolar and vascular leak, reduced interferon expression, increased immune cell infiltration, inhibition of sodium channel transport of fluid out of alveoli and fibroproliferation.</w:t>
      </w:r>
    </w:p>
    <w:p>
      <w:pPr>
        <w:spacing w:after="0" w:line="146" w:lineRule="exact"/>
        <w:rPr>
          <w:sz w:val="20"/>
          <w:szCs w:val="20"/>
          <w:color w:val="auto"/>
        </w:rPr>
      </w:pPr>
    </w:p>
    <w:p>
      <w:pPr>
        <w:ind w:right="220" w:firstLine="501"/>
        <w:spacing w:after="0" w:line="299" w:lineRule="auto"/>
        <w:rPr>
          <w:sz w:val="20"/>
          <w:szCs w:val="20"/>
          <w:color w:val="auto"/>
        </w:rPr>
      </w:pPr>
      <w:r>
        <w:rPr>
          <w:rFonts w:ascii="Arial" w:cs="Arial" w:eastAsia="Arial" w:hAnsi="Arial"/>
          <w:sz w:val="18"/>
          <w:szCs w:val="18"/>
          <w:color w:val="auto"/>
        </w:rPr>
        <w:t>By inhibiting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-mediated activation of TGF-ß in COVID-19 ARDS patients, we believe that in ARDS, PLN-74809 may be expected to reduce pulmonary edema by inhibition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-mediated TGF-β activation.</w:t>
      </w:r>
    </w:p>
    <w:p>
      <w:pPr>
        <w:spacing w:after="0" w:line="92"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In the third quarter of 2020, we initiated a Phase 2a trial evaluating the safety, tolerability pharmacokinetics, and exploratory clinical outcome measures of PLN-74809 across three dose cohorts or placebo in up to 36 patients with severe or critical COVID-19 diagnosed with ARDS. With the availability of COVID-19 vaccines beginning in the fourth quarter of 2020, as well as the increased and successful measures taken to contain the virus, we have observed a significant decrease in the number of severe and critical COVID-19 patients with ARDS. Given the benefits that these vaccines have shown in preventing severe disease, it is unclear whether we will be able to complete enrollment of this trial. As the pandemic evolves, we will continue to evaluate the feasibility of conducting this trial. Should there be a continued decline in COVID-19 ARDS cases, we may consider investigating PLN-74809 in other forms of ARDS not related to COVID-19.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Preclinical data in IPF</w:t>
      </w:r>
    </w:p>
    <w:p>
      <w:pPr>
        <w:spacing w:after="0" w:line="239" w:lineRule="exact"/>
        <w:rPr>
          <w:sz w:val="20"/>
          <w:szCs w:val="20"/>
          <w:color w:val="auto"/>
        </w:rPr>
      </w:pPr>
    </w:p>
    <w:tbl>
      <w:tblPr>
        <w:tblLayout w:type="fixed"/>
        <w:tblInd w:w="30" w:type="dxa"/>
        <w:tblCellMar>
          <w:top w:w="0" w:type="dxa"/>
          <w:left w:w="0" w:type="dxa"/>
          <w:bottom w:w="0" w:type="dxa"/>
          <w:right w:w="0" w:type="dxa"/>
        </w:tblCellMar>
      </w:tblPr>
      <w:tr>
        <w:trPr>
          <w:trHeight w:val="226"/>
        </w:trPr>
        <w:tc>
          <w:tcPr>
            <w:tcW w:w="3820" w:type="dxa"/>
            <w:vAlign w:val="bottom"/>
            <w:tcBorders>
              <w:left w:val="single" w:sz="8" w:color="4B61A8"/>
              <w:right w:val="single" w:sz="8" w:color="4B61A8"/>
            </w:tcBorders>
            <w:shd w:val="clear" w:color="auto" w:fill="4B61A8"/>
          </w:tcPr>
          <w:p>
            <w:pPr>
              <w:spacing w:after="0"/>
              <w:rPr>
                <w:sz w:val="19"/>
                <w:szCs w:val="19"/>
                <w:color w:val="auto"/>
              </w:rPr>
            </w:pPr>
          </w:p>
        </w:tc>
        <w:tc>
          <w:tcPr>
            <w:tcW w:w="260" w:type="dxa"/>
            <w:vAlign w:val="bottom"/>
            <w:shd w:val="clear" w:color="auto" w:fill="4B61A8"/>
          </w:tcPr>
          <w:p>
            <w:pPr>
              <w:spacing w:after="0"/>
              <w:rPr>
                <w:sz w:val="19"/>
                <w:szCs w:val="19"/>
                <w:color w:val="auto"/>
              </w:rPr>
            </w:pPr>
          </w:p>
        </w:tc>
        <w:tc>
          <w:tcPr>
            <w:tcW w:w="7140" w:type="dxa"/>
            <w:vAlign w:val="bottom"/>
            <w:tcBorders>
              <w:right w:val="single" w:sz="8" w:color="4B61A8"/>
            </w:tcBorders>
            <w:shd w:val="clear" w:color="auto" w:fill="4B61A8"/>
          </w:tcPr>
          <w:p>
            <w:pPr>
              <w:ind w:left="200"/>
              <w:spacing w:after="0"/>
              <w:rPr>
                <w:sz w:val="20"/>
                <w:szCs w:val="20"/>
                <w:color w:val="auto"/>
              </w:rPr>
            </w:pPr>
            <w:r>
              <w:rPr>
                <w:rFonts w:ascii="Arial" w:cs="Arial" w:eastAsia="Arial" w:hAnsi="Arial"/>
                <w:sz w:val="15"/>
                <w:szCs w:val="15"/>
                <w:b w:val="1"/>
                <w:bCs w:val="1"/>
                <w:color w:val="FFFFFF"/>
              </w:rPr>
              <w:t>Summary Preclinical Data in IPF</w:t>
            </w:r>
          </w:p>
        </w:tc>
      </w:tr>
      <w:tr>
        <w:trPr>
          <w:trHeight w:val="179"/>
        </w:trPr>
        <w:tc>
          <w:tcPr>
            <w:tcW w:w="3820" w:type="dxa"/>
            <w:vAlign w:val="bottom"/>
            <w:tcBorders>
              <w:left w:val="single" w:sz="8" w:color="4B61A8"/>
              <w:right w:val="single" w:sz="8" w:color="4B61A8"/>
            </w:tcBorders>
            <w:shd w:val="clear" w:color="auto" w:fill="4B61A8"/>
          </w:tcPr>
          <w:p>
            <w:pPr>
              <w:ind w:left="1040"/>
              <w:spacing w:after="0"/>
              <w:rPr>
                <w:sz w:val="20"/>
                <w:szCs w:val="20"/>
                <w:color w:val="auto"/>
              </w:rPr>
            </w:pPr>
            <w:r>
              <w:rPr>
                <w:rFonts w:ascii="Arial" w:cs="Arial" w:eastAsia="Arial" w:hAnsi="Arial"/>
                <w:sz w:val="15"/>
                <w:szCs w:val="15"/>
                <w:b w:val="1"/>
                <w:bCs w:val="1"/>
                <w:color w:val="FFFFFF"/>
              </w:rPr>
              <w:t>Preclinical Findings</w:t>
            </w:r>
          </w:p>
        </w:tc>
        <w:tc>
          <w:tcPr>
            <w:tcW w:w="260" w:type="dxa"/>
            <w:vAlign w:val="bottom"/>
            <w:shd w:val="clear" w:color="auto" w:fill="4B61A8"/>
          </w:tcPr>
          <w:p>
            <w:pPr>
              <w:spacing w:after="0"/>
              <w:rPr>
                <w:sz w:val="15"/>
                <w:szCs w:val="15"/>
                <w:color w:val="auto"/>
              </w:rPr>
            </w:pPr>
          </w:p>
        </w:tc>
        <w:tc>
          <w:tcPr>
            <w:tcW w:w="7140" w:type="dxa"/>
            <w:vAlign w:val="bottom"/>
            <w:tcBorders>
              <w:right w:val="single" w:sz="8" w:color="4B61A8"/>
            </w:tcBorders>
            <w:shd w:val="clear" w:color="auto" w:fill="4B61A8"/>
          </w:tcPr>
          <w:p>
            <w:pPr>
              <w:ind w:left="2440"/>
              <w:spacing w:after="0"/>
              <w:rPr>
                <w:sz w:val="20"/>
                <w:szCs w:val="20"/>
                <w:color w:val="auto"/>
              </w:rPr>
            </w:pPr>
            <w:r>
              <w:rPr>
                <w:rFonts w:ascii="Arial" w:cs="Arial" w:eastAsia="Arial" w:hAnsi="Arial"/>
                <w:sz w:val="15"/>
                <w:szCs w:val="15"/>
                <w:b w:val="1"/>
                <w:bCs w:val="1"/>
                <w:color w:val="FFFFFF"/>
              </w:rPr>
              <w:t>Observations</w:t>
            </w:r>
          </w:p>
        </w:tc>
      </w:tr>
      <w:tr>
        <w:trPr>
          <w:trHeight w:val="149"/>
        </w:trPr>
        <w:tc>
          <w:tcPr>
            <w:tcW w:w="3820" w:type="dxa"/>
            <w:vAlign w:val="bottom"/>
            <w:tcBorders>
              <w:left w:val="single" w:sz="8" w:color="4B61A8"/>
              <w:right w:val="single" w:sz="8" w:color="4B61A8"/>
            </w:tcBorders>
            <w:shd w:val="clear" w:color="auto" w:fill="DBDFED"/>
          </w:tcPr>
          <w:p>
            <w:pPr>
              <w:ind w:left="140"/>
              <w:spacing w:after="0" w:line="149" w:lineRule="exact"/>
              <w:rPr>
                <w:sz w:val="20"/>
                <w:szCs w:val="20"/>
                <w:color w:val="auto"/>
              </w:rPr>
            </w:pPr>
            <w:r>
              <w:rPr>
                <w:rFonts w:ascii="Arial" w:cs="Arial" w:eastAsia="Arial" w:hAnsi="Arial"/>
                <w:sz w:val="15"/>
                <w:szCs w:val="15"/>
                <w:color w:val="auto"/>
              </w:rPr>
              <w:t>PLN-74809 reduced collagen gene expression in</w:t>
            </w:r>
          </w:p>
        </w:tc>
        <w:tc>
          <w:tcPr>
            <w:tcW w:w="260" w:type="dxa"/>
            <w:vAlign w:val="bottom"/>
            <w:shd w:val="clear" w:color="auto" w:fill="DBDFED"/>
          </w:tcPr>
          <w:p>
            <w:pPr>
              <w:ind w:left="160"/>
              <w:spacing w:after="0" w:line="149" w:lineRule="exact"/>
              <w:rPr>
                <w:sz w:val="20"/>
                <w:szCs w:val="20"/>
                <w:color w:val="auto"/>
              </w:rPr>
            </w:pPr>
            <w:r>
              <w:rPr>
                <w:rFonts w:ascii="Arial" w:cs="Arial" w:eastAsia="Arial" w:hAnsi="Arial"/>
                <w:sz w:val="15"/>
                <w:szCs w:val="15"/>
                <w:color w:val="auto"/>
              </w:rPr>
              <w:t>•</w:t>
            </w:r>
          </w:p>
        </w:tc>
        <w:tc>
          <w:tcPr>
            <w:tcW w:w="7140" w:type="dxa"/>
            <w:vAlign w:val="bottom"/>
            <w:tcBorders>
              <w:right w:val="single" w:sz="8" w:color="4B61A8"/>
            </w:tcBorders>
            <w:shd w:val="clear" w:color="auto" w:fill="DBDFED"/>
          </w:tcPr>
          <w:p>
            <w:pPr>
              <w:ind w:left="40"/>
              <w:spacing w:after="0" w:line="149" w:lineRule="exact"/>
              <w:rPr>
                <w:sz w:val="20"/>
                <w:szCs w:val="20"/>
                <w:color w:val="auto"/>
              </w:rPr>
            </w:pPr>
            <w:r>
              <w:rPr>
                <w:rFonts w:ascii="Arial" w:cs="Arial" w:eastAsia="Arial" w:hAnsi="Arial"/>
                <w:sz w:val="15"/>
                <w:szCs w:val="15"/>
                <w:color w:val="auto"/>
              </w:rPr>
              <w:t xml:space="preserve">Greater than 50% decrease in expression of </w:t>
            </w:r>
            <w:r>
              <w:rPr>
                <w:rFonts w:ascii="Arial" w:cs="Arial" w:eastAsia="Arial" w:hAnsi="Arial"/>
                <w:sz w:val="15"/>
                <w:szCs w:val="15"/>
                <w:i w:val="1"/>
                <w:iCs w:val="1"/>
                <w:color w:val="auto"/>
              </w:rPr>
              <w:t>COL1A1</w:t>
            </w:r>
            <w:r>
              <w:rPr>
                <w:rFonts w:ascii="Arial" w:cs="Arial" w:eastAsia="Arial" w:hAnsi="Arial"/>
                <w:sz w:val="15"/>
                <w:szCs w:val="15"/>
                <w:color w:val="auto"/>
              </w:rPr>
              <w:t xml:space="preserve"> relative to DMSO vehicle control seen</w:t>
            </w:r>
          </w:p>
        </w:tc>
      </w:tr>
      <w:tr>
        <w:trPr>
          <w:trHeight w:val="161"/>
        </w:trPr>
        <w:tc>
          <w:tcPr>
            <w:tcW w:w="3820" w:type="dxa"/>
            <w:vAlign w:val="bottom"/>
            <w:tcBorders>
              <w:left w:val="single" w:sz="8" w:color="4B61A8"/>
              <w:right w:val="single" w:sz="8" w:color="4B61A8"/>
            </w:tcBorders>
            <w:shd w:val="clear" w:color="auto" w:fill="DBDFED"/>
          </w:tcPr>
          <w:p>
            <w:pPr>
              <w:ind w:left="140"/>
              <w:spacing w:after="0" w:line="161" w:lineRule="exact"/>
              <w:rPr>
                <w:sz w:val="20"/>
                <w:szCs w:val="20"/>
                <w:color w:val="auto"/>
              </w:rPr>
            </w:pPr>
            <w:r>
              <w:rPr>
                <w:rFonts w:ascii="Arial" w:cs="Arial" w:eastAsia="Arial" w:hAnsi="Arial"/>
                <w:sz w:val="15"/>
                <w:szCs w:val="15"/>
                <w:color w:val="auto"/>
              </w:rPr>
              <w:t>live human ILD lung tissue</w:t>
            </w:r>
          </w:p>
        </w:tc>
        <w:tc>
          <w:tcPr>
            <w:tcW w:w="260" w:type="dxa"/>
            <w:vAlign w:val="bottom"/>
            <w:shd w:val="clear" w:color="auto" w:fill="DBDFED"/>
          </w:tcPr>
          <w:p>
            <w:pPr>
              <w:spacing w:after="0"/>
              <w:rPr>
                <w:sz w:val="13"/>
                <w:szCs w:val="13"/>
                <w:color w:val="auto"/>
              </w:rPr>
            </w:pPr>
          </w:p>
        </w:tc>
        <w:tc>
          <w:tcPr>
            <w:tcW w:w="7140" w:type="dxa"/>
            <w:vAlign w:val="bottom"/>
            <w:tcBorders>
              <w:right w:val="single" w:sz="8" w:color="4B61A8"/>
            </w:tcBorders>
            <w:shd w:val="clear" w:color="auto" w:fill="DBDFED"/>
          </w:tcPr>
          <w:p>
            <w:pPr>
              <w:ind w:left="140"/>
              <w:spacing w:after="0" w:line="161" w:lineRule="exact"/>
              <w:rPr>
                <w:sz w:val="20"/>
                <w:szCs w:val="20"/>
                <w:color w:val="auto"/>
              </w:rPr>
            </w:pPr>
            <w:r>
              <w:rPr>
                <w:rFonts w:ascii="Arial" w:cs="Arial" w:eastAsia="Arial" w:hAnsi="Arial"/>
                <w:sz w:val="15"/>
                <w:szCs w:val="15"/>
                <w:color w:val="auto"/>
              </w:rPr>
              <w:t>in lung tissue from five IPF patients and one systemic sclerosis patient</w:t>
            </w:r>
          </w:p>
        </w:tc>
      </w:tr>
      <w:tr>
        <w:trPr>
          <w:trHeight w:val="230"/>
        </w:trPr>
        <w:tc>
          <w:tcPr>
            <w:tcW w:w="3820" w:type="dxa"/>
            <w:vAlign w:val="bottom"/>
            <w:tcBorders>
              <w:left w:val="single" w:sz="8" w:color="4B61A8"/>
              <w:bottom w:val="single" w:sz="8" w:color="4B61A8"/>
              <w:right w:val="single" w:sz="8" w:color="4B61A8"/>
            </w:tcBorders>
            <w:shd w:val="clear" w:color="auto" w:fill="DBDFED"/>
          </w:tcPr>
          <w:p>
            <w:pPr>
              <w:spacing w:after="0"/>
              <w:rPr>
                <w:sz w:val="20"/>
                <w:szCs w:val="20"/>
                <w:color w:val="auto"/>
              </w:rPr>
            </w:pPr>
          </w:p>
        </w:tc>
        <w:tc>
          <w:tcPr>
            <w:tcW w:w="7400" w:type="dxa"/>
            <w:vAlign w:val="bottom"/>
            <w:tcBorders>
              <w:bottom w:val="single" w:sz="8" w:color="4B61A8"/>
              <w:right w:val="single" w:sz="8" w:color="4B61A8"/>
            </w:tcBorders>
            <w:gridSpan w:val="2"/>
            <w:shd w:val="clear" w:color="auto" w:fill="DBDFED"/>
          </w:tcPr>
          <w:p>
            <w:pPr>
              <w:ind w:left="160"/>
              <w:spacing w:after="0"/>
              <w:rPr>
                <w:sz w:val="20"/>
                <w:szCs w:val="20"/>
                <w:color w:val="auto"/>
              </w:rPr>
            </w:pPr>
            <w:r>
              <w:rPr>
                <w:rFonts w:ascii="Arial" w:cs="Arial" w:eastAsia="Arial" w:hAnsi="Arial"/>
                <w:sz w:val="15"/>
                <w:szCs w:val="15"/>
                <w:color w:val="auto"/>
              </w:rPr>
              <w:t xml:space="preserve">• An antibody to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 did not significantly decrease expression</w:t>
            </w:r>
          </w:p>
        </w:tc>
      </w:tr>
      <w:tr>
        <w:trPr>
          <w:trHeight w:val="142"/>
        </w:trPr>
        <w:tc>
          <w:tcPr>
            <w:tcW w:w="3820" w:type="dxa"/>
            <w:vAlign w:val="bottom"/>
            <w:tcBorders>
              <w:left w:val="single" w:sz="8" w:color="4B61A8"/>
              <w:right w:val="single" w:sz="8" w:color="4B61A8"/>
            </w:tcBorders>
          </w:tcPr>
          <w:p>
            <w:pPr>
              <w:ind w:left="140"/>
              <w:spacing w:after="0" w:line="142" w:lineRule="exact"/>
              <w:rPr>
                <w:sz w:val="20"/>
                <w:szCs w:val="20"/>
                <w:color w:val="auto"/>
              </w:rPr>
            </w:pPr>
            <w:r>
              <w:rPr>
                <w:rFonts w:ascii="Arial" w:cs="Arial" w:eastAsia="Arial" w:hAnsi="Arial"/>
                <w:sz w:val="15"/>
                <w:szCs w:val="15"/>
                <w:color w:val="auto"/>
              </w:rPr>
              <w:t>pSMAD3 was correlated with extractable</w:t>
            </w:r>
          </w:p>
        </w:tc>
        <w:tc>
          <w:tcPr>
            <w:tcW w:w="7400" w:type="dxa"/>
            <w:vAlign w:val="bottom"/>
            <w:tcBorders>
              <w:right w:val="single" w:sz="8" w:color="4B61A8"/>
            </w:tcBorders>
            <w:gridSpan w:val="2"/>
          </w:tcPr>
          <w:p>
            <w:pPr>
              <w:ind w:left="160"/>
              <w:spacing w:after="0" w:line="142" w:lineRule="exact"/>
              <w:rPr>
                <w:sz w:val="20"/>
                <w:szCs w:val="20"/>
                <w:color w:val="auto"/>
              </w:rPr>
            </w:pPr>
            <w:r>
              <w:rPr>
                <w:rFonts w:ascii="Arial" w:cs="Arial" w:eastAsia="Arial" w:hAnsi="Arial"/>
                <w:sz w:val="15"/>
                <w:szCs w:val="15"/>
                <w:color w:val="auto"/>
              </w:rPr>
              <w:t>• pSMAD3 and extractable, or newly formed, collagen 1 were measured in biopsy samples</w:t>
            </w:r>
          </w:p>
        </w:tc>
      </w:tr>
      <w:tr>
        <w:trPr>
          <w:trHeight w:val="162"/>
        </w:trPr>
        <w:tc>
          <w:tcPr>
            <w:tcW w:w="3820" w:type="dxa"/>
            <w:vAlign w:val="bottom"/>
            <w:tcBorders>
              <w:left w:val="single" w:sz="8" w:color="4B61A8"/>
              <w:right w:val="single" w:sz="8" w:color="4B61A8"/>
            </w:tcBorders>
          </w:tcPr>
          <w:p>
            <w:pPr>
              <w:ind w:left="140"/>
              <w:spacing w:after="0" w:line="162" w:lineRule="exact"/>
              <w:rPr>
                <w:sz w:val="20"/>
                <w:szCs w:val="20"/>
                <w:color w:val="auto"/>
              </w:rPr>
            </w:pPr>
            <w:r>
              <w:rPr>
                <w:rFonts w:ascii="Arial" w:cs="Arial" w:eastAsia="Arial" w:hAnsi="Arial"/>
                <w:sz w:val="15"/>
                <w:szCs w:val="15"/>
                <w:color w:val="auto"/>
              </w:rPr>
              <w:t>collagen levels in patients suspected of having</w:t>
            </w:r>
          </w:p>
        </w:tc>
        <w:tc>
          <w:tcPr>
            <w:tcW w:w="260" w:type="dxa"/>
            <w:vAlign w:val="bottom"/>
          </w:tcPr>
          <w:p>
            <w:pPr>
              <w:spacing w:after="0"/>
              <w:rPr>
                <w:sz w:val="14"/>
                <w:szCs w:val="14"/>
                <w:color w:val="auto"/>
              </w:rPr>
            </w:pPr>
          </w:p>
        </w:tc>
        <w:tc>
          <w:tcPr>
            <w:tcW w:w="7140" w:type="dxa"/>
            <w:vAlign w:val="bottom"/>
            <w:tcBorders>
              <w:right w:val="single" w:sz="8" w:color="4B61A8"/>
            </w:tcBorders>
          </w:tcPr>
          <w:p>
            <w:pPr>
              <w:ind w:left="140"/>
              <w:spacing w:after="0" w:line="162" w:lineRule="exact"/>
              <w:rPr>
                <w:sz w:val="20"/>
                <w:szCs w:val="20"/>
                <w:color w:val="auto"/>
              </w:rPr>
            </w:pPr>
            <w:r>
              <w:rPr>
                <w:rFonts w:ascii="Arial" w:cs="Arial" w:eastAsia="Arial" w:hAnsi="Arial"/>
                <w:sz w:val="15"/>
                <w:szCs w:val="15"/>
                <w:color w:val="auto"/>
              </w:rPr>
              <w:t>from 18 patients and 5 controls.</w:t>
            </w:r>
          </w:p>
        </w:tc>
      </w:tr>
      <w:tr>
        <w:trPr>
          <w:trHeight w:val="175"/>
        </w:trPr>
        <w:tc>
          <w:tcPr>
            <w:tcW w:w="3820" w:type="dxa"/>
            <w:vAlign w:val="bottom"/>
            <w:tcBorders>
              <w:left w:val="single" w:sz="8" w:color="4B61A8"/>
              <w:bottom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IPF</w:t>
            </w:r>
          </w:p>
        </w:tc>
        <w:tc>
          <w:tcPr>
            <w:tcW w:w="260" w:type="dxa"/>
            <w:vAlign w:val="bottom"/>
            <w:tcBorders>
              <w:bottom w:val="single" w:sz="8" w:color="4B61A8"/>
            </w:tcBorders>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bottom w:val="single" w:sz="8" w:color="4B61A8"/>
              <w:right w:val="single" w:sz="8" w:color="4B61A8"/>
            </w:tcBorders>
          </w:tcPr>
          <w:p>
            <w:pPr>
              <w:ind w:left="40"/>
              <w:spacing w:after="0"/>
              <w:rPr>
                <w:sz w:val="20"/>
                <w:szCs w:val="20"/>
                <w:color w:val="auto"/>
              </w:rPr>
            </w:pPr>
            <w:r>
              <w:rPr>
                <w:rFonts w:ascii="Arial" w:cs="Arial" w:eastAsia="Arial" w:hAnsi="Arial"/>
                <w:sz w:val="15"/>
                <w:szCs w:val="15"/>
                <w:color w:val="auto"/>
              </w:rPr>
              <w:t>pSMAD3 and extractable collagen 1 were correlated with an r value of 0.7807 (p&lt;0.0001)</w:t>
            </w:r>
          </w:p>
        </w:tc>
      </w:tr>
      <w:tr>
        <w:trPr>
          <w:trHeight w:val="196"/>
        </w:trPr>
        <w:tc>
          <w:tcPr>
            <w:tcW w:w="3820" w:type="dxa"/>
            <w:vAlign w:val="bottom"/>
            <w:tcBorders>
              <w:left w:val="single" w:sz="8" w:color="4B61A8"/>
              <w:right w:val="single" w:sz="8" w:color="4B61A8"/>
            </w:tcBorders>
            <w:shd w:val="clear" w:color="auto" w:fill="DBDFED"/>
          </w:tcPr>
          <w:p>
            <w:pPr>
              <w:ind w:left="140"/>
              <w:spacing w:after="0" w:line="196" w:lineRule="exact"/>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 and</w:t>
            </w:r>
            <w:r>
              <w:rPr>
                <w:rFonts w:ascii="Arial" w:cs="Arial" w:eastAsia="Arial" w:hAnsi="Arial"/>
                <w:sz w:val="18"/>
                <w:szCs w:val="18"/>
                <w:color w:val="auto"/>
              </w:rPr>
              <w:t xml:space="preserv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 expression is elevated in mouse</w:t>
            </w:r>
          </w:p>
        </w:tc>
        <w:tc>
          <w:tcPr>
            <w:tcW w:w="260" w:type="dxa"/>
            <w:vAlign w:val="bottom"/>
            <w:shd w:val="clear" w:color="auto" w:fill="DBDFED"/>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right w:val="single" w:sz="8" w:color="4B61A8"/>
            </w:tcBorders>
            <w:shd w:val="clear" w:color="auto" w:fill="DBDFED"/>
          </w:tcPr>
          <w:p>
            <w:pPr>
              <w:ind w:left="40"/>
              <w:spacing w:after="0"/>
              <w:rPr>
                <w:sz w:val="20"/>
                <w:szCs w:val="20"/>
                <w:color w:val="auto"/>
              </w:rPr>
            </w:pPr>
            <w:r>
              <w:rPr>
                <w:rFonts w:ascii="Arial" w:cs="Arial" w:eastAsia="Arial" w:hAnsi="Arial"/>
                <w:sz w:val="15"/>
                <w:szCs w:val="15"/>
                <w:color w:val="auto"/>
              </w:rPr>
              <w:t xml:space="preserve">In both acute and chronic bleomycin IPF mouse models, expression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 and a</w:t>
            </w:r>
            <w:r>
              <w:rPr>
                <w:rFonts w:ascii="Arial" w:cs="Arial" w:eastAsia="Arial" w:hAnsi="Arial"/>
                <w:sz w:val="12"/>
                <w:szCs w:val="12"/>
                <w:color w:val="auto"/>
              </w:rPr>
              <w:t>v</w:t>
            </w:r>
            <w:r>
              <w:rPr>
                <w:rFonts w:ascii="Arial" w:cs="Arial" w:eastAsia="Arial" w:hAnsi="Arial"/>
                <w:sz w:val="15"/>
                <w:szCs w:val="15"/>
                <w:color w:val="auto"/>
              </w:rPr>
              <w:t>ß</w:t>
            </w:r>
            <w:r>
              <w:rPr>
                <w:rFonts w:ascii="Arial" w:cs="Arial" w:eastAsia="Arial" w:hAnsi="Arial"/>
                <w:sz w:val="12"/>
                <w:szCs w:val="12"/>
                <w:color w:val="auto"/>
              </w:rPr>
              <w:t>1</w:t>
            </w:r>
          </w:p>
        </w:tc>
      </w:tr>
      <w:tr>
        <w:trPr>
          <w:trHeight w:val="175"/>
        </w:trPr>
        <w:tc>
          <w:tcPr>
            <w:tcW w:w="3820" w:type="dxa"/>
            <w:vAlign w:val="bottom"/>
            <w:tcBorders>
              <w:left w:val="single" w:sz="8" w:color="4B61A8"/>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bleomycin IPF models</w:t>
            </w:r>
          </w:p>
        </w:tc>
        <w:tc>
          <w:tcPr>
            <w:tcW w:w="260" w:type="dxa"/>
            <w:vAlign w:val="bottom"/>
            <w:tcBorders>
              <w:bottom w:val="single" w:sz="8" w:color="4B61A8"/>
            </w:tcBorders>
            <w:shd w:val="clear" w:color="auto" w:fill="DBDFED"/>
          </w:tcPr>
          <w:p>
            <w:pPr>
              <w:spacing w:after="0"/>
              <w:rPr>
                <w:sz w:val="15"/>
                <w:szCs w:val="15"/>
                <w:color w:val="auto"/>
              </w:rPr>
            </w:pPr>
          </w:p>
        </w:tc>
        <w:tc>
          <w:tcPr>
            <w:tcW w:w="7140" w:type="dxa"/>
            <w:vAlign w:val="bottom"/>
            <w:tcBorders>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integrins was higher in bleomycin exposed animals compared to healthy controls</w:t>
            </w:r>
          </w:p>
        </w:tc>
      </w:tr>
      <w:tr>
        <w:trPr>
          <w:trHeight w:val="195"/>
        </w:trPr>
        <w:tc>
          <w:tcPr>
            <w:tcW w:w="38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 xml:space="preserve">Dual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inhibition decreased collagen</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right w:val="single" w:sz="8" w:color="4B61A8"/>
            </w:tcBorders>
          </w:tcPr>
          <w:p>
            <w:pPr>
              <w:ind w:left="40"/>
              <w:spacing w:after="0"/>
              <w:rPr>
                <w:sz w:val="20"/>
                <w:szCs w:val="20"/>
                <w:color w:val="auto"/>
              </w:rPr>
            </w:pPr>
            <w:r>
              <w:rPr>
                <w:rFonts w:ascii="Arial" w:cs="Arial" w:eastAsia="Arial" w:hAnsi="Arial"/>
                <w:sz w:val="15"/>
                <w:szCs w:val="15"/>
                <w:color w:val="auto"/>
              </w:rPr>
              <w:t xml:space="preserve">Dual inhibition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at 10x IC</w:t>
            </w:r>
            <w:r>
              <w:rPr>
                <w:rFonts w:ascii="Arial" w:cs="Arial" w:eastAsia="Arial" w:hAnsi="Arial"/>
                <w:sz w:val="12"/>
                <w:szCs w:val="12"/>
                <w:color w:val="auto"/>
              </w:rPr>
              <w:t>50</w:t>
            </w:r>
            <w:r>
              <w:rPr>
                <w:rFonts w:ascii="Arial" w:cs="Arial" w:eastAsia="Arial" w:hAnsi="Arial"/>
                <w:sz w:val="15"/>
                <w:szCs w:val="15"/>
                <w:color w:val="auto"/>
              </w:rPr>
              <w:t xml:space="preserve"> significantly decreased expression of </w:t>
            </w:r>
            <w:r>
              <w:rPr>
                <w:rFonts w:ascii="Arial" w:cs="Arial" w:eastAsia="Arial" w:hAnsi="Arial"/>
                <w:sz w:val="15"/>
                <w:szCs w:val="15"/>
                <w:i w:val="1"/>
                <w:iCs w:val="1"/>
                <w:color w:val="auto"/>
              </w:rPr>
              <w:t>COL1A1</w:t>
            </w:r>
          </w:p>
        </w:tc>
      </w:tr>
      <w:tr>
        <w:trPr>
          <w:trHeight w:val="216"/>
        </w:trPr>
        <w:tc>
          <w:tcPr>
            <w:tcW w:w="38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 xml:space="preserve">more than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or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single inhibition in live</w:t>
            </w:r>
          </w:p>
        </w:tc>
        <w:tc>
          <w:tcPr>
            <w:tcW w:w="260" w:type="dxa"/>
            <w:vAlign w:val="bottom"/>
          </w:tcPr>
          <w:p>
            <w:pPr>
              <w:spacing w:after="0"/>
              <w:rPr>
                <w:sz w:val="18"/>
                <w:szCs w:val="18"/>
                <w:color w:val="auto"/>
              </w:rPr>
            </w:pPr>
          </w:p>
        </w:tc>
        <w:tc>
          <w:tcPr>
            <w:tcW w:w="7140" w:type="dxa"/>
            <w:vAlign w:val="bottom"/>
            <w:tcBorders>
              <w:right w:val="single" w:sz="8" w:color="4B61A8"/>
            </w:tcBorders>
          </w:tcPr>
          <w:p>
            <w:pPr>
              <w:ind w:left="140"/>
              <w:spacing w:after="0"/>
              <w:rPr>
                <w:sz w:val="20"/>
                <w:szCs w:val="20"/>
                <w:color w:val="auto"/>
              </w:rPr>
            </w:pPr>
            <w:r>
              <w:rPr>
                <w:rFonts w:ascii="Arial" w:cs="Arial" w:eastAsia="Arial" w:hAnsi="Arial"/>
                <w:sz w:val="15"/>
                <w:szCs w:val="15"/>
                <w:color w:val="auto"/>
              </w:rPr>
              <w:t>and other profibrotic genes relative to DMSO vehicle control</w:t>
            </w:r>
          </w:p>
        </w:tc>
      </w:tr>
      <w:tr>
        <w:trPr>
          <w:trHeight w:val="249"/>
        </w:trPr>
        <w:tc>
          <w:tcPr>
            <w:tcW w:w="38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human IPF lung tissue</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right w:val="single" w:sz="8" w:color="4B61A8"/>
            </w:tcBorders>
          </w:tcPr>
          <w:p>
            <w:pPr>
              <w:ind w:left="40"/>
              <w:spacing w:after="0"/>
              <w:rPr>
                <w:sz w:val="20"/>
                <w:szCs w:val="20"/>
                <w:color w:val="auto"/>
              </w:rPr>
            </w:pPr>
            <w:r>
              <w:rPr>
                <w:rFonts w:ascii="Arial" w:cs="Arial" w:eastAsia="Arial" w:hAnsi="Arial"/>
                <w:sz w:val="15"/>
                <w:szCs w:val="15"/>
                <w:color w:val="auto"/>
              </w:rPr>
              <w:t xml:space="preserve">Single inhibition of either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at 10x IC</w:t>
            </w:r>
            <w:r>
              <w:rPr>
                <w:rFonts w:ascii="Arial" w:cs="Arial" w:eastAsia="Arial" w:hAnsi="Arial"/>
                <w:sz w:val="12"/>
                <w:szCs w:val="12"/>
                <w:color w:val="auto"/>
              </w:rPr>
              <w:t>50</w:t>
            </w:r>
            <w:r>
              <w:rPr>
                <w:rFonts w:ascii="Arial" w:cs="Arial" w:eastAsia="Arial" w:hAnsi="Arial"/>
                <w:sz w:val="15"/>
                <w:szCs w:val="15"/>
                <w:color w:val="auto"/>
              </w:rPr>
              <w:t xml:space="preserve"> did not show significant decrease in</w:t>
            </w:r>
          </w:p>
        </w:tc>
      </w:tr>
      <w:tr>
        <w:trPr>
          <w:trHeight w:val="183"/>
        </w:trPr>
        <w:tc>
          <w:tcPr>
            <w:tcW w:w="3820" w:type="dxa"/>
            <w:vAlign w:val="bottom"/>
            <w:tcBorders>
              <w:left w:val="single" w:sz="8" w:color="4B61A8"/>
              <w:bottom w:val="single" w:sz="8" w:color="4B61A8"/>
              <w:right w:val="single" w:sz="8" w:color="4B61A8"/>
            </w:tcBorders>
          </w:tcPr>
          <w:p>
            <w:pPr>
              <w:spacing w:after="0"/>
              <w:rPr>
                <w:sz w:val="15"/>
                <w:szCs w:val="15"/>
                <w:color w:val="auto"/>
              </w:rPr>
            </w:pPr>
          </w:p>
        </w:tc>
        <w:tc>
          <w:tcPr>
            <w:tcW w:w="260" w:type="dxa"/>
            <w:vAlign w:val="bottom"/>
            <w:tcBorders>
              <w:bottom w:val="single" w:sz="8" w:color="4B61A8"/>
            </w:tcBorders>
          </w:tcPr>
          <w:p>
            <w:pPr>
              <w:spacing w:after="0"/>
              <w:rPr>
                <w:sz w:val="15"/>
                <w:szCs w:val="15"/>
                <w:color w:val="auto"/>
              </w:rPr>
            </w:pPr>
          </w:p>
        </w:tc>
        <w:tc>
          <w:tcPr>
            <w:tcW w:w="7140" w:type="dxa"/>
            <w:vAlign w:val="bottom"/>
            <w:tcBorders>
              <w:bottom w:val="single" w:sz="8" w:color="4B61A8"/>
              <w:right w:val="single" w:sz="8" w:color="4B61A8"/>
            </w:tcBorders>
          </w:tcPr>
          <w:p>
            <w:pPr>
              <w:ind w:left="140"/>
              <w:spacing w:after="0"/>
              <w:rPr>
                <w:sz w:val="20"/>
                <w:szCs w:val="20"/>
                <w:color w:val="auto"/>
              </w:rPr>
            </w:pPr>
            <w:r>
              <w:rPr>
                <w:rFonts w:ascii="Arial" w:cs="Arial" w:eastAsia="Arial" w:hAnsi="Arial"/>
                <w:sz w:val="15"/>
                <w:szCs w:val="15"/>
                <w:i w:val="1"/>
                <w:iCs w:val="1"/>
                <w:color w:val="auto"/>
              </w:rPr>
              <w:t xml:space="preserve">COL1A1 </w:t>
            </w:r>
            <w:r>
              <w:rPr>
                <w:rFonts w:ascii="Arial" w:cs="Arial" w:eastAsia="Arial" w:hAnsi="Arial"/>
                <w:sz w:val="15"/>
                <w:szCs w:val="15"/>
                <w:color w:val="auto"/>
              </w:rPr>
              <w:t>expression</w:t>
            </w:r>
          </w:p>
        </w:tc>
      </w:tr>
      <w:tr>
        <w:trPr>
          <w:trHeight w:val="142"/>
        </w:trPr>
        <w:tc>
          <w:tcPr>
            <w:tcW w:w="3820" w:type="dxa"/>
            <w:vAlign w:val="bottom"/>
            <w:tcBorders>
              <w:left w:val="single" w:sz="8" w:color="4B61A8"/>
              <w:right w:val="single" w:sz="8" w:color="4B61A8"/>
            </w:tcBorders>
            <w:shd w:val="clear" w:color="auto" w:fill="DBDFED"/>
          </w:tcPr>
          <w:p>
            <w:pPr>
              <w:ind w:left="140"/>
              <w:spacing w:after="0" w:line="142" w:lineRule="exact"/>
              <w:rPr>
                <w:sz w:val="20"/>
                <w:szCs w:val="20"/>
                <w:color w:val="auto"/>
              </w:rPr>
            </w:pPr>
            <w:r>
              <w:rPr>
                <w:rFonts w:ascii="Arial" w:cs="Arial" w:eastAsia="Arial" w:hAnsi="Arial"/>
                <w:sz w:val="15"/>
                <w:szCs w:val="15"/>
                <w:color w:val="auto"/>
              </w:rPr>
              <w:t>PLN-74809 showed a dose dependent reduction</w:t>
            </w:r>
          </w:p>
        </w:tc>
        <w:tc>
          <w:tcPr>
            <w:tcW w:w="7400" w:type="dxa"/>
            <w:vAlign w:val="bottom"/>
            <w:tcBorders>
              <w:right w:val="single" w:sz="8" w:color="4B61A8"/>
            </w:tcBorders>
            <w:gridSpan w:val="2"/>
            <w:shd w:val="clear" w:color="auto" w:fill="DBDFED"/>
          </w:tcPr>
          <w:p>
            <w:pPr>
              <w:ind w:left="160"/>
              <w:spacing w:after="0" w:line="142" w:lineRule="exact"/>
              <w:rPr>
                <w:sz w:val="20"/>
                <w:szCs w:val="20"/>
                <w:color w:val="auto"/>
              </w:rPr>
            </w:pPr>
            <w:r>
              <w:rPr>
                <w:rFonts w:ascii="Arial" w:cs="Arial" w:eastAsia="Arial" w:hAnsi="Arial"/>
                <w:sz w:val="15"/>
                <w:szCs w:val="15"/>
                <w:color w:val="auto"/>
              </w:rPr>
              <w:t>• Three weeks of treatment with PLN-74809 utilizing second-harmonic generation resulted in a</w:t>
            </w:r>
          </w:p>
        </w:tc>
      </w:tr>
      <w:tr>
        <w:trPr>
          <w:trHeight w:val="162"/>
        </w:trPr>
        <w:tc>
          <w:tcPr>
            <w:tcW w:w="3820" w:type="dxa"/>
            <w:vAlign w:val="bottom"/>
            <w:tcBorders>
              <w:left w:val="single" w:sz="8" w:color="4B61A8"/>
              <w:right w:val="single" w:sz="8" w:color="4B61A8"/>
            </w:tcBorders>
            <w:shd w:val="clear" w:color="auto" w:fill="DBDFED"/>
          </w:tcPr>
          <w:p>
            <w:pPr>
              <w:ind w:left="140"/>
              <w:spacing w:after="0" w:line="162" w:lineRule="exact"/>
              <w:rPr>
                <w:sz w:val="20"/>
                <w:szCs w:val="20"/>
                <w:color w:val="auto"/>
              </w:rPr>
            </w:pPr>
            <w:r>
              <w:rPr>
                <w:rFonts w:ascii="Arial" w:cs="Arial" w:eastAsia="Arial" w:hAnsi="Arial"/>
                <w:sz w:val="15"/>
                <w:szCs w:val="15"/>
                <w:color w:val="auto"/>
              </w:rPr>
              <w:t>in collagen fiber density in a mouse bleomycin</w:t>
            </w:r>
          </w:p>
        </w:tc>
        <w:tc>
          <w:tcPr>
            <w:tcW w:w="260" w:type="dxa"/>
            <w:vAlign w:val="bottom"/>
            <w:shd w:val="clear" w:color="auto" w:fill="DBDFED"/>
          </w:tcPr>
          <w:p>
            <w:pPr>
              <w:spacing w:after="0"/>
              <w:rPr>
                <w:sz w:val="14"/>
                <w:szCs w:val="14"/>
                <w:color w:val="auto"/>
              </w:rPr>
            </w:pPr>
          </w:p>
        </w:tc>
        <w:tc>
          <w:tcPr>
            <w:tcW w:w="7140" w:type="dxa"/>
            <w:vAlign w:val="bottom"/>
            <w:tcBorders>
              <w:right w:val="single" w:sz="8" w:color="4B61A8"/>
            </w:tcBorders>
            <w:shd w:val="clear" w:color="auto" w:fill="DBDFED"/>
          </w:tcPr>
          <w:p>
            <w:pPr>
              <w:ind w:left="140"/>
              <w:spacing w:after="0" w:line="162" w:lineRule="exact"/>
              <w:rPr>
                <w:sz w:val="20"/>
                <w:szCs w:val="20"/>
                <w:color w:val="auto"/>
              </w:rPr>
            </w:pPr>
            <w:r>
              <w:rPr>
                <w:rFonts w:ascii="Arial" w:cs="Arial" w:eastAsia="Arial" w:hAnsi="Arial"/>
                <w:sz w:val="15"/>
                <w:szCs w:val="15"/>
                <w:color w:val="auto"/>
              </w:rPr>
              <w:t>dose dependent decrease in collagen fiber density</w:t>
            </w:r>
          </w:p>
        </w:tc>
      </w:tr>
      <w:tr>
        <w:trPr>
          <w:trHeight w:val="194"/>
        </w:trPr>
        <w:tc>
          <w:tcPr>
            <w:tcW w:w="38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IPF model</w:t>
            </w:r>
          </w:p>
        </w:tc>
        <w:tc>
          <w:tcPr>
            <w:tcW w:w="260" w:type="dxa"/>
            <w:vAlign w:val="bottom"/>
            <w:shd w:val="clear" w:color="auto" w:fill="DBDFED"/>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right w:val="single" w:sz="8" w:color="4B61A8"/>
            </w:tcBorders>
            <w:shd w:val="clear" w:color="auto" w:fill="DBDFED"/>
          </w:tcPr>
          <w:p>
            <w:pPr>
              <w:ind w:left="40"/>
              <w:spacing w:after="0"/>
              <w:rPr>
                <w:sz w:val="20"/>
                <w:szCs w:val="20"/>
                <w:color w:val="auto"/>
              </w:rPr>
            </w:pPr>
            <w:r>
              <w:rPr>
                <w:rFonts w:ascii="Arial" w:cs="Arial" w:eastAsia="Arial" w:hAnsi="Arial"/>
                <w:sz w:val="15"/>
                <w:szCs w:val="15"/>
                <w:color w:val="auto"/>
              </w:rPr>
              <w:t>Fibrous composite score was significantly reduced in a dose dependent manner vs. vehicle</w:t>
            </w:r>
          </w:p>
        </w:tc>
      </w:tr>
      <w:tr>
        <w:trPr>
          <w:trHeight w:val="184"/>
        </w:trPr>
        <w:tc>
          <w:tcPr>
            <w:tcW w:w="3820" w:type="dxa"/>
            <w:vAlign w:val="bottom"/>
            <w:tcBorders>
              <w:left w:val="single" w:sz="8" w:color="4B61A8"/>
              <w:bottom w:val="single" w:sz="8" w:color="4B61A8"/>
              <w:right w:val="single" w:sz="8" w:color="4B61A8"/>
            </w:tcBorders>
            <w:shd w:val="clear" w:color="auto" w:fill="DBDFED"/>
          </w:tcPr>
          <w:p>
            <w:pPr>
              <w:spacing w:after="0"/>
              <w:rPr>
                <w:sz w:val="15"/>
                <w:szCs w:val="15"/>
                <w:color w:val="auto"/>
              </w:rPr>
            </w:pPr>
          </w:p>
        </w:tc>
        <w:tc>
          <w:tcPr>
            <w:tcW w:w="260" w:type="dxa"/>
            <w:vAlign w:val="bottom"/>
            <w:tcBorders>
              <w:bottom w:val="single" w:sz="8" w:color="4B61A8"/>
            </w:tcBorders>
            <w:shd w:val="clear" w:color="auto" w:fill="DBDFED"/>
          </w:tcPr>
          <w:p>
            <w:pPr>
              <w:spacing w:after="0"/>
              <w:rPr>
                <w:sz w:val="15"/>
                <w:szCs w:val="15"/>
                <w:color w:val="auto"/>
              </w:rPr>
            </w:pPr>
          </w:p>
        </w:tc>
        <w:tc>
          <w:tcPr>
            <w:tcW w:w="7140" w:type="dxa"/>
            <w:vAlign w:val="bottom"/>
            <w:tcBorders>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control</w:t>
            </w:r>
          </w:p>
        </w:tc>
      </w:tr>
      <w:tr>
        <w:trPr>
          <w:trHeight w:val="142"/>
        </w:trPr>
        <w:tc>
          <w:tcPr>
            <w:tcW w:w="3820" w:type="dxa"/>
            <w:vAlign w:val="bottom"/>
            <w:tcBorders>
              <w:left w:val="single" w:sz="8" w:color="4B61A8"/>
              <w:right w:val="single" w:sz="8" w:color="4B61A8"/>
            </w:tcBorders>
          </w:tcPr>
          <w:p>
            <w:pPr>
              <w:ind w:left="140"/>
              <w:spacing w:after="0" w:line="142" w:lineRule="exact"/>
              <w:rPr>
                <w:sz w:val="20"/>
                <w:szCs w:val="20"/>
                <w:color w:val="auto"/>
              </w:rPr>
            </w:pPr>
            <w:r>
              <w:rPr>
                <w:rFonts w:ascii="Arial" w:cs="Arial" w:eastAsia="Arial" w:hAnsi="Arial"/>
                <w:sz w:val="15"/>
                <w:szCs w:val="15"/>
                <w:color w:val="auto"/>
              </w:rPr>
              <w:t>PLN-74809 decreased TGF-ß activation in</w:t>
            </w:r>
          </w:p>
        </w:tc>
        <w:tc>
          <w:tcPr>
            <w:tcW w:w="7400" w:type="dxa"/>
            <w:vAlign w:val="bottom"/>
            <w:tcBorders>
              <w:right w:val="single" w:sz="8" w:color="4B61A8"/>
            </w:tcBorders>
            <w:gridSpan w:val="2"/>
          </w:tcPr>
          <w:p>
            <w:pPr>
              <w:ind w:left="160"/>
              <w:spacing w:after="0" w:line="142" w:lineRule="exact"/>
              <w:rPr>
                <w:sz w:val="20"/>
                <w:szCs w:val="20"/>
                <w:color w:val="auto"/>
              </w:rPr>
            </w:pPr>
            <w:r>
              <w:rPr>
                <w:rFonts w:ascii="Arial" w:cs="Arial" w:eastAsia="Arial" w:hAnsi="Arial"/>
                <w:sz w:val="15"/>
                <w:szCs w:val="15"/>
                <w:color w:val="auto"/>
              </w:rPr>
              <w:t>• After two weeks of treatment with PLN-74809 levels of pSMAD3 were significantly reduced</w:t>
            </w:r>
          </w:p>
        </w:tc>
      </w:tr>
      <w:tr>
        <w:trPr>
          <w:trHeight w:val="194"/>
        </w:trPr>
        <w:tc>
          <w:tcPr>
            <w:tcW w:w="38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chronic bleomycin mouse model</w:t>
            </w:r>
          </w:p>
        </w:tc>
        <w:tc>
          <w:tcPr>
            <w:tcW w:w="260" w:type="dxa"/>
            <w:vAlign w:val="bottom"/>
          </w:tcPr>
          <w:p>
            <w:pPr>
              <w:spacing w:after="0"/>
              <w:rPr>
                <w:sz w:val="16"/>
                <w:szCs w:val="16"/>
                <w:color w:val="auto"/>
              </w:rPr>
            </w:pPr>
          </w:p>
        </w:tc>
        <w:tc>
          <w:tcPr>
            <w:tcW w:w="7140" w:type="dxa"/>
            <w:vAlign w:val="bottom"/>
            <w:tcBorders>
              <w:right w:val="single" w:sz="8" w:color="4B61A8"/>
            </w:tcBorders>
          </w:tcPr>
          <w:p>
            <w:pPr>
              <w:ind w:left="140"/>
              <w:spacing w:after="0"/>
              <w:rPr>
                <w:sz w:val="20"/>
                <w:szCs w:val="20"/>
                <w:color w:val="auto"/>
              </w:rPr>
            </w:pPr>
            <w:r>
              <w:rPr>
                <w:rFonts w:ascii="Arial" w:cs="Arial" w:eastAsia="Arial" w:hAnsi="Arial"/>
                <w:sz w:val="15"/>
                <w:szCs w:val="15"/>
                <w:color w:val="auto"/>
              </w:rPr>
              <w:t>compared to PBS vehicle control</w:t>
            </w:r>
          </w:p>
        </w:tc>
      </w:tr>
      <w:tr>
        <w:trPr>
          <w:trHeight w:val="184"/>
        </w:trPr>
        <w:tc>
          <w:tcPr>
            <w:tcW w:w="3820" w:type="dxa"/>
            <w:vAlign w:val="bottom"/>
            <w:tcBorders>
              <w:left w:val="single" w:sz="8" w:color="4B61A8"/>
              <w:bottom w:val="single" w:sz="8" w:color="4B61A8"/>
              <w:right w:val="single" w:sz="8" w:color="4B61A8"/>
            </w:tcBorders>
          </w:tcPr>
          <w:p>
            <w:pPr>
              <w:spacing w:after="0"/>
              <w:rPr>
                <w:sz w:val="15"/>
                <w:szCs w:val="15"/>
                <w:color w:val="auto"/>
              </w:rPr>
            </w:pPr>
          </w:p>
        </w:tc>
        <w:tc>
          <w:tcPr>
            <w:tcW w:w="260" w:type="dxa"/>
            <w:vAlign w:val="bottom"/>
            <w:tcBorders>
              <w:bottom w:val="single" w:sz="8" w:color="4B61A8"/>
            </w:tcBorders>
          </w:tcPr>
          <w:p>
            <w:pPr>
              <w:ind w:left="160"/>
              <w:spacing w:after="0"/>
              <w:rPr>
                <w:sz w:val="20"/>
                <w:szCs w:val="20"/>
                <w:color w:val="auto"/>
              </w:rPr>
            </w:pPr>
            <w:r>
              <w:rPr>
                <w:rFonts w:ascii="Arial" w:cs="Arial" w:eastAsia="Arial" w:hAnsi="Arial"/>
                <w:sz w:val="15"/>
                <w:szCs w:val="15"/>
                <w:color w:val="auto"/>
              </w:rPr>
              <w:t>•</w:t>
            </w:r>
          </w:p>
        </w:tc>
        <w:tc>
          <w:tcPr>
            <w:tcW w:w="7140" w:type="dxa"/>
            <w:vAlign w:val="bottom"/>
            <w:tcBorders>
              <w:bottom w:val="single" w:sz="8" w:color="4B61A8"/>
              <w:right w:val="single" w:sz="8" w:color="4B61A8"/>
            </w:tcBorders>
          </w:tcPr>
          <w:p>
            <w:pPr>
              <w:ind w:left="40"/>
              <w:spacing w:after="0"/>
              <w:rPr>
                <w:sz w:val="20"/>
                <w:szCs w:val="20"/>
                <w:color w:val="auto"/>
              </w:rPr>
            </w:pPr>
            <w:r>
              <w:rPr>
                <w:rFonts w:ascii="Arial" w:cs="Arial" w:eastAsia="Arial" w:hAnsi="Arial"/>
                <w:sz w:val="15"/>
                <w:szCs w:val="15"/>
                <w:color w:val="auto"/>
              </w:rPr>
              <w:t>Post-treatment pSMAD3 levels were similar to those of healthy controls</w:t>
            </w:r>
          </w:p>
        </w:tc>
      </w:tr>
      <w:tr>
        <w:trPr>
          <w:trHeight w:val="196"/>
        </w:trPr>
        <w:tc>
          <w:tcPr>
            <w:tcW w:w="38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 xml:space="preserve">Inhibition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blocked TGF-ß</w:t>
            </w:r>
          </w:p>
        </w:tc>
        <w:tc>
          <w:tcPr>
            <w:tcW w:w="7400" w:type="dxa"/>
            <w:vAlign w:val="bottom"/>
            <w:tcBorders>
              <w:right w:val="single" w:sz="8" w:color="4B61A8"/>
            </w:tcBorders>
            <w:gridSpan w:val="2"/>
            <w:shd w:val="clear" w:color="auto" w:fill="DBDFED"/>
          </w:tcPr>
          <w:p>
            <w:pPr>
              <w:ind w:left="160"/>
              <w:spacing w:after="0"/>
              <w:rPr>
                <w:sz w:val="20"/>
                <w:szCs w:val="20"/>
                <w:color w:val="auto"/>
              </w:rPr>
            </w:pPr>
            <w:r>
              <w:rPr>
                <w:rFonts w:ascii="Arial" w:cs="Arial" w:eastAsia="Arial" w:hAnsi="Arial"/>
                <w:sz w:val="15"/>
                <w:szCs w:val="15"/>
                <w:color w:val="auto"/>
              </w:rPr>
              <w:t xml:space="preserve">• After seven days of treatment with dual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 xml:space="preserve">6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inhibitor pSMAD2 levels were reduced</w:t>
            </w:r>
          </w:p>
        </w:tc>
      </w:tr>
      <w:tr>
        <w:trPr>
          <w:trHeight w:val="161"/>
        </w:trPr>
        <w:tc>
          <w:tcPr>
            <w:tcW w:w="3820" w:type="dxa"/>
            <w:vAlign w:val="bottom"/>
            <w:tcBorders>
              <w:left w:val="single" w:sz="8" w:color="4B61A8"/>
              <w:right w:val="single" w:sz="8" w:color="4B61A8"/>
            </w:tcBorders>
            <w:shd w:val="clear" w:color="auto" w:fill="DBDFED"/>
          </w:tcPr>
          <w:p>
            <w:pPr>
              <w:ind w:left="140"/>
              <w:spacing w:after="0" w:line="161" w:lineRule="exact"/>
              <w:rPr>
                <w:sz w:val="20"/>
                <w:szCs w:val="20"/>
                <w:color w:val="auto"/>
              </w:rPr>
            </w:pPr>
            <w:r>
              <w:rPr>
                <w:rFonts w:ascii="Arial" w:cs="Arial" w:eastAsia="Arial" w:hAnsi="Arial"/>
                <w:sz w:val="15"/>
                <w:szCs w:val="15"/>
                <w:color w:val="auto"/>
              </w:rPr>
              <w:t>activation in the pulmonary cells of non-human</w:t>
            </w:r>
          </w:p>
        </w:tc>
        <w:tc>
          <w:tcPr>
            <w:tcW w:w="260" w:type="dxa"/>
            <w:vAlign w:val="bottom"/>
            <w:shd w:val="clear" w:color="auto" w:fill="DBDFED"/>
          </w:tcPr>
          <w:p>
            <w:pPr>
              <w:spacing w:after="0"/>
              <w:rPr>
                <w:sz w:val="13"/>
                <w:szCs w:val="13"/>
                <w:color w:val="auto"/>
              </w:rPr>
            </w:pPr>
          </w:p>
        </w:tc>
        <w:tc>
          <w:tcPr>
            <w:tcW w:w="7140" w:type="dxa"/>
            <w:vAlign w:val="bottom"/>
            <w:tcBorders>
              <w:right w:val="single" w:sz="8" w:color="4B61A8"/>
            </w:tcBorders>
            <w:shd w:val="clear" w:color="auto" w:fill="DBDFED"/>
          </w:tcPr>
          <w:p>
            <w:pPr>
              <w:ind w:left="140"/>
              <w:spacing w:after="0" w:line="161" w:lineRule="exact"/>
              <w:rPr>
                <w:sz w:val="20"/>
                <w:szCs w:val="20"/>
                <w:color w:val="auto"/>
              </w:rPr>
            </w:pPr>
            <w:r>
              <w:rPr>
                <w:rFonts w:ascii="Arial" w:cs="Arial" w:eastAsia="Arial" w:hAnsi="Arial"/>
                <w:sz w:val="15"/>
                <w:szCs w:val="15"/>
                <w:color w:val="auto"/>
              </w:rPr>
              <w:t>by greater than 75% in pulmonary cells of non-human primates</w:t>
            </w:r>
          </w:p>
        </w:tc>
      </w:tr>
      <w:tr>
        <w:trPr>
          <w:trHeight w:val="217"/>
        </w:trPr>
        <w:tc>
          <w:tcPr>
            <w:tcW w:w="38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primates</w:t>
            </w:r>
          </w:p>
        </w:tc>
        <w:tc>
          <w:tcPr>
            <w:tcW w:w="7400" w:type="dxa"/>
            <w:vAlign w:val="bottom"/>
            <w:tcBorders>
              <w:right w:val="single" w:sz="8" w:color="4B61A8"/>
            </w:tcBorders>
            <w:gridSpan w:val="2"/>
            <w:shd w:val="clear" w:color="auto" w:fill="DBDFED"/>
          </w:tcPr>
          <w:p>
            <w:pPr>
              <w:ind w:left="160"/>
              <w:spacing w:after="0"/>
              <w:rPr>
                <w:sz w:val="20"/>
                <w:szCs w:val="20"/>
                <w:color w:val="auto"/>
              </w:rPr>
            </w:pPr>
            <w:r>
              <w:rPr>
                <w:rFonts w:ascii="Arial" w:cs="Arial" w:eastAsia="Arial" w:hAnsi="Arial"/>
                <w:sz w:val="15"/>
                <w:szCs w:val="15"/>
                <w:color w:val="auto"/>
              </w:rPr>
              <w:t xml:space="preserve">• An anti-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 antibody showed approximately 50% decrease</w:t>
            </w:r>
          </w:p>
        </w:tc>
      </w:tr>
      <w:tr>
        <w:trPr>
          <w:trHeight w:val="162"/>
        </w:trPr>
        <w:tc>
          <w:tcPr>
            <w:tcW w:w="3820" w:type="dxa"/>
            <w:vAlign w:val="bottom"/>
            <w:tcBorders>
              <w:left w:val="single" w:sz="8" w:color="4B61A8"/>
              <w:right w:val="single" w:sz="8" w:color="4B61A8"/>
            </w:tcBorders>
            <w:shd w:val="clear" w:color="auto" w:fill="DBDFED"/>
          </w:tcPr>
          <w:p>
            <w:pPr>
              <w:spacing w:after="0"/>
              <w:rPr>
                <w:sz w:val="14"/>
                <w:szCs w:val="14"/>
                <w:color w:val="auto"/>
              </w:rPr>
            </w:pPr>
          </w:p>
        </w:tc>
        <w:tc>
          <w:tcPr>
            <w:tcW w:w="7400" w:type="dxa"/>
            <w:vAlign w:val="bottom"/>
            <w:tcBorders>
              <w:right w:val="single" w:sz="8" w:color="4B61A8"/>
            </w:tcBorders>
            <w:gridSpan w:val="2"/>
            <w:shd w:val="clear" w:color="auto" w:fill="DBDFED"/>
          </w:tcPr>
          <w:p>
            <w:pPr>
              <w:ind w:left="160"/>
              <w:spacing w:after="0" w:line="162" w:lineRule="exact"/>
              <w:rPr>
                <w:sz w:val="20"/>
                <w:szCs w:val="20"/>
                <w:color w:val="auto"/>
              </w:rPr>
            </w:pPr>
            <w:r>
              <w:rPr>
                <w:rFonts w:ascii="Arial" w:cs="Arial" w:eastAsia="Arial" w:hAnsi="Arial"/>
                <w:sz w:val="15"/>
                <w:szCs w:val="15"/>
                <w:color w:val="auto"/>
              </w:rPr>
              <w:t>• Dual inhibition showed a clear PK/PD relationship with maximal pSMAD2 suppression was</w:t>
            </w:r>
          </w:p>
        </w:tc>
      </w:tr>
      <w:tr>
        <w:trPr>
          <w:trHeight w:val="194"/>
        </w:trPr>
        <w:tc>
          <w:tcPr>
            <w:tcW w:w="3820" w:type="dxa"/>
            <w:vAlign w:val="bottom"/>
            <w:tcBorders>
              <w:left w:val="single" w:sz="8" w:color="4B61A8"/>
              <w:right w:val="single" w:sz="8" w:color="4B61A8"/>
            </w:tcBorders>
            <w:shd w:val="clear" w:color="auto" w:fill="DBDFED"/>
          </w:tcPr>
          <w:p>
            <w:pPr>
              <w:spacing w:after="0"/>
              <w:rPr>
                <w:sz w:val="16"/>
                <w:szCs w:val="16"/>
                <w:color w:val="auto"/>
              </w:rPr>
            </w:pPr>
          </w:p>
        </w:tc>
        <w:tc>
          <w:tcPr>
            <w:tcW w:w="260" w:type="dxa"/>
            <w:vAlign w:val="bottom"/>
            <w:shd w:val="clear" w:color="auto" w:fill="DBDFED"/>
          </w:tcPr>
          <w:p>
            <w:pPr>
              <w:spacing w:after="0"/>
              <w:rPr>
                <w:sz w:val="16"/>
                <w:szCs w:val="16"/>
                <w:color w:val="auto"/>
              </w:rPr>
            </w:pPr>
          </w:p>
        </w:tc>
        <w:tc>
          <w:tcPr>
            <w:tcW w:w="7140" w:type="dxa"/>
            <w:vAlign w:val="bottom"/>
            <w:tcBorders>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achieved and maintained while drug concentrations were in the effective dose range (i.e.,</w:t>
            </w:r>
          </w:p>
        </w:tc>
      </w:tr>
      <w:tr>
        <w:trPr>
          <w:trHeight w:val="197"/>
        </w:trPr>
        <w:tc>
          <w:tcPr>
            <w:tcW w:w="3820" w:type="dxa"/>
            <w:vAlign w:val="bottom"/>
            <w:tcBorders>
              <w:left w:val="single" w:sz="8" w:color="4B61A8"/>
              <w:bottom w:val="single" w:sz="8" w:color="4B61A8"/>
              <w:right w:val="single" w:sz="8" w:color="4B61A8"/>
            </w:tcBorders>
            <w:shd w:val="clear" w:color="auto" w:fill="DBDFED"/>
          </w:tcPr>
          <w:p>
            <w:pPr>
              <w:spacing w:after="0"/>
              <w:rPr>
                <w:sz w:val="17"/>
                <w:szCs w:val="17"/>
                <w:color w:val="auto"/>
              </w:rPr>
            </w:pPr>
          </w:p>
        </w:tc>
        <w:tc>
          <w:tcPr>
            <w:tcW w:w="260" w:type="dxa"/>
            <w:vAlign w:val="bottom"/>
            <w:tcBorders>
              <w:bottom w:val="single" w:sz="8" w:color="4B61A8"/>
            </w:tcBorders>
            <w:shd w:val="clear" w:color="auto" w:fill="DBDFED"/>
          </w:tcPr>
          <w:p>
            <w:pPr>
              <w:spacing w:after="0"/>
              <w:rPr>
                <w:sz w:val="17"/>
                <w:szCs w:val="17"/>
                <w:color w:val="auto"/>
              </w:rPr>
            </w:pPr>
          </w:p>
        </w:tc>
        <w:tc>
          <w:tcPr>
            <w:tcW w:w="7140" w:type="dxa"/>
            <w:vAlign w:val="bottom"/>
            <w:tcBorders>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5"/>
                <w:szCs w:val="15"/>
                <w:color w:val="auto"/>
              </w:rPr>
              <w:t>above the plasma protein adjusted IC</w:t>
            </w:r>
            <w:r>
              <w:rPr>
                <w:rFonts w:ascii="Arial" w:cs="Arial" w:eastAsia="Arial" w:hAnsi="Arial"/>
                <w:sz w:val="12"/>
                <w:szCs w:val="12"/>
                <w:color w:val="auto"/>
              </w:rPr>
              <w:t>50</w:t>
            </w:r>
            <w:r>
              <w:rPr>
                <w:rFonts w:ascii="Arial" w:cs="Arial" w:eastAsia="Arial" w:hAnsi="Arial"/>
                <w:sz w:val="15"/>
                <w:szCs w:val="15"/>
                <w:color w:val="auto"/>
              </w:rPr>
              <w:t>, or p.a. IC</w:t>
            </w:r>
            <w:r>
              <w:rPr>
                <w:rFonts w:ascii="Arial" w:cs="Arial" w:eastAsia="Arial" w:hAnsi="Arial"/>
                <w:sz w:val="12"/>
                <w:szCs w:val="12"/>
                <w:color w:val="auto"/>
              </w:rPr>
              <w:t>50</w:t>
            </w:r>
            <w:r>
              <w:rPr>
                <w:rFonts w:ascii="Arial" w:cs="Arial" w:eastAsia="Arial" w:hAnsi="Arial"/>
                <w:sz w:val="15"/>
                <w:szCs w:val="15"/>
                <w:color w:val="auto"/>
              </w:rPr>
              <w:t>)</w:t>
            </w:r>
          </w:p>
        </w:tc>
      </w:tr>
      <w:tr>
        <w:trPr>
          <w:trHeight w:val="195"/>
        </w:trPr>
        <w:tc>
          <w:tcPr>
            <w:tcW w:w="38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 xml:space="preserve">PLN-74809 binds to all conformations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w:t>
            </w:r>
          </w:p>
        </w:tc>
        <w:tc>
          <w:tcPr>
            <w:tcW w:w="7400" w:type="dxa"/>
            <w:vAlign w:val="bottom"/>
            <w:tcBorders>
              <w:right w:val="single" w:sz="8" w:color="4B61A8"/>
            </w:tcBorders>
            <w:gridSpan w:val="2"/>
          </w:tcPr>
          <w:p>
            <w:pPr>
              <w:ind w:left="160"/>
              <w:spacing w:after="0"/>
              <w:rPr>
                <w:sz w:val="20"/>
                <w:szCs w:val="20"/>
                <w:color w:val="auto"/>
              </w:rPr>
            </w:pPr>
            <w:r>
              <w:rPr>
                <w:rFonts w:ascii="Arial" w:cs="Arial" w:eastAsia="Arial" w:hAnsi="Arial"/>
                <w:sz w:val="15"/>
                <w:szCs w:val="15"/>
                <w:color w:val="auto"/>
              </w:rPr>
              <w:t xml:space="preserve">• PLN-74809 binds both bent-closed and extended-open conformations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 and a</w:t>
            </w:r>
            <w:r>
              <w:rPr>
                <w:rFonts w:ascii="Arial" w:cs="Arial" w:eastAsia="Arial" w:hAnsi="Arial"/>
                <w:sz w:val="12"/>
                <w:szCs w:val="12"/>
                <w:color w:val="auto"/>
              </w:rPr>
              <w:t>v</w:t>
            </w:r>
            <w:r>
              <w:rPr>
                <w:rFonts w:ascii="Arial" w:cs="Arial" w:eastAsia="Arial" w:hAnsi="Arial"/>
                <w:sz w:val="15"/>
                <w:szCs w:val="15"/>
                <w:color w:val="auto"/>
              </w:rPr>
              <w:t>ß</w:t>
            </w:r>
            <w:r>
              <w:rPr>
                <w:rFonts w:ascii="Arial" w:cs="Arial" w:eastAsia="Arial" w:hAnsi="Arial"/>
                <w:sz w:val="12"/>
                <w:szCs w:val="12"/>
                <w:color w:val="auto"/>
              </w:rPr>
              <w:t>1</w:t>
            </w:r>
          </w:p>
        </w:tc>
      </w:tr>
      <w:tr>
        <w:trPr>
          <w:trHeight w:val="230"/>
        </w:trPr>
        <w:tc>
          <w:tcPr>
            <w:tcW w:w="3820" w:type="dxa"/>
            <w:vAlign w:val="bottom"/>
            <w:tcBorders>
              <w:left w:val="single" w:sz="8" w:color="4B61A8"/>
              <w:bottom w:val="single" w:sz="8" w:color="4B61A8"/>
              <w:right w:val="single" w:sz="8" w:color="4B61A8"/>
            </w:tcBorders>
          </w:tcPr>
          <w:p>
            <w:pPr>
              <w:ind w:left="140"/>
              <w:spacing w:after="0"/>
              <w:rPr>
                <w:sz w:val="20"/>
                <w:szCs w:val="20"/>
                <w:color w:val="auto"/>
              </w:rPr>
            </w:pPr>
            <w:r>
              <w:rPr>
                <w:rFonts w:ascii="Arial" w:cs="Arial" w:eastAsia="Arial" w:hAnsi="Arial"/>
                <w:sz w:val="15"/>
                <w:szCs w:val="15"/>
                <w:color w:val="auto"/>
              </w:rPr>
              <w:t xml:space="preserve">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 in biochemical assays</w:t>
            </w:r>
          </w:p>
        </w:tc>
        <w:tc>
          <w:tcPr>
            <w:tcW w:w="260" w:type="dxa"/>
            <w:vAlign w:val="bottom"/>
            <w:tcBorders>
              <w:bottom w:val="single" w:sz="8" w:color="4B61A8"/>
            </w:tcBorders>
          </w:tcPr>
          <w:p>
            <w:pPr>
              <w:spacing w:after="0"/>
              <w:rPr>
                <w:sz w:val="20"/>
                <w:szCs w:val="20"/>
                <w:color w:val="auto"/>
              </w:rPr>
            </w:pPr>
          </w:p>
        </w:tc>
        <w:tc>
          <w:tcPr>
            <w:tcW w:w="7140" w:type="dxa"/>
            <w:vAlign w:val="bottom"/>
            <w:tcBorders>
              <w:bottom w:val="single" w:sz="8" w:color="4B61A8"/>
              <w:right w:val="single" w:sz="8" w:color="4B61A8"/>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PLN-74809 reduced collagen gene expression in live human ILD lung tissue</w:t>
      </w:r>
    </w:p>
    <w:p>
      <w:pPr>
        <w:spacing w:after="0" w:line="198"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color w:val="auto"/>
        </w:rPr>
        <w:t xml:space="preserve">In an assay using live lung tissue from five patients with IPF, application of PLN-74809 for seven days led to significant decrease of &gt;50% in expression of </w:t>
      </w:r>
      <w:r>
        <w:rPr>
          <w:rFonts w:ascii="Arial" w:cs="Arial" w:eastAsia="Arial" w:hAnsi="Arial"/>
          <w:sz w:val="18"/>
          <w:szCs w:val="18"/>
          <w:i w:val="1"/>
          <w:iCs w:val="1"/>
          <w:color w:val="auto"/>
        </w:rPr>
        <w:t>COL1A1</w:t>
      </w:r>
      <w:r>
        <w:rPr>
          <w:rFonts w:ascii="Arial" w:cs="Arial" w:eastAsia="Arial" w:hAnsi="Arial"/>
          <w:sz w:val="18"/>
          <w:szCs w:val="18"/>
          <w:color w:val="auto"/>
        </w:rPr>
        <w:t>, a key gene responsible for collagen production. The degree of inhibition observed with PLN-74809 approaching that of a complete blockade of TGF-ß signaling using a direct inhibitor of its TGF-ß type I receptor kinase, also known as ALK5. In contrast, an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-specific monoclonal antibody, or mAb, that we synthesized based on publicly available information regarding Biogen’s antibody, 3G9, was unable to significantly inhibit </w:t>
      </w:r>
      <w:r>
        <w:rPr>
          <w:rFonts w:ascii="Arial" w:cs="Arial" w:eastAsia="Arial" w:hAnsi="Arial"/>
          <w:sz w:val="18"/>
          <w:szCs w:val="18"/>
          <w:i w:val="1"/>
          <w:iCs w:val="1"/>
          <w:color w:val="auto"/>
        </w:rPr>
        <w:t xml:space="preserve">COL1A1 </w:t>
      </w:r>
      <w:r>
        <w:rPr>
          <w:rFonts w:ascii="Arial" w:cs="Arial" w:eastAsia="Arial" w:hAnsi="Arial"/>
          <w:sz w:val="18"/>
          <w:szCs w:val="18"/>
          <w:color w:val="auto"/>
        </w:rPr>
        <w:t xml:space="preserve">expression. In the same assay, using live lung tissue from a patient with systemic sclerosis-associated pulmonary fibrosis, application of PLN-74809 for seven days also led to a decrease of &gt;50% in expression of </w:t>
      </w:r>
      <w:r>
        <w:rPr>
          <w:rFonts w:ascii="Arial" w:cs="Arial" w:eastAsia="Arial" w:hAnsi="Arial"/>
          <w:sz w:val="18"/>
          <w:szCs w:val="18"/>
          <w:i w:val="1"/>
          <w:iCs w:val="1"/>
          <w:color w:val="auto"/>
        </w:rPr>
        <w:t>COL1A1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131445</wp:posOffset>
            </wp:positionV>
            <wp:extent cx="4474845" cy="1482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7484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Combined inhibition of α</w:t>
      </w:r>
      <w:r>
        <w:rPr>
          <w:rFonts w:ascii="Arial" w:cs="Arial" w:eastAsia="Arial" w:hAnsi="Arial"/>
          <w:sz w:val="13"/>
          <w:szCs w:val="13"/>
          <w:b w:val="1"/>
          <w:bCs w:val="1"/>
          <w:color w:val="auto"/>
        </w:rPr>
        <w:t>v</w:t>
      </w:r>
      <w:r>
        <w:rPr>
          <w:rFonts w:ascii="Arial" w:cs="Arial" w:eastAsia="Arial" w:hAnsi="Arial"/>
          <w:sz w:val="16"/>
          <w:szCs w:val="16"/>
          <w:b w:val="1"/>
          <w:bCs w:val="1"/>
          <w:color w:val="auto"/>
        </w:rPr>
        <w:t>β</w:t>
      </w:r>
      <w:r>
        <w:rPr>
          <w:rFonts w:ascii="Arial" w:cs="Arial" w:eastAsia="Arial" w:hAnsi="Arial"/>
          <w:sz w:val="13"/>
          <w:szCs w:val="13"/>
          <w:b w:val="1"/>
          <w:bCs w:val="1"/>
          <w:color w:val="auto"/>
        </w:rPr>
        <w:t>6</w:t>
      </w:r>
      <w:r>
        <w:rPr>
          <w:rFonts w:ascii="Arial" w:cs="Arial" w:eastAsia="Arial" w:hAnsi="Arial"/>
          <w:sz w:val="16"/>
          <w:szCs w:val="16"/>
          <w:b w:val="1"/>
          <w:bCs w:val="1"/>
          <w:color w:val="auto"/>
        </w:rPr>
        <w:t xml:space="preserve"> and α</w:t>
      </w:r>
      <w:r>
        <w:rPr>
          <w:rFonts w:ascii="Arial" w:cs="Arial" w:eastAsia="Arial" w:hAnsi="Arial"/>
          <w:sz w:val="13"/>
          <w:szCs w:val="13"/>
          <w:b w:val="1"/>
          <w:bCs w:val="1"/>
          <w:color w:val="auto"/>
        </w:rPr>
        <w:t>v</w:t>
      </w:r>
      <w:r>
        <w:rPr>
          <w:rFonts w:ascii="Arial" w:cs="Arial" w:eastAsia="Arial" w:hAnsi="Arial"/>
          <w:sz w:val="16"/>
          <w:szCs w:val="16"/>
          <w:b w:val="1"/>
          <w:bCs w:val="1"/>
          <w:color w:val="auto"/>
        </w:rPr>
        <w:t>β</w:t>
      </w:r>
      <w:r>
        <w:rPr>
          <w:rFonts w:ascii="Arial" w:cs="Arial" w:eastAsia="Arial" w:hAnsi="Arial"/>
          <w:sz w:val="13"/>
          <w:szCs w:val="13"/>
          <w:b w:val="1"/>
          <w:bCs w:val="1"/>
          <w:color w:val="auto"/>
        </w:rPr>
        <w:t>1</w:t>
      </w:r>
      <w:r>
        <w:rPr>
          <w:rFonts w:ascii="Arial" w:cs="Arial" w:eastAsia="Arial" w:hAnsi="Arial"/>
          <w:sz w:val="16"/>
          <w:szCs w:val="16"/>
          <w:b w:val="1"/>
          <w:bCs w:val="1"/>
          <w:color w:val="auto"/>
        </w:rPr>
        <w:t xml:space="preserve"> provided increased anti-fibrotic activity in live human fibrotic tissue as compared to DMSO vehicle control.</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pSMAD3 was correlated with extractable collagen levels in patients suspected of having IPF</w:t>
      </w:r>
    </w:p>
    <w:p>
      <w:pPr>
        <w:spacing w:after="0" w:line="185" w:lineRule="exact"/>
        <w:rPr>
          <w:sz w:val="20"/>
          <w:szCs w:val="20"/>
          <w:color w:val="auto"/>
        </w:rPr>
      </w:pPr>
    </w:p>
    <w:p>
      <w:pPr>
        <w:jc w:val="both"/>
        <w:ind w:right="480" w:firstLine="501"/>
        <w:spacing w:after="0" w:line="263" w:lineRule="auto"/>
        <w:rPr>
          <w:sz w:val="20"/>
          <w:szCs w:val="20"/>
          <w:color w:val="auto"/>
        </w:rPr>
      </w:pPr>
      <w:r>
        <w:rPr>
          <w:rFonts w:ascii="Arial" w:cs="Arial" w:eastAsia="Arial" w:hAnsi="Arial"/>
          <w:sz w:val="18"/>
          <w:szCs w:val="18"/>
          <w:color w:val="auto"/>
        </w:rPr>
        <w:t>Open lung biopsies for histologic confirmation of IPF diagnosis were performed in 18 patients with interstitial lung disease, or ILD, who were suspected of having IPF. As part of this analysis, five controls (non-transplanted donor lungs) were also included. Multiple biopsies were taken from different lobes of each lung. Total pSMAD3 and extractable collagen 1 were measured by western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ind w:right="360"/>
        <w:spacing w:after="0" w:line="342" w:lineRule="auto"/>
        <w:rPr>
          <w:sz w:val="20"/>
          <w:szCs w:val="20"/>
          <w:color w:val="auto"/>
        </w:rPr>
      </w:pPr>
      <w:r>
        <w:rPr>
          <w:rFonts w:ascii="Arial" w:cs="Arial" w:eastAsia="Arial" w:hAnsi="Arial"/>
          <w:sz w:val="16"/>
          <w:szCs w:val="16"/>
          <w:color w:val="auto"/>
        </w:rPr>
        <w:t>blot. Extractable collagen 1 is thought to be collagen that has been recently formed and has not been cross-linked to the extracellular matrix. Total pSMAD3 and extractable collagen were significantly correlated. Higher pSMAD3 levels corresponded to higher levels of recently produced collagen.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87630</wp:posOffset>
            </wp:positionV>
            <wp:extent cx="4474845" cy="1817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748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pSMAD3 levels are correlated with extractable collagen in lung biopsies from patients suspected of having IPF</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expression is elevated in mouse bleomycin IPF model</w:t>
      </w:r>
    </w:p>
    <w:p>
      <w:pPr>
        <w:spacing w:after="0" w:line="185" w:lineRule="exact"/>
        <w:rPr>
          <w:sz w:val="20"/>
          <w:szCs w:val="20"/>
          <w:color w:val="auto"/>
        </w:rPr>
      </w:pPr>
    </w:p>
    <w:p>
      <w:pPr>
        <w:ind w:right="40" w:firstLine="501"/>
        <w:spacing w:after="0" w:line="298" w:lineRule="auto"/>
        <w:rPr>
          <w:sz w:val="20"/>
          <w:szCs w:val="20"/>
          <w:color w:val="auto"/>
        </w:rPr>
      </w:pPr>
      <w:r>
        <w:rPr>
          <w:rFonts w:ascii="Arial" w:cs="Arial" w:eastAsia="Arial" w:hAnsi="Arial"/>
          <w:sz w:val="16"/>
          <w:szCs w:val="16"/>
          <w:color w:val="auto"/>
        </w:rPr>
        <w:t>We used the increased expression of both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integrins in human disease samples to select animal models with similar characteristics which we then employed for higher-throughput and more extensive testing than would be feasible with primary human tissue. The bleomycin model is the most extensively used model of IPF due to its ability to reproduce many aspects of the disease. The pattern of expression of integrins suggests that the bleomycin model can serve as a valid preclinical surrogate for evaluating the effects of integrin inhibition in IPF. We confirmed that both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integrins are upregulated in a mouse model of pulmonary fibrosis induced by exposure to bleomycin. In both acute and chronic versions of this model, expression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integrins were higher in bleomycin-exposed animals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99060</wp:posOffset>
            </wp:positionV>
            <wp:extent cx="4286250" cy="2023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8625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r>
        <w:rPr>
          <w:rFonts w:ascii="Arial" w:cs="Arial" w:eastAsia="Arial" w:hAnsi="Arial"/>
          <w:sz w:val="18"/>
          <w:szCs w:val="18"/>
          <w:b w:val="1"/>
          <w:bCs w:val="1"/>
          <w:color w:val="auto"/>
        </w:rPr>
        <w:t xml:space="preserve"> and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expression in murine bleomycin model</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Dual </w:t>
      </w: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i w:val="1"/>
          <w:iCs w:val="1"/>
          <w:color w:val="auto"/>
        </w:rPr>
        <w:t xml:space="preserve"> inhibition decreased collagen more than </w:t>
      </w: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r>
        <w:rPr>
          <w:rFonts w:ascii="Arial" w:cs="Arial" w:eastAsia="Arial" w:hAnsi="Arial"/>
          <w:sz w:val="18"/>
          <w:szCs w:val="18"/>
          <w:b w:val="1"/>
          <w:bCs w:val="1"/>
          <w:i w:val="1"/>
          <w:iCs w:val="1"/>
          <w:color w:val="auto"/>
        </w:rPr>
        <w:t xml:space="preserve"> or </w:t>
      </w: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i w:val="1"/>
          <w:iCs w:val="1"/>
          <w:color w:val="auto"/>
        </w:rPr>
        <w:t xml:space="preserve"> single inhibition in live human IPF lung tissue</w:t>
      </w:r>
    </w:p>
    <w:p>
      <w:pPr>
        <w:spacing w:after="0" w:line="202"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To further understand the anti-fibrotic effect of single vs. dual integrin inhibition, we performed assays on live human lung tissue explanted from IPF patients during transplant. We incubated the samples for seven days with either a single selective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small molecule inhibitor, a single selective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inhibitor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or a dual selective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inhibitor. Dual selective inhibition was accomplished with either PLN-74809 or a combination of the small molecule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inhibitor and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In this assay, we also compared against an inhibitor of the TGF-ß receptor kinase ALK5, as a positive control. We measured effects on pro-fibrotic gene expression through the mRNA counts for </w:t>
      </w:r>
      <w:r>
        <w:rPr>
          <w:rFonts w:ascii="Arial" w:cs="Arial" w:eastAsia="Arial" w:hAnsi="Arial"/>
          <w:sz w:val="16"/>
          <w:szCs w:val="16"/>
          <w:i w:val="1"/>
          <w:iCs w:val="1"/>
          <w:color w:val="auto"/>
        </w:rPr>
        <w:t>COL1A1</w:t>
      </w:r>
      <w:r>
        <w:rPr>
          <w:rFonts w:ascii="Arial" w:cs="Arial" w:eastAsia="Arial" w:hAnsi="Arial"/>
          <w:sz w:val="16"/>
          <w:szCs w:val="16"/>
          <w:color w:val="auto"/>
        </w:rPr>
        <w:t>. The small molecule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and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each dosed at 10x their IC50, failed to show a significant reduction in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when administered individually. When the small molecule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and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were incubated as a combination therapy,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was significantly reduced. PLN-74809 also showed a significant reduction in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We also evaluated gene expression across a broad panel of additional pro-</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fibrotic genes. Similar to </w:t>
      </w:r>
      <w:r>
        <w:rPr>
          <w:rFonts w:ascii="Arial" w:cs="Arial" w:eastAsia="Arial" w:hAnsi="Arial"/>
          <w:sz w:val="18"/>
          <w:szCs w:val="18"/>
          <w:i w:val="1"/>
          <w:iCs w:val="1"/>
          <w:color w:val="auto"/>
        </w:rPr>
        <w:t>COL1A1</w:t>
      </w:r>
      <w:r>
        <w:rPr>
          <w:rFonts w:ascii="Arial" w:cs="Arial" w:eastAsia="Arial" w:hAnsi="Arial"/>
          <w:sz w:val="18"/>
          <w:szCs w:val="18"/>
          <w:color w:val="auto"/>
        </w:rPr>
        <w:t>, dual inhibition resulted in a greater reduction in gene expression across the panel versus single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151765</wp:posOffset>
            </wp:positionV>
            <wp:extent cx="4320540" cy="1783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205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right="460" w:hanging="23"/>
        <w:spacing w:after="0" w:line="464" w:lineRule="auto"/>
        <w:rPr>
          <w:sz w:val="20"/>
          <w:szCs w:val="20"/>
          <w:color w:val="auto"/>
        </w:rPr>
      </w:pPr>
      <w:r>
        <w:rPr>
          <w:rFonts w:ascii="Arial" w:cs="Arial" w:eastAsia="Arial" w:hAnsi="Arial"/>
          <w:sz w:val="18"/>
          <w:szCs w:val="18"/>
          <w:b w:val="1"/>
          <w:bCs w:val="1"/>
          <w:color w:val="auto"/>
        </w:rPr>
        <w:t xml:space="preserve">Dual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b w:val="1"/>
          <w:bCs w:val="1"/>
          <w:color w:val="auto"/>
        </w:rPr>
        <w:t xml:space="preserve">/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b w:val="1"/>
          <w:bCs w:val="1"/>
          <w:color w:val="auto"/>
        </w:rPr>
        <w:t xml:space="preserve"> inhibition blocked profibrotic gene expression more than single inhibition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b w:val="1"/>
          <w:bCs w:val="1"/>
          <w:color w:val="auto"/>
        </w:rPr>
        <w:t xml:space="preserve"> or </w:t>
      </w:r>
      <w:r>
        <w:rPr>
          <w:rFonts w:ascii="Arial" w:cs="Arial" w:eastAsia="Arial" w:hAnsi="Arial"/>
          <w:sz w:val="18"/>
          <w:szCs w:val="18"/>
          <w:color w:val="auto"/>
        </w:rPr>
        <w:t>a</w:t>
      </w:r>
      <w:r>
        <w:rPr>
          <w:rFonts w:ascii="Arial" w:cs="Arial" w:eastAsia="Arial" w:hAnsi="Arial"/>
          <w:sz w:val="18"/>
          <w:szCs w:val="18"/>
          <w:b w:val="1"/>
          <w:bCs w:val="1"/>
          <w:color w:val="auto"/>
        </w:rPr>
        <w:t xml:space="preserve">vß1) in live human IPF lung tissue </w:t>
      </w:r>
      <w:r>
        <w:rPr>
          <w:rFonts w:ascii="Arial" w:cs="Arial" w:eastAsia="Arial" w:hAnsi="Arial"/>
          <w:sz w:val="18"/>
          <w:szCs w:val="18"/>
          <w:i w:val="1"/>
          <w:iCs w:val="1"/>
          <w:color w:val="auto"/>
        </w:rPr>
        <w:t>PLN-74809 showed a dose-dependent reduction in collagen fiber density in a mouse bleomycin IPF model</w:t>
      </w:r>
    </w:p>
    <w:p>
      <w:pPr>
        <w:ind w:right="100" w:firstLine="501"/>
        <w:spacing w:after="0" w:line="263" w:lineRule="auto"/>
        <w:rPr>
          <w:sz w:val="20"/>
          <w:szCs w:val="20"/>
          <w:color w:val="auto"/>
        </w:rPr>
      </w:pPr>
      <w:r>
        <w:rPr>
          <w:rFonts w:ascii="Arial" w:cs="Arial" w:eastAsia="Arial" w:hAnsi="Arial"/>
          <w:sz w:val="18"/>
          <w:szCs w:val="18"/>
          <w:color w:val="auto"/>
        </w:rPr>
        <w:t>We evaluated three doses of PLN-74809 in a mouse bleomycin IPF model utilizing second-harmonic generation to evaluate the amount of new collagen formation ongoing post-treatment with PLN-74809. We evaluated a range of doses against vehicle control and saw a dose dependent reduction in collagen fiber density and fibrosis composite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125730</wp:posOffset>
            </wp:positionV>
            <wp:extent cx="4474845" cy="2091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748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340" w:right="340"/>
        <w:spacing w:after="0" w:line="282" w:lineRule="auto"/>
        <w:rPr>
          <w:sz w:val="20"/>
          <w:szCs w:val="20"/>
          <w:color w:val="auto"/>
        </w:rPr>
      </w:pPr>
      <w:r>
        <w:rPr>
          <w:rFonts w:ascii="Arial" w:cs="Arial" w:eastAsia="Arial" w:hAnsi="Arial"/>
          <w:sz w:val="18"/>
          <w:szCs w:val="18"/>
          <w:b w:val="1"/>
          <w:bCs w:val="1"/>
          <w:color w:val="auto"/>
        </w:rPr>
        <w:t>PLN-74809 resulted in a dose-dependent decrease in collagen fiber density in a mouse bleomycin IPF model as measured through second-harmonic generation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PLN-74809 decreased TGF-ß activation in chronic bleomycin mouse model</w:t>
      </w:r>
    </w:p>
    <w:p>
      <w:pPr>
        <w:spacing w:after="0" w:line="198"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confirmed through biochemical analyses that anti-fibrotic efficacy of PLN-74809 in the bleomycin model was due to blockade of TGF-ß activation. A key biochemical marker of TGF-ß activation is the phosphorylation of SMAD2/3. In the bleomycin model, two weeks of treatment with PLN-74809 reduced pSMAD3 levels in a dose-dependent manner to those seen in control mice that had not been exposed to bleomycin in the acute IPF model. In addition, levels of newly formed collagen, or neo-collagen, and total lung collagen as measured by hydroxyproline content were significantly reduced in a dose-dependent manner in the treatment group.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1210945</wp:posOffset>
            </wp:positionH>
            <wp:positionV relativeFrom="page">
              <wp:posOffset>226060</wp:posOffset>
            </wp:positionV>
            <wp:extent cx="5126355" cy="1714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1263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PLN-74809 blocked TGF-ß activation in a chronic bleomycin model</w:t>
      </w:r>
    </w:p>
    <w:p>
      <w:pPr>
        <w:spacing w:after="0" w:line="189" w:lineRule="exact"/>
        <w:rPr>
          <w:sz w:val="20"/>
          <w:szCs w:val="20"/>
          <w:color w:val="auto"/>
        </w:rPr>
      </w:pPr>
    </w:p>
    <w:p>
      <w:pPr>
        <w:ind w:right="1060" w:firstLine="501"/>
        <w:spacing w:after="0" w:line="299" w:lineRule="auto"/>
        <w:rPr>
          <w:sz w:val="20"/>
          <w:szCs w:val="20"/>
          <w:color w:val="auto"/>
        </w:rPr>
      </w:pPr>
      <w:r>
        <w:rPr>
          <w:rFonts w:ascii="Arial" w:cs="Arial" w:eastAsia="Arial" w:hAnsi="Arial"/>
          <w:sz w:val="18"/>
          <w:szCs w:val="18"/>
          <w:color w:val="auto"/>
        </w:rPr>
        <w:t>The ability to measure TGF-ß activation through SMAD phosphorylation also provided us with the opportunity to develop SMAD2/3 phosphorylation as a biomarker that correlates with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 inhibition.</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Inhibition of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i w:val="1"/>
          <w:iCs w:val="1"/>
          <w:color w:val="auto"/>
        </w:rPr>
        <w:t xml:space="preserve"> </w:t>
      </w:r>
      <w:r>
        <w:rPr>
          <w:rFonts w:ascii="Arial" w:cs="Arial" w:eastAsia="Arial" w:hAnsi="Arial"/>
          <w:sz w:val="18"/>
          <w:szCs w:val="18"/>
          <w:color w:val="auto"/>
        </w:rPr>
        <w:t>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i w:val="1"/>
          <w:iCs w:val="1"/>
          <w:color w:val="auto"/>
        </w:rPr>
        <w:t xml:space="preserve"> blocked TGF-ß activation in the pulmonary cells of non-human primates</w:t>
      </w:r>
    </w:p>
    <w:p>
      <w:pPr>
        <w:spacing w:after="0" w:line="185" w:lineRule="exact"/>
        <w:rPr>
          <w:sz w:val="20"/>
          <w:szCs w:val="20"/>
          <w:color w:val="auto"/>
        </w:rPr>
      </w:pPr>
    </w:p>
    <w:p>
      <w:pPr>
        <w:jc w:val="both"/>
        <w:ind w:right="80" w:firstLine="501"/>
        <w:spacing w:after="0" w:line="298" w:lineRule="auto"/>
        <w:rPr>
          <w:sz w:val="20"/>
          <w:szCs w:val="20"/>
          <w:color w:val="auto"/>
        </w:rPr>
      </w:pPr>
      <w:r>
        <w:rPr>
          <w:rFonts w:ascii="Arial" w:cs="Arial" w:eastAsia="Arial" w:hAnsi="Arial"/>
          <w:sz w:val="16"/>
          <w:szCs w:val="16"/>
          <w:color w:val="auto"/>
        </w:rPr>
        <w:t>We conducted a non-human primate study to validate pSMAD as a biomarker for TGF-ß activation for future clinical studies. Given that this study will not be part of our regulatory package for our lead compound, PLN-74809, we used PLN-75068, a close analog to PLN-74809, with a similar binding and PK profile for this particular study. In the first stage of this study, we treated non-human primates with PLN-75068 twice daily, or with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at 1 mg/kg every other day for seven days. We performed BAL procedures on the monkeys pre- and post- treatment and measured pSMAD2 levels in the pulmonary macrophages. BAL fluid collected three hours after dosing showed a significant reduction of pSMAD2 levels when compared to pre-treatment levels.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mAb showed pSMAD2 level reduction as well, but the effect was less pronounced than for PLN-75068.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99060</wp:posOffset>
            </wp:positionV>
            <wp:extent cx="3051810" cy="267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518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BID Dosing of PLN-75068 reduced pSMAD2 levels in non-human primate alveolar fluid</w:t>
      </w:r>
    </w:p>
    <w:p>
      <w:pPr>
        <w:spacing w:after="0" w:line="189"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A second stage of this study was designed to evaluate the PK/PD relationship between PLN-75068 and the inhibition of TGF-ß activation. In this stage, we dosed monkeys at either a low or high dose once a day for seven days. We designed the study to obtain multiple BAL measurements after the last treatment in order to understand how changes in the pSMAD2 levels relate to serum levels of PLN-75068. Dosing of PLN-75068 in non-human primates showed a decrease in the pSMAD2 levels at both doses. Soon after dosing, when drug concentrations were at their peak, the levels of pSMAD2 levels showed a reduction of more than 75 percent. As the drug concentration decreased, pSMAD2 levels gradually returned to baseline levels. Importantly, both dosing groups resulted in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t>similar levels of pSMAD2 level reduction; however, the higher dose stayed in the effective dose range longer, and therefore maintained pSMAD2 level reduction for a longer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117475</wp:posOffset>
            </wp:positionV>
            <wp:extent cx="4474845" cy="1611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748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QD dosing of PLN-75068 reduced pSMAD2 levels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PLN-74809 binds to all conformations of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i w:val="1"/>
          <w:iCs w:val="1"/>
          <w:color w:val="auto"/>
        </w:rPr>
        <w:t xml:space="preserve"> </w:t>
      </w:r>
      <w:r>
        <w:rPr>
          <w:rFonts w:ascii="Arial" w:cs="Arial" w:eastAsia="Arial" w:hAnsi="Arial"/>
          <w:sz w:val="18"/>
          <w:szCs w:val="18"/>
          <w:color w:val="auto"/>
        </w:rPr>
        <w:t>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i w:val="1"/>
          <w:iCs w:val="1"/>
          <w:color w:val="auto"/>
        </w:rPr>
        <w:t xml:space="preserve"> in biochemical assays</w:t>
      </w:r>
    </w:p>
    <w:p>
      <w:pPr>
        <w:spacing w:after="0" w:line="185"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Integrins are cellular adhesion proteins having a high degree of structural flexibility with two predominant forms: an extended form with high affinity for binding to ligands, and a bent or closed form in which the ligand binding domain has low affinity for binding to ligands. The conformation of the integrin can also dramatically alter the binding of potential therapeutics such as antibodies.</w:t>
      </w:r>
    </w:p>
    <w:p>
      <w:pPr>
        <w:spacing w:after="0" w:line="143"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Biochemical profiling of PLN-74809 confirms that it can inhibit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integrins in both the high-affinity, extended open conformation as well as in the lower-affinity, bent closed conformation and thus has the potential to block integrin interactions regardless of the initial state of the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125730</wp:posOffset>
            </wp:positionV>
            <wp:extent cx="4474845" cy="1474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7484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PLN-74809 binds to both high-affinity and low-affinity conformations of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and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Preclinical data in PSC</w:t>
      </w:r>
    </w:p>
    <w:p>
      <w:pPr>
        <w:spacing w:after="0" w:line="239"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620" w:type="dxa"/>
            <w:vAlign w:val="bottom"/>
            <w:tcBorders>
              <w:left w:val="single" w:sz="8" w:color="4B61A8"/>
              <w:right w:val="single" w:sz="8" w:color="4B61A8"/>
            </w:tcBorders>
            <w:shd w:val="clear" w:color="auto" w:fill="4B61A8"/>
          </w:tcPr>
          <w:p>
            <w:pPr>
              <w:spacing w:after="0"/>
              <w:rPr>
                <w:sz w:val="21"/>
                <w:szCs w:val="21"/>
                <w:color w:val="auto"/>
              </w:rPr>
            </w:pPr>
          </w:p>
        </w:tc>
        <w:tc>
          <w:tcPr>
            <w:tcW w:w="220" w:type="dxa"/>
            <w:vAlign w:val="bottom"/>
            <w:shd w:val="clear" w:color="auto" w:fill="4B61A8"/>
          </w:tcPr>
          <w:p>
            <w:pPr>
              <w:spacing w:after="0"/>
              <w:rPr>
                <w:sz w:val="21"/>
                <w:szCs w:val="21"/>
                <w:color w:val="auto"/>
              </w:rPr>
            </w:pPr>
          </w:p>
        </w:tc>
        <w:tc>
          <w:tcPr>
            <w:tcW w:w="7320" w:type="dxa"/>
            <w:vAlign w:val="bottom"/>
            <w:shd w:val="clear" w:color="auto" w:fill="4B61A8"/>
          </w:tcPr>
          <w:p>
            <w:pPr>
              <w:ind w:left="320"/>
              <w:spacing w:after="0"/>
              <w:rPr>
                <w:sz w:val="20"/>
                <w:szCs w:val="20"/>
                <w:color w:val="auto"/>
              </w:rPr>
            </w:pPr>
            <w:r>
              <w:rPr>
                <w:rFonts w:ascii="Arial" w:cs="Arial" w:eastAsia="Arial" w:hAnsi="Arial"/>
                <w:sz w:val="15"/>
                <w:szCs w:val="15"/>
                <w:b w:val="1"/>
                <w:bCs w:val="1"/>
                <w:color w:val="FFFFFF"/>
              </w:rPr>
              <w:t>Summary Preclinical Data in PSC</w:t>
            </w:r>
          </w:p>
        </w:tc>
        <w:tc>
          <w:tcPr>
            <w:tcW w:w="60" w:type="dxa"/>
            <w:vAlign w:val="bottom"/>
          </w:tcPr>
          <w:p>
            <w:pPr>
              <w:spacing w:after="0"/>
              <w:rPr>
                <w:sz w:val="21"/>
                <w:szCs w:val="21"/>
                <w:color w:val="auto"/>
              </w:rPr>
            </w:pPr>
          </w:p>
        </w:tc>
      </w:tr>
      <w:tr>
        <w:trPr>
          <w:trHeight w:val="243"/>
        </w:trPr>
        <w:tc>
          <w:tcPr>
            <w:tcW w:w="3620" w:type="dxa"/>
            <w:vAlign w:val="bottom"/>
            <w:tcBorders>
              <w:left w:val="single" w:sz="8" w:color="4B61A8"/>
              <w:right w:val="single" w:sz="8" w:color="4B61A8"/>
            </w:tcBorders>
            <w:shd w:val="clear" w:color="auto" w:fill="4B61A8"/>
          </w:tcPr>
          <w:p>
            <w:pPr>
              <w:ind w:left="880"/>
              <w:spacing w:after="0"/>
              <w:rPr>
                <w:sz w:val="20"/>
                <w:szCs w:val="20"/>
                <w:color w:val="auto"/>
              </w:rPr>
            </w:pPr>
            <w:r>
              <w:rPr>
                <w:rFonts w:ascii="Arial" w:cs="Arial" w:eastAsia="Arial" w:hAnsi="Arial"/>
                <w:sz w:val="16"/>
                <w:szCs w:val="16"/>
                <w:b w:val="1"/>
                <w:bCs w:val="1"/>
                <w:color w:val="FFFFFF"/>
              </w:rPr>
              <w:t>Preclinical Findings</w:t>
            </w:r>
          </w:p>
        </w:tc>
        <w:tc>
          <w:tcPr>
            <w:tcW w:w="220" w:type="dxa"/>
            <w:vAlign w:val="bottom"/>
            <w:shd w:val="clear" w:color="auto" w:fill="4B61A8"/>
          </w:tcPr>
          <w:p>
            <w:pPr>
              <w:spacing w:after="0"/>
              <w:rPr>
                <w:sz w:val="21"/>
                <w:szCs w:val="21"/>
                <w:color w:val="auto"/>
              </w:rPr>
            </w:pPr>
          </w:p>
        </w:tc>
        <w:tc>
          <w:tcPr>
            <w:tcW w:w="7320" w:type="dxa"/>
            <w:vAlign w:val="bottom"/>
            <w:shd w:val="clear" w:color="auto" w:fill="4B61A8"/>
          </w:tcPr>
          <w:p>
            <w:pPr>
              <w:ind w:left="2560"/>
              <w:spacing w:after="0"/>
              <w:rPr>
                <w:sz w:val="20"/>
                <w:szCs w:val="20"/>
                <w:color w:val="auto"/>
              </w:rPr>
            </w:pPr>
            <w:r>
              <w:rPr>
                <w:rFonts w:ascii="Arial" w:cs="Arial" w:eastAsia="Arial" w:hAnsi="Arial"/>
                <w:sz w:val="16"/>
                <w:szCs w:val="16"/>
                <w:b w:val="1"/>
                <w:bCs w:val="1"/>
                <w:color w:val="FFFFFF"/>
              </w:rPr>
              <w:t>Observations</w:t>
            </w:r>
          </w:p>
        </w:tc>
        <w:tc>
          <w:tcPr>
            <w:tcW w:w="60" w:type="dxa"/>
            <w:vAlign w:val="bottom"/>
          </w:tcPr>
          <w:p>
            <w:pPr>
              <w:spacing w:after="0"/>
              <w:rPr>
                <w:sz w:val="21"/>
                <w:szCs w:val="21"/>
                <w:color w:val="auto"/>
              </w:rPr>
            </w:pPr>
          </w:p>
        </w:tc>
      </w:tr>
      <w:tr>
        <w:trPr>
          <w:trHeight w:val="216"/>
        </w:trPr>
        <w:tc>
          <w:tcPr>
            <w:tcW w:w="36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w:t>
            </w:r>
            <w:r>
              <w:rPr>
                <w:rFonts w:ascii="Arial" w:cs="Arial" w:eastAsia="Arial" w:hAnsi="Arial"/>
                <w:sz w:val="16"/>
                <w:szCs w:val="16"/>
                <w:color w:val="auto"/>
              </w:rPr>
              <w:t>and</w:t>
            </w:r>
            <w:r>
              <w:rPr>
                <w:rFonts w:ascii="Arial" w:cs="Arial" w:eastAsia="Arial" w:hAnsi="Arial"/>
                <w:sz w:val="18"/>
                <w:szCs w:val="18"/>
                <w:color w:val="auto"/>
              </w:rPr>
              <w:t xml:space="preserv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w:t>
            </w:r>
            <w:r>
              <w:rPr>
                <w:rFonts w:ascii="Arial" w:cs="Arial" w:eastAsia="Arial" w:hAnsi="Arial"/>
                <w:sz w:val="16"/>
                <w:szCs w:val="16"/>
                <w:color w:val="auto"/>
              </w:rPr>
              <w:t>are overexpressed in human</w:t>
            </w:r>
          </w:p>
        </w:tc>
        <w:tc>
          <w:tcPr>
            <w:tcW w:w="7540" w:type="dxa"/>
            <w:vAlign w:val="bottom"/>
            <w:gridSpan w:val="2"/>
            <w:shd w:val="clear" w:color="auto" w:fill="DBDFED"/>
          </w:tcPr>
          <w:p>
            <w:pPr>
              <w:ind w:left="120"/>
              <w:spacing w:after="0"/>
              <w:rPr>
                <w:sz w:val="20"/>
                <w:szCs w:val="20"/>
                <w:color w:val="auto"/>
              </w:rPr>
            </w:pPr>
            <w:r>
              <w:rPr>
                <w:rFonts w:ascii="Arial" w:cs="Arial" w:eastAsia="Arial" w:hAnsi="Arial"/>
                <w:sz w:val="16"/>
                <w:szCs w:val="16"/>
                <w:color w:val="auto"/>
              </w:rPr>
              <w:t xml:space="preserve">• We confirmed that the widely used </w:t>
            </w:r>
            <w:r>
              <w:rPr>
                <w:rFonts w:ascii="Arial" w:cs="Arial" w:eastAsia="Arial" w:hAnsi="Arial"/>
                <w:sz w:val="16"/>
                <w:szCs w:val="16"/>
                <w:i w:val="1"/>
                <w:iCs w:val="1"/>
                <w:color w:val="auto"/>
              </w:rPr>
              <w:t>Mdr2</w:t>
            </w:r>
            <w:r>
              <w:rPr>
                <w:rFonts w:ascii="Arial" w:cs="Arial" w:eastAsia="Arial" w:hAnsi="Arial"/>
                <w:sz w:val="16"/>
                <w:szCs w:val="16"/>
                <w:color w:val="auto"/>
              </w:rPr>
              <w:t xml:space="preserve"> knockout PSC mouse model shows upregulation of</w:t>
            </w:r>
          </w:p>
        </w:tc>
        <w:tc>
          <w:tcPr>
            <w:tcW w:w="60" w:type="dxa"/>
            <w:vAlign w:val="bottom"/>
            <w:shd w:val="clear" w:color="auto" w:fill="4B61A8"/>
          </w:tcPr>
          <w:p>
            <w:pPr>
              <w:spacing w:after="0"/>
              <w:rPr>
                <w:sz w:val="18"/>
                <w:szCs w:val="18"/>
                <w:color w:val="auto"/>
              </w:rPr>
            </w:pPr>
          </w:p>
        </w:tc>
      </w:tr>
      <w:tr>
        <w:trPr>
          <w:trHeight w:val="206"/>
        </w:trPr>
        <w:tc>
          <w:tcPr>
            <w:tcW w:w="36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6"/>
                <w:szCs w:val="16"/>
                <w:color w:val="auto"/>
              </w:rPr>
              <w:t>PSC liver tissue as well as a mouse model of</w:t>
            </w:r>
          </w:p>
        </w:tc>
        <w:tc>
          <w:tcPr>
            <w:tcW w:w="220" w:type="dxa"/>
            <w:vAlign w:val="bottom"/>
            <w:shd w:val="clear" w:color="auto" w:fill="DBDFED"/>
          </w:tcPr>
          <w:p>
            <w:pPr>
              <w:spacing w:after="0"/>
              <w:rPr>
                <w:sz w:val="17"/>
                <w:szCs w:val="17"/>
                <w:color w:val="auto"/>
              </w:rPr>
            </w:pPr>
          </w:p>
        </w:tc>
        <w:tc>
          <w:tcPr>
            <w:tcW w:w="7320" w:type="dxa"/>
            <w:vAlign w:val="bottom"/>
            <w:shd w:val="clear" w:color="auto" w:fill="DBDFED"/>
          </w:tcPr>
          <w:p>
            <w:pPr>
              <w:ind w:left="140"/>
              <w:spacing w:after="0"/>
              <w:rPr>
                <w:sz w:val="20"/>
                <w:szCs w:val="20"/>
                <w:color w:val="auto"/>
              </w:rPr>
            </w:pPr>
            <w:r>
              <w:rPr>
                <w:rFonts w:ascii="Arial" w:cs="Arial" w:eastAsia="Arial" w:hAnsi="Arial"/>
                <w:sz w:val="16"/>
                <w:szCs w:val="16"/>
                <w:color w:val="auto"/>
              </w:rPr>
              <w:t xml:space="preserve">both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6</w:t>
            </w:r>
            <w:r>
              <w:rPr>
                <w:rFonts w:ascii="Arial" w:cs="Arial" w:eastAsia="Arial" w:hAnsi="Arial"/>
                <w:sz w:val="16"/>
                <w:szCs w:val="16"/>
                <w:color w:val="auto"/>
              </w:rPr>
              <w:t xml:space="preserve"> and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w:t>
            </w:r>
            <w:r>
              <w:rPr>
                <w:rFonts w:ascii="Arial" w:cs="Arial" w:eastAsia="Arial" w:hAnsi="Arial"/>
                <w:sz w:val="16"/>
                <w:szCs w:val="16"/>
                <w:color w:val="auto"/>
              </w:rPr>
              <w:t>, similar to our observations in diseased tissue from PSC patients</w:t>
            </w:r>
          </w:p>
        </w:tc>
        <w:tc>
          <w:tcPr>
            <w:tcW w:w="60" w:type="dxa"/>
            <w:vAlign w:val="bottom"/>
            <w:shd w:val="clear" w:color="auto" w:fill="4B61A8"/>
          </w:tcPr>
          <w:p>
            <w:pPr>
              <w:spacing w:after="0"/>
              <w:rPr>
                <w:sz w:val="17"/>
                <w:szCs w:val="17"/>
                <w:color w:val="auto"/>
              </w:rPr>
            </w:pPr>
          </w:p>
        </w:tc>
      </w:tr>
      <w:tr>
        <w:trPr>
          <w:trHeight w:val="209"/>
        </w:trPr>
        <w:tc>
          <w:tcPr>
            <w:tcW w:w="3620" w:type="dxa"/>
            <w:vAlign w:val="bottom"/>
            <w:tcBorders>
              <w:left w:val="single" w:sz="8" w:color="4B61A8"/>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6"/>
                <w:szCs w:val="16"/>
                <w:color w:val="auto"/>
              </w:rPr>
              <w:t>PSC</w:t>
            </w:r>
          </w:p>
        </w:tc>
        <w:tc>
          <w:tcPr>
            <w:tcW w:w="220" w:type="dxa"/>
            <w:vAlign w:val="bottom"/>
            <w:tcBorders>
              <w:bottom w:val="single" w:sz="8" w:color="4B61A8"/>
            </w:tcBorders>
            <w:shd w:val="clear" w:color="auto" w:fill="DBDFED"/>
          </w:tcPr>
          <w:p>
            <w:pPr>
              <w:spacing w:after="0"/>
              <w:rPr>
                <w:sz w:val="18"/>
                <w:szCs w:val="18"/>
                <w:color w:val="auto"/>
              </w:rPr>
            </w:pPr>
          </w:p>
        </w:tc>
        <w:tc>
          <w:tcPr>
            <w:tcW w:w="7320" w:type="dxa"/>
            <w:vAlign w:val="bottom"/>
            <w:tcBorders>
              <w:bottom w:val="single" w:sz="8" w:color="4B61A8"/>
            </w:tcBorders>
            <w:shd w:val="clear" w:color="auto" w:fill="DBDFED"/>
          </w:tcPr>
          <w:p>
            <w:pPr>
              <w:spacing w:after="0"/>
              <w:rPr>
                <w:sz w:val="18"/>
                <w:szCs w:val="18"/>
                <w:color w:val="auto"/>
              </w:rPr>
            </w:pPr>
          </w:p>
        </w:tc>
        <w:tc>
          <w:tcPr>
            <w:tcW w:w="60" w:type="dxa"/>
            <w:vAlign w:val="bottom"/>
            <w:tcBorders>
              <w:bottom w:val="single" w:sz="8" w:color="4B61A8"/>
            </w:tcBorders>
            <w:shd w:val="clear" w:color="auto" w:fill="4B61A8"/>
          </w:tcPr>
          <w:p>
            <w:pPr>
              <w:spacing w:after="0"/>
              <w:rPr>
                <w:sz w:val="18"/>
                <w:szCs w:val="18"/>
                <w:color w:val="auto"/>
              </w:rPr>
            </w:pPr>
          </w:p>
        </w:tc>
      </w:tr>
      <w:tr>
        <w:trPr>
          <w:trHeight w:val="203"/>
        </w:trPr>
        <w:tc>
          <w:tcPr>
            <w:tcW w:w="36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6"/>
                <w:szCs w:val="16"/>
                <w:color w:val="auto"/>
              </w:rPr>
              <w:t>PLN-74809 showed a dose dependent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7320" w:type="dxa"/>
            <w:vAlign w:val="bottom"/>
          </w:tcPr>
          <w:p>
            <w:pPr>
              <w:ind w:left="40"/>
              <w:spacing w:after="0"/>
              <w:rPr>
                <w:sz w:val="20"/>
                <w:szCs w:val="20"/>
                <w:color w:val="auto"/>
              </w:rPr>
            </w:pPr>
            <w:r>
              <w:rPr>
                <w:rFonts w:ascii="Arial" w:cs="Arial" w:eastAsia="Arial" w:hAnsi="Arial"/>
                <w:sz w:val="16"/>
                <w:szCs w:val="16"/>
                <w:color w:val="auto"/>
              </w:rPr>
              <w:t>Six weeks of treatment with PLN-74809 resulted in a significant dose-dependent reduction in</w:t>
            </w:r>
          </w:p>
        </w:tc>
        <w:tc>
          <w:tcPr>
            <w:tcW w:w="60" w:type="dxa"/>
            <w:vAlign w:val="bottom"/>
            <w:shd w:val="clear" w:color="auto" w:fill="4B61A8"/>
          </w:tcPr>
          <w:p>
            <w:pPr>
              <w:spacing w:after="0"/>
              <w:rPr>
                <w:sz w:val="17"/>
                <w:szCs w:val="17"/>
                <w:color w:val="auto"/>
              </w:rPr>
            </w:pPr>
          </w:p>
        </w:tc>
      </w:tr>
      <w:tr>
        <w:trPr>
          <w:trHeight w:val="203"/>
        </w:trPr>
        <w:tc>
          <w:tcPr>
            <w:tcW w:w="36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6"/>
                <w:szCs w:val="16"/>
                <w:color w:val="auto"/>
              </w:rPr>
              <w:t>reduction in fibrosis in a mouse PSC model</w:t>
            </w:r>
          </w:p>
        </w:tc>
        <w:tc>
          <w:tcPr>
            <w:tcW w:w="220" w:type="dxa"/>
            <w:vAlign w:val="bottom"/>
          </w:tcPr>
          <w:p>
            <w:pPr>
              <w:spacing w:after="0"/>
              <w:rPr>
                <w:sz w:val="17"/>
                <w:szCs w:val="17"/>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fibrosis compared to vehicle treated mice</w:t>
            </w:r>
          </w:p>
        </w:tc>
        <w:tc>
          <w:tcPr>
            <w:tcW w:w="60" w:type="dxa"/>
            <w:vAlign w:val="bottom"/>
            <w:shd w:val="clear" w:color="auto" w:fill="4B61A8"/>
          </w:tcPr>
          <w:p>
            <w:pPr>
              <w:spacing w:after="0"/>
              <w:rPr>
                <w:sz w:val="17"/>
                <w:szCs w:val="17"/>
                <w:color w:val="auto"/>
              </w:rPr>
            </w:pPr>
          </w:p>
        </w:tc>
      </w:tr>
      <w:tr>
        <w:trPr>
          <w:trHeight w:val="209"/>
        </w:trPr>
        <w:tc>
          <w:tcPr>
            <w:tcW w:w="3620" w:type="dxa"/>
            <w:vAlign w:val="bottom"/>
            <w:tcBorders>
              <w:left w:val="single" w:sz="8" w:color="4B61A8"/>
              <w:bottom w:val="single" w:sz="8" w:color="4B61A8"/>
              <w:right w:val="single" w:sz="8" w:color="4B61A8"/>
            </w:tcBorders>
          </w:tcPr>
          <w:p>
            <w:pPr>
              <w:spacing w:after="0"/>
              <w:rPr>
                <w:sz w:val="18"/>
                <w:szCs w:val="18"/>
                <w:color w:val="auto"/>
              </w:rPr>
            </w:pPr>
          </w:p>
        </w:tc>
        <w:tc>
          <w:tcPr>
            <w:tcW w:w="220" w:type="dxa"/>
            <w:vAlign w:val="bottom"/>
            <w:tcBorders>
              <w:bottom w:val="single" w:sz="8" w:color="4B61A8"/>
            </w:tcBorders>
          </w:tcPr>
          <w:p>
            <w:pPr>
              <w:ind w:left="120"/>
              <w:spacing w:after="0"/>
              <w:rPr>
                <w:sz w:val="20"/>
                <w:szCs w:val="20"/>
                <w:color w:val="auto"/>
              </w:rPr>
            </w:pPr>
            <w:r>
              <w:rPr>
                <w:rFonts w:ascii="Arial" w:cs="Arial" w:eastAsia="Arial" w:hAnsi="Arial"/>
                <w:sz w:val="16"/>
                <w:szCs w:val="16"/>
                <w:color w:val="auto"/>
              </w:rPr>
              <w:t>•</w:t>
            </w:r>
          </w:p>
        </w:tc>
        <w:tc>
          <w:tcPr>
            <w:tcW w:w="7320" w:type="dxa"/>
            <w:vAlign w:val="bottom"/>
            <w:tcBorders>
              <w:bottom w:val="single" w:sz="8" w:color="4B61A8"/>
            </w:tcBorders>
          </w:tcPr>
          <w:p>
            <w:pPr>
              <w:ind w:left="40"/>
              <w:spacing w:after="0"/>
              <w:rPr>
                <w:sz w:val="20"/>
                <w:szCs w:val="20"/>
                <w:color w:val="auto"/>
              </w:rPr>
            </w:pPr>
            <w:r>
              <w:rPr>
                <w:rFonts w:ascii="Arial" w:cs="Arial" w:eastAsia="Arial" w:hAnsi="Arial"/>
                <w:sz w:val="16"/>
                <w:szCs w:val="16"/>
                <w:color w:val="auto"/>
              </w:rPr>
              <w:t>pSMAD3 levels were also significantly reduced in a dose-dependent manner</w:t>
            </w:r>
          </w:p>
        </w:tc>
        <w:tc>
          <w:tcPr>
            <w:tcW w:w="60" w:type="dxa"/>
            <w:vAlign w:val="bottom"/>
            <w:tcBorders>
              <w:bottom w:val="single" w:sz="8" w:color="4B61A8"/>
            </w:tcBorders>
            <w:shd w:val="clear" w:color="auto" w:fill="4B61A8"/>
          </w:tcPr>
          <w:p>
            <w:pPr>
              <w:spacing w:after="0"/>
              <w:rPr>
                <w:sz w:val="18"/>
                <w:szCs w:val="18"/>
                <w:color w:val="auto"/>
              </w:rPr>
            </w:pPr>
          </w:p>
        </w:tc>
      </w:tr>
      <w:tr>
        <w:trPr>
          <w:trHeight w:val="207"/>
        </w:trPr>
        <w:tc>
          <w:tcPr>
            <w:tcW w:w="3620" w:type="dxa"/>
            <w:vAlign w:val="bottom"/>
            <w:tcBorders>
              <w:left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6"/>
                <w:szCs w:val="16"/>
                <w:color w:val="auto"/>
              </w:rPr>
              <w:t>PLN-74809 reduced cholestasis markers in</w:t>
            </w:r>
          </w:p>
        </w:tc>
        <w:tc>
          <w:tcPr>
            <w:tcW w:w="7540" w:type="dxa"/>
            <w:vAlign w:val="bottom"/>
            <w:gridSpan w:val="2"/>
            <w:shd w:val="clear" w:color="auto" w:fill="DBDFED"/>
          </w:tcPr>
          <w:p>
            <w:pPr>
              <w:ind w:left="120"/>
              <w:spacing w:after="0"/>
              <w:rPr>
                <w:sz w:val="20"/>
                <w:szCs w:val="20"/>
                <w:color w:val="auto"/>
              </w:rPr>
            </w:pPr>
            <w:r>
              <w:rPr>
                <w:rFonts w:ascii="Arial" w:cs="Arial" w:eastAsia="Arial" w:hAnsi="Arial"/>
                <w:sz w:val="16"/>
                <w:szCs w:val="16"/>
                <w:color w:val="auto"/>
              </w:rPr>
              <w:t>• After six weeks of treatment with PLN-74809, at the highest dose tested, we observed a</w:t>
            </w:r>
          </w:p>
        </w:tc>
        <w:tc>
          <w:tcPr>
            <w:tcW w:w="60" w:type="dxa"/>
            <w:vAlign w:val="bottom"/>
            <w:shd w:val="clear" w:color="auto" w:fill="4B61A8"/>
          </w:tcPr>
          <w:p>
            <w:pPr>
              <w:spacing w:after="0"/>
              <w:rPr>
                <w:sz w:val="17"/>
                <w:szCs w:val="17"/>
                <w:color w:val="auto"/>
              </w:rPr>
            </w:pPr>
          </w:p>
        </w:tc>
      </w:tr>
      <w:tr>
        <w:trPr>
          <w:trHeight w:val="207"/>
        </w:trPr>
        <w:tc>
          <w:tcPr>
            <w:tcW w:w="3620" w:type="dxa"/>
            <w:vAlign w:val="bottom"/>
            <w:tcBorders>
              <w:left w:val="single" w:sz="8" w:color="4B61A8"/>
              <w:bottom w:val="single" w:sz="8" w:color="4B61A8"/>
              <w:right w:val="single" w:sz="8" w:color="4B61A8"/>
            </w:tcBorders>
            <w:shd w:val="clear" w:color="auto" w:fill="DBDFED"/>
          </w:tcPr>
          <w:p>
            <w:pPr>
              <w:ind w:left="140"/>
              <w:spacing w:after="0"/>
              <w:rPr>
                <w:sz w:val="20"/>
                <w:szCs w:val="20"/>
                <w:color w:val="auto"/>
              </w:rPr>
            </w:pPr>
            <w:r>
              <w:rPr>
                <w:rFonts w:ascii="Arial" w:cs="Arial" w:eastAsia="Arial" w:hAnsi="Arial"/>
                <w:sz w:val="16"/>
                <w:szCs w:val="16"/>
                <w:color w:val="auto"/>
              </w:rPr>
              <w:t>PSC model</w:t>
            </w:r>
          </w:p>
        </w:tc>
        <w:tc>
          <w:tcPr>
            <w:tcW w:w="220" w:type="dxa"/>
            <w:vAlign w:val="bottom"/>
            <w:tcBorders>
              <w:bottom w:val="single" w:sz="8" w:color="4B61A8"/>
            </w:tcBorders>
            <w:shd w:val="clear" w:color="auto" w:fill="DBDFED"/>
          </w:tcPr>
          <w:p>
            <w:pPr>
              <w:spacing w:after="0"/>
              <w:rPr>
                <w:sz w:val="18"/>
                <w:szCs w:val="18"/>
                <w:color w:val="auto"/>
              </w:rPr>
            </w:pPr>
          </w:p>
        </w:tc>
        <w:tc>
          <w:tcPr>
            <w:tcW w:w="7320" w:type="dxa"/>
            <w:vAlign w:val="bottom"/>
            <w:tcBorders>
              <w:bottom w:val="single" w:sz="8" w:color="4B61A8"/>
            </w:tcBorders>
            <w:shd w:val="clear" w:color="auto" w:fill="DBDFED"/>
          </w:tcPr>
          <w:p>
            <w:pPr>
              <w:ind w:left="140"/>
              <w:spacing w:after="0"/>
              <w:rPr>
                <w:sz w:val="20"/>
                <w:szCs w:val="20"/>
                <w:color w:val="auto"/>
              </w:rPr>
            </w:pPr>
            <w:r>
              <w:rPr>
                <w:rFonts w:ascii="Arial" w:cs="Arial" w:eastAsia="Arial" w:hAnsi="Arial"/>
                <w:sz w:val="16"/>
                <w:szCs w:val="16"/>
                <w:color w:val="auto"/>
              </w:rPr>
              <w:t>significant reduction of alkaline phosphatase and total bilirubin</w:t>
            </w:r>
          </w:p>
        </w:tc>
        <w:tc>
          <w:tcPr>
            <w:tcW w:w="60" w:type="dxa"/>
            <w:vAlign w:val="bottom"/>
            <w:tcBorders>
              <w:bottom w:val="single" w:sz="8" w:color="4B61A8"/>
            </w:tcBorders>
            <w:shd w:val="clear" w:color="auto" w:fill="4B61A8"/>
          </w:tcPr>
          <w:p>
            <w:pPr>
              <w:spacing w:after="0"/>
              <w:rPr>
                <w:sz w:val="18"/>
                <w:szCs w:val="18"/>
                <w:color w:val="auto"/>
              </w:rPr>
            </w:pPr>
          </w:p>
        </w:tc>
      </w:tr>
      <w:tr>
        <w:trPr>
          <w:trHeight w:val="201"/>
        </w:trPr>
        <w:tc>
          <w:tcPr>
            <w:tcW w:w="36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6"/>
                <w:szCs w:val="16"/>
                <w:color w:val="auto"/>
              </w:rPr>
              <w:t xml:space="preserve">PLN-74809 decreased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in</w:t>
            </w:r>
          </w:p>
        </w:tc>
        <w:tc>
          <w:tcPr>
            <w:tcW w:w="7540" w:type="dxa"/>
            <w:vAlign w:val="bottom"/>
            <w:gridSpan w:val="2"/>
          </w:tcPr>
          <w:p>
            <w:pPr>
              <w:ind w:left="120"/>
              <w:spacing w:after="0"/>
              <w:rPr>
                <w:sz w:val="20"/>
                <w:szCs w:val="20"/>
                <w:color w:val="auto"/>
              </w:rPr>
            </w:pPr>
            <w:r>
              <w:rPr>
                <w:rFonts w:ascii="Arial" w:cs="Arial" w:eastAsia="Arial" w:hAnsi="Arial"/>
                <w:sz w:val="16"/>
                <w:szCs w:val="16"/>
                <w:color w:val="auto"/>
              </w:rPr>
              <w:t xml:space="preserve">• After two days incubation with PLN-74809 we observed dose-dependent reductions in </w:t>
            </w:r>
            <w:r>
              <w:rPr>
                <w:rFonts w:ascii="Arial" w:cs="Arial" w:eastAsia="Arial" w:hAnsi="Arial"/>
                <w:sz w:val="16"/>
                <w:szCs w:val="16"/>
                <w:i w:val="1"/>
                <w:iCs w:val="1"/>
                <w:color w:val="auto"/>
              </w:rPr>
              <w:t>COL1A1</w:t>
            </w:r>
          </w:p>
        </w:tc>
        <w:tc>
          <w:tcPr>
            <w:tcW w:w="60" w:type="dxa"/>
            <w:vAlign w:val="bottom"/>
            <w:shd w:val="clear" w:color="auto" w:fill="4B61A8"/>
          </w:tcPr>
          <w:p>
            <w:pPr>
              <w:spacing w:after="0"/>
              <w:rPr>
                <w:sz w:val="17"/>
                <w:szCs w:val="17"/>
                <w:color w:val="auto"/>
              </w:rPr>
            </w:pPr>
          </w:p>
        </w:tc>
      </w:tr>
      <w:tr>
        <w:trPr>
          <w:trHeight w:val="203"/>
        </w:trPr>
        <w:tc>
          <w:tcPr>
            <w:tcW w:w="36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6"/>
                <w:szCs w:val="16"/>
                <w:color w:val="auto"/>
              </w:rPr>
              <w:t>live human PSC and PBC liver tissue samples</w:t>
            </w:r>
          </w:p>
        </w:tc>
        <w:tc>
          <w:tcPr>
            <w:tcW w:w="220" w:type="dxa"/>
            <w:vAlign w:val="bottom"/>
          </w:tcPr>
          <w:p>
            <w:pPr>
              <w:spacing w:after="0"/>
              <w:rPr>
                <w:sz w:val="17"/>
                <w:szCs w:val="17"/>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gene expression in live liver samples from a PSC patient and a PBC patient after transplant</w:t>
            </w:r>
          </w:p>
        </w:tc>
        <w:tc>
          <w:tcPr>
            <w:tcW w:w="60" w:type="dxa"/>
            <w:vAlign w:val="bottom"/>
            <w:shd w:val="clear" w:color="auto" w:fill="4B61A8"/>
          </w:tcPr>
          <w:p>
            <w:pPr>
              <w:spacing w:after="0"/>
              <w:rPr>
                <w:sz w:val="17"/>
                <w:szCs w:val="17"/>
                <w:color w:val="auto"/>
              </w:rPr>
            </w:pPr>
          </w:p>
        </w:tc>
      </w:tr>
      <w:tr>
        <w:trPr>
          <w:trHeight w:val="203"/>
        </w:trPr>
        <w:tc>
          <w:tcPr>
            <w:tcW w:w="3620" w:type="dxa"/>
            <w:vAlign w:val="bottom"/>
            <w:tcBorders>
              <w:left w:val="single" w:sz="8" w:color="4B61A8"/>
              <w:right w:val="single" w:sz="8" w:color="4B61A8"/>
            </w:tcBorders>
          </w:tcPr>
          <w:p>
            <w:pPr>
              <w:ind w:left="140"/>
              <w:spacing w:after="0"/>
              <w:rPr>
                <w:sz w:val="20"/>
                <w:szCs w:val="20"/>
                <w:color w:val="auto"/>
              </w:rPr>
            </w:pPr>
            <w:r>
              <w:rPr>
                <w:rFonts w:ascii="Arial" w:cs="Arial" w:eastAsia="Arial" w:hAnsi="Arial"/>
                <w:sz w:val="16"/>
                <w:szCs w:val="16"/>
                <w:color w:val="auto"/>
              </w:rPr>
              <w:t>more than OCA</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7320" w:type="dxa"/>
            <w:vAlign w:val="bottom"/>
          </w:tcPr>
          <w:p>
            <w:pPr>
              <w:ind w:left="40"/>
              <w:spacing w:after="0"/>
              <w:rPr>
                <w:sz w:val="20"/>
                <w:szCs w:val="20"/>
                <w:color w:val="auto"/>
              </w:rPr>
            </w:pPr>
            <w:r>
              <w:rPr>
                <w:rFonts w:ascii="Arial" w:cs="Arial" w:eastAsia="Arial" w:hAnsi="Arial"/>
                <w:sz w:val="16"/>
                <w:szCs w:val="16"/>
                <w:color w:val="auto"/>
              </w:rPr>
              <w:t xml:space="preserve">Incubation with OCA did not achieve the same level of reduction of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as</w:t>
            </w:r>
          </w:p>
        </w:tc>
        <w:tc>
          <w:tcPr>
            <w:tcW w:w="60" w:type="dxa"/>
            <w:vAlign w:val="bottom"/>
            <w:shd w:val="clear" w:color="auto" w:fill="4B61A8"/>
          </w:tcPr>
          <w:p>
            <w:pPr>
              <w:spacing w:after="0"/>
              <w:rPr>
                <w:sz w:val="17"/>
                <w:szCs w:val="17"/>
                <w:color w:val="auto"/>
              </w:rPr>
            </w:pPr>
          </w:p>
        </w:tc>
      </w:tr>
      <w:tr>
        <w:trPr>
          <w:trHeight w:val="209"/>
        </w:trPr>
        <w:tc>
          <w:tcPr>
            <w:tcW w:w="3620" w:type="dxa"/>
            <w:vAlign w:val="bottom"/>
            <w:tcBorders>
              <w:left w:val="single" w:sz="8" w:color="4B61A8"/>
              <w:bottom w:val="single" w:sz="8" w:color="4B61A8"/>
              <w:right w:val="single" w:sz="8" w:color="4B61A8"/>
            </w:tcBorders>
          </w:tcPr>
          <w:p>
            <w:pPr>
              <w:spacing w:after="0"/>
              <w:rPr>
                <w:sz w:val="18"/>
                <w:szCs w:val="18"/>
                <w:color w:val="auto"/>
              </w:rPr>
            </w:pPr>
          </w:p>
        </w:tc>
        <w:tc>
          <w:tcPr>
            <w:tcW w:w="220" w:type="dxa"/>
            <w:vAlign w:val="bottom"/>
            <w:tcBorders>
              <w:bottom w:val="single" w:sz="8" w:color="4B61A8"/>
            </w:tcBorders>
          </w:tcPr>
          <w:p>
            <w:pPr>
              <w:spacing w:after="0"/>
              <w:rPr>
                <w:sz w:val="18"/>
                <w:szCs w:val="18"/>
                <w:color w:val="auto"/>
              </w:rPr>
            </w:pPr>
          </w:p>
        </w:tc>
        <w:tc>
          <w:tcPr>
            <w:tcW w:w="7320" w:type="dxa"/>
            <w:vAlign w:val="bottom"/>
            <w:tcBorders>
              <w:bottom w:val="single" w:sz="8" w:color="4B61A8"/>
            </w:tcBorders>
          </w:tcPr>
          <w:p>
            <w:pPr>
              <w:ind w:left="140"/>
              <w:spacing w:after="0"/>
              <w:rPr>
                <w:sz w:val="20"/>
                <w:szCs w:val="20"/>
                <w:color w:val="auto"/>
              </w:rPr>
            </w:pPr>
            <w:r>
              <w:rPr>
                <w:rFonts w:ascii="Arial" w:cs="Arial" w:eastAsia="Arial" w:hAnsi="Arial"/>
                <w:sz w:val="16"/>
                <w:szCs w:val="16"/>
                <w:color w:val="auto"/>
              </w:rPr>
              <w:t>PLN-74809</w:t>
            </w:r>
          </w:p>
        </w:tc>
        <w:tc>
          <w:tcPr>
            <w:tcW w:w="60" w:type="dxa"/>
            <w:vAlign w:val="bottom"/>
            <w:tcBorders>
              <w:bottom w:val="single" w:sz="8" w:color="4B61A8"/>
            </w:tcBorders>
            <w:shd w:val="clear" w:color="auto" w:fill="4B61A8"/>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are overexpressed in human PSC liver tissue as well as a mouse model of PSC</w:t>
      </w:r>
    </w:p>
    <w:p>
      <w:pPr>
        <w:spacing w:after="0" w:line="198" w:lineRule="exact"/>
        <w:rPr>
          <w:sz w:val="20"/>
          <w:szCs w:val="20"/>
          <w:color w:val="auto"/>
        </w:rPr>
      </w:pPr>
    </w:p>
    <w:p>
      <w:pPr>
        <w:jc w:val="both"/>
        <w:ind w:right="360" w:firstLine="501"/>
        <w:spacing w:after="0" w:line="259" w:lineRule="auto"/>
        <w:rPr>
          <w:sz w:val="20"/>
          <w:szCs w:val="20"/>
          <w:color w:val="auto"/>
        </w:rPr>
      </w:pPr>
      <w:r>
        <w:rPr>
          <w:rFonts w:ascii="Arial" w:cs="Arial" w:eastAsia="Arial" w:hAnsi="Arial"/>
          <w:sz w:val="18"/>
          <w:szCs w:val="18"/>
          <w:color w:val="auto"/>
        </w:rPr>
        <w:t>Similar to our approach in diseased tissue from an IPF patient, we examined the expression patterns of integrins in live, diseased tissue obtained from a patient with PSC. We found that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integrins are overexpressed in these tissues. We then went to the standard animal model for PSC based on a deletion of the </w:t>
      </w:r>
      <w:r>
        <w:rPr>
          <w:rFonts w:ascii="Arial" w:cs="Arial" w:eastAsia="Arial" w:hAnsi="Arial"/>
          <w:sz w:val="18"/>
          <w:szCs w:val="18"/>
          <w:i w:val="1"/>
          <w:iCs w:val="1"/>
          <w:color w:val="auto"/>
        </w:rPr>
        <w:t>Mdr2</w:t>
      </w:r>
      <w:r>
        <w:rPr>
          <w:rFonts w:ascii="Arial" w:cs="Arial" w:eastAsia="Arial" w:hAnsi="Arial"/>
          <w:sz w:val="18"/>
          <w:szCs w:val="18"/>
          <w:color w:val="auto"/>
        </w:rPr>
        <w:t xml:space="preserve"> gene in mice and confirmed that in this model both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and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are overexpressed compared to normal control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127635</wp:posOffset>
            </wp:positionV>
            <wp:extent cx="4474845" cy="1971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748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40" w:firstLine="2839"/>
        <w:spacing w:after="0" w:line="456" w:lineRule="auto"/>
        <w:rPr>
          <w:sz w:val="20"/>
          <w:szCs w:val="20"/>
          <w:color w:val="auto"/>
        </w:rPr>
      </w:pPr>
      <w:r>
        <w:rPr>
          <w:rFonts w:ascii="Arial" w:cs="Arial" w:eastAsia="Arial" w:hAnsi="Arial"/>
          <w:sz w:val="18"/>
          <w:szCs w:val="18"/>
          <w:b w:val="1"/>
          <w:bCs w:val="1"/>
          <w:color w:val="auto"/>
        </w:rPr>
        <w:t>Both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6</w:t>
      </w:r>
      <w:r>
        <w:rPr>
          <w:rFonts w:ascii="Arial" w:cs="Arial" w:eastAsia="Arial" w:hAnsi="Arial"/>
          <w:sz w:val="18"/>
          <w:szCs w:val="18"/>
          <w:b w:val="1"/>
          <w:bCs w:val="1"/>
          <w:color w:val="auto"/>
        </w:rPr>
        <w:t xml:space="preserve"> and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are overexpressed in a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knockout model of PSC </w:t>
      </w:r>
      <w:r>
        <w:rPr>
          <w:rFonts w:ascii="Arial" w:cs="Arial" w:eastAsia="Arial" w:hAnsi="Arial"/>
          <w:sz w:val="18"/>
          <w:szCs w:val="18"/>
          <w:i w:val="1"/>
          <w:iCs w:val="1"/>
          <w:color w:val="auto"/>
        </w:rPr>
        <w:t>PLN-74809 showed a dose dependent reduction in fibrosis in a mouse PSC model</w:t>
      </w:r>
    </w:p>
    <w:p>
      <w:pPr>
        <w:ind w:right="220" w:firstLine="501"/>
        <w:spacing w:after="0" w:line="26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Mdr2</w:t>
      </w:r>
      <w:r>
        <w:rPr>
          <w:rFonts w:ascii="Arial" w:cs="Arial" w:eastAsia="Arial" w:hAnsi="Arial"/>
          <w:sz w:val="18"/>
          <w:szCs w:val="18"/>
          <w:color w:val="auto"/>
        </w:rPr>
        <w:t>-deficient mice that have developed biliary fibrosis resembling PSC, dosing with PLN-74809 for six weeks resulted in a significant, dose-dependent reduction in fibrosis compared to vehicle treated mice. Similar results were observed whether the analyses were based on collagen levels as measured by hydroxyproline, pSMAD3 levels or histological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125730</wp:posOffset>
            </wp:positionV>
            <wp:extent cx="3771900" cy="1697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1900" cy="169735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8" w:name="page29"/>
    <w:bookmarkEnd w:id="28"/>
    <w:p>
      <w:pPr>
        <w:jc w:val="center"/>
        <w:ind w:right="-179"/>
        <w:spacing w:after="0"/>
        <w:rPr>
          <w:sz w:val="20"/>
          <w:szCs w:val="20"/>
          <w:color w:val="auto"/>
        </w:rPr>
      </w:pPr>
      <w:r>
        <w:rPr>
          <w:rFonts w:ascii="Arial" w:cs="Arial" w:eastAsia="Arial" w:hAnsi="Arial"/>
          <w:sz w:val="18"/>
          <w:szCs w:val="18"/>
          <w:b w:val="1"/>
          <w:bCs w:val="1"/>
          <w:color w:val="auto"/>
        </w:rPr>
        <w:t xml:space="preserve">PLN-74809 showed reduction of fibrosis in the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deficient PSC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154305</wp:posOffset>
            </wp:positionV>
            <wp:extent cx="4131945" cy="1920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19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 xml:space="preserve">PLN-74809 showed improved histology score in the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deficient PSC 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PLN-74809 reduced cholestasis liver biomarkers in PSC model</w:t>
      </w:r>
    </w:p>
    <w:p>
      <w:pPr>
        <w:spacing w:after="0" w:line="185" w:lineRule="exact"/>
        <w:rPr>
          <w:sz w:val="20"/>
          <w:szCs w:val="20"/>
          <w:color w:val="auto"/>
        </w:rPr>
      </w:pPr>
    </w:p>
    <w:p>
      <w:pPr>
        <w:ind w:right="460" w:firstLine="501"/>
        <w:spacing w:after="0" w:line="277" w:lineRule="auto"/>
        <w:rPr>
          <w:sz w:val="20"/>
          <w:szCs w:val="20"/>
          <w:color w:val="auto"/>
        </w:rPr>
      </w:pPr>
      <w:r>
        <w:rPr>
          <w:rFonts w:ascii="Arial" w:cs="Arial" w:eastAsia="Arial" w:hAnsi="Arial"/>
          <w:sz w:val="18"/>
          <w:szCs w:val="18"/>
          <w:color w:val="auto"/>
        </w:rPr>
        <w:t xml:space="preserve">Treatment of </w:t>
      </w:r>
      <w:r>
        <w:rPr>
          <w:rFonts w:ascii="Arial" w:cs="Arial" w:eastAsia="Arial" w:hAnsi="Arial"/>
          <w:sz w:val="18"/>
          <w:szCs w:val="18"/>
          <w:i w:val="1"/>
          <w:iCs w:val="1"/>
          <w:color w:val="auto"/>
        </w:rPr>
        <w:t>Mdr2</w:t>
      </w:r>
      <w:r>
        <w:rPr>
          <w:rFonts w:ascii="Arial" w:cs="Arial" w:eastAsia="Arial" w:hAnsi="Arial"/>
          <w:sz w:val="18"/>
          <w:szCs w:val="18"/>
          <w:color w:val="auto"/>
        </w:rPr>
        <w:t>-deficient mice with PLN-74809 also reduced in a dose-dependent manner serum levels of alkaline phosphatase and total bilirubin compared to vehicle controls. Both are markers of cholestasis.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PLN-74809 reduced cholestasis markers in PSC 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PLN-74809 decreased COL1A1 expression in live human PSC and PBC liver tissue samples more than OCA</w:t>
      </w:r>
    </w:p>
    <w:p>
      <w:pPr>
        <w:spacing w:after="0" w:line="185" w:lineRule="exact"/>
        <w:rPr>
          <w:sz w:val="20"/>
          <w:szCs w:val="20"/>
          <w:color w:val="auto"/>
        </w:rPr>
      </w:pPr>
    </w:p>
    <w:p>
      <w:pPr>
        <w:ind w:firstLine="501"/>
        <w:spacing w:after="0" w:line="279" w:lineRule="auto"/>
        <w:rPr>
          <w:sz w:val="20"/>
          <w:szCs w:val="20"/>
          <w:color w:val="auto"/>
        </w:rPr>
      </w:pPr>
      <w:r>
        <w:rPr>
          <w:rFonts w:ascii="Arial" w:cs="Arial" w:eastAsia="Arial" w:hAnsi="Arial"/>
          <w:sz w:val="17"/>
          <w:szCs w:val="17"/>
          <w:color w:val="auto"/>
        </w:rPr>
        <w:t xml:space="preserve">We assessed the anti-fibrotic activity of our integrin inhibitors using liver samples obtained from a PSC patient and a PBC patient. We used to precision-cut tissue slices to establish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culture samples that mimic the multicellular characteristics of organs. The use of these precision-cut tissue culture assays not only provides the opportunity to assess the effects of our compounds directly on diseased human tissue, but also allows this to be done in a three-dimensional, multicellular context that better represents the complexity of the diseased tissue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151765</wp:posOffset>
            </wp:positionV>
            <wp:extent cx="4474845" cy="1080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7484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Assessing anti-fibrotic activity of compounds in live human liver fibrosis tissue</w:t>
      </w:r>
    </w:p>
    <w:p>
      <w:pPr>
        <w:spacing w:after="0" w:line="189"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Live tissue samples from a PSC patient and a PBC patient were incubated for two days with varying concentrations of PLN-74809 and obeticholic acid, or OCA, a drug approved for the treatment of PBC. Incubation with PLN-74809 led to a significant dose-dependent decrease of COL1A1 expression, while incubation with OCA did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125730</wp:posOffset>
            </wp:positionV>
            <wp:extent cx="4509135" cy="1920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0913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PLN-74809 blocked fibrosis in live human PSC and PBC liver tissue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PLN-1474 and NASH</w:t>
      </w:r>
    </w:p>
    <w:p>
      <w:pPr>
        <w:spacing w:after="0" w:line="27"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PLN-1474 is a selective inhibitor of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1</w:t>
      </w:r>
      <w:r>
        <w:rPr>
          <w:rFonts w:ascii="Arial" w:cs="Arial" w:eastAsia="Arial" w:hAnsi="Arial"/>
          <w:sz w:val="17"/>
          <w:szCs w:val="17"/>
          <w:color w:val="auto"/>
        </w:rPr>
        <w:t xml:space="preserve"> integrin that we are developing for the treatment of liver fibrosis in patients with NASH. PLN-1474 is an orally bioavailable inhibitor that has shown anti-fibrotic activity in multiple animal models of liver fibrosis as well as in live human NASH fibrotic liver tissue. In October 2019, we entered into a license and collaboration agreement with Novartis under which Novartis received global rights to develop and commercialize PLN-1474 the treatment of NASH associated liver fibrosis. We have completed a first-in-human, randomized, double-blind, placebo-controlled Phase 1 dose escalation trial of PLN-1474 that enrolled 84 healthy volunteers across single ascending dose and multiple ascending dose cohorts. Results showed that PLN-1474 was well tolerated with no dose- or treatment-limiting toxicities with adverse events that were mostly mild with no severe or serious adverse events observed. Per our licensing and collaboration agreement, all development expenses associated with the Phase 1 trial are reimbursed by Novartis. The PLN-1474 IND application was transferred to Novartis in the first quarter of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liver fibrosis and NASH</w:t>
      </w:r>
    </w:p>
    <w:p>
      <w:pPr>
        <w:spacing w:after="0" w:line="198"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NASH is a severe form of NAFLD that is associated with the development of liver fibrosis and potentially life-threatening liver dysfunction. NAFLD is characterized by increased amounts of fat in the liver, or steatosis. NAFLD is believed to occur due to a combination of factors including high caloric diet, obesity and metabolic syndrome, type 2 diabetes mellitus and genetics. Early stages of the disease often have no symptoms other than slightly elevated or fluctuating levels of liver enzymes in some patients.</w:t>
      </w:r>
    </w:p>
    <w:p>
      <w:pPr>
        <w:spacing w:after="0" w:line="146" w:lineRule="exact"/>
        <w:rPr>
          <w:sz w:val="20"/>
          <w:szCs w:val="20"/>
          <w:color w:val="auto"/>
        </w:rPr>
      </w:pPr>
    </w:p>
    <w:p>
      <w:pPr>
        <w:ind w:firstLine="501"/>
        <w:spacing w:after="0" w:line="296" w:lineRule="auto"/>
        <w:rPr>
          <w:sz w:val="20"/>
          <w:szCs w:val="20"/>
          <w:color w:val="auto"/>
        </w:rPr>
      </w:pPr>
      <w:r>
        <w:rPr>
          <w:rFonts w:ascii="Arial" w:cs="Arial" w:eastAsia="Arial" w:hAnsi="Arial"/>
          <w:sz w:val="16"/>
          <w:szCs w:val="16"/>
          <w:color w:val="auto"/>
        </w:rPr>
        <w:t>As excess fat builds up in the liver, it can eventually cause lipotoxicity, resulting in inflammation in the liver and leading to injury of hepatocytes, known as ballooning. It is this combination of steatosis, inflammation and hepatocellular ballooning that defines NASH. Over time, NASH can lead to fibrosis of the liver. Fibrosis can progress to cirrhosis, resulting in impaired liver function and increased risk of liver-related complications and mortality. In fact, liver fibrosis is an independent predictor of liver-related morbidity and all-cause mortality in NASH. There are currently no FDA approved therapies for NASH, and to date investigational NASH therapies have only shown modest anti-fibrotic benefits in published clinical trials.</w:t>
      </w:r>
    </w:p>
    <w:p>
      <w:pPr>
        <w:spacing w:after="0" w:line="121" w:lineRule="exact"/>
        <w:rPr>
          <w:sz w:val="20"/>
          <w:szCs w:val="20"/>
          <w:color w:val="auto"/>
        </w:rPr>
      </w:pPr>
    </w:p>
    <w:p>
      <w:pPr>
        <w:jc w:val="both"/>
        <w:ind w:right="120" w:firstLine="501"/>
        <w:spacing w:after="0" w:line="259" w:lineRule="auto"/>
        <w:rPr>
          <w:sz w:val="20"/>
          <w:szCs w:val="20"/>
          <w:color w:val="auto"/>
        </w:rPr>
      </w:pPr>
      <w:r>
        <w:rPr>
          <w:rFonts w:ascii="Arial" w:cs="Arial" w:eastAsia="Arial" w:hAnsi="Arial"/>
          <w:sz w:val="18"/>
          <w:szCs w:val="18"/>
          <w:color w:val="auto"/>
        </w:rPr>
        <w:t>It is estimated that 30 to 40 percent of adults in the United States have NAFLD and approximately 30 percent of these patients, or up to 12 percent of adults, will develop NASH. NASH is already highly prevalent, affecting approximately 16.5 million adults in the United States with approximately 3.3 million at stage F3/F4 liver fibrosis. NASH is a growing problem with U.S. cases expected to top 27 million by 2030, with approximately eight million at stage F3/F4 liver fibrosis.</w:t>
      </w:r>
    </w:p>
    <w:p>
      <w:pPr>
        <w:spacing w:after="0" w:line="160"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While NASH is becoming more common in the general population, identifying patients with increased risk of liver-related morbidity and mortality is important for clinical management. While steatosis, inflammation and hepatocellular ballooning are the measures used to diagnose NASH, to date, the presence and severity of liver fibrosis is the only proven independent predictor of poor clinical outcomes in NASH. Cirrhosis associated with NASH is the fastest growing indication for liver transplantation in the United States.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right="40" w:firstLine="501"/>
        <w:spacing w:after="0" w:line="293" w:lineRule="auto"/>
        <w:rPr>
          <w:sz w:val="20"/>
          <w:szCs w:val="20"/>
          <w:color w:val="auto"/>
        </w:rPr>
      </w:pPr>
      <w:r>
        <w:rPr>
          <w:rFonts w:ascii="Arial" w:cs="Arial" w:eastAsia="Arial" w:hAnsi="Arial"/>
          <w:sz w:val="16"/>
          <w:szCs w:val="16"/>
          <w:color w:val="auto"/>
        </w:rPr>
        <w:t>Approximately 10 to 15 percent of NASH patients will ultimately progress to cirrhosis over time. On average, these patients advance one fibrosis stage every seven years. NASH patients, regardless of stage of fibrosis, have an estimated annual mortality rate of 1.5 to 3.5 percent per year, mostly due to cardiovascular complications. However, when patients progress to stage F2 fibrosis or greater, liver-related complications become the highest risk for mortality. Each progressive stage of fibrosis correlates to a dramatic increase in liver-related mortality risk. Moreover, patients with F3 and F4 fibrosis carry liver-related mortality risk that is 17 times and 42 times greater, respectively, than NASH patients without fibrosis. We believe treatments with a potent anti-fibrotic effect would be more likely to have a meaningful impact on clinical outcomes for NASH patients with F3 to F4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113665</wp:posOffset>
            </wp:positionV>
            <wp:extent cx="4474845" cy="255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7484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Stages of liver fibrosis</w:t>
      </w:r>
    </w:p>
    <w:p>
      <w:pPr>
        <w:spacing w:after="0" w:line="202"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There are currently no FDA approved therapies for the treatment of NAFLD or NASH. Lifestyle changes and exercise to reduce body weight and treatment of concomitant diabetes and dyslipidemia comprise the cornerstone of treatment but are not sustainable in the majority of patients. For patients with cirrhosis, liver transplantation is the only potential treatment option, but transplant livers are not widely available, and only a minority of these patients will be eligible for a transplant due to the risks, costs and complexities associated with the procedure. NASH is the second leading indication for liver transplantation in the United States but is also the most rapidly growing indication and is expected to eventually overtake alcoholic liver disease as the largest driver of liver transplant.</w:t>
      </w:r>
    </w:p>
    <w:p>
      <w:pPr>
        <w:spacing w:after="0" w:line="152" w:lineRule="exact"/>
        <w:rPr>
          <w:sz w:val="20"/>
          <w:szCs w:val="20"/>
          <w:color w:val="auto"/>
        </w:rPr>
      </w:pPr>
    </w:p>
    <w:p>
      <w:pPr>
        <w:ind w:right="180" w:firstLine="501"/>
        <w:spacing w:after="0" w:line="254" w:lineRule="auto"/>
        <w:rPr>
          <w:sz w:val="20"/>
          <w:szCs w:val="20"/>
          <w:color w:val="auto"/>
        </w:rPr>
      </w:pPr>
      <w:r>
        <w:rPr>
          <w:rFonts w:ascii="Arial" w:cs="Arial" w:eastAsia="Arial" w:hAnsi="Arial"/>
          <w:sz w:val="18"/>
          <w:szCs w:val="18"/>
          <w:color w:val="auto"/>
        </w:rPr>
        <w:t>There are many candidates in development for the treatment of NASH that target various aspects of the disease. A number of these candidates are directed at reducing the underlying causes of the disease such as obesity and diabetes or addressing fat accumulation in the liver by altering lipid metabolism. Other candidates are focused on suppressing the inflammatory stage of NASH with the intent of preventing the progression of fibrosis. To date, only modest improvements in liver fibrosis stage or severity have been reported with investigational compounds evaluated in patients with NASH. Our approach is to directly target the fibrosis pathway with the goal of preventing progression or reversing advanced fibrosis (F3/F4). Given TGF-ß’s central role to fibrosis pathophysiology, we believe that directly targeting the TGF-ß activation pathway via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integrin inhibition holds the potential to provide a more clinically meaningful anti-fibrotic effect than current investigational therapies, and ultimately prevent disease progression to cirrhosis and liver related complications.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PLN-1474</w:t>
      </w:r>
    </w:p>
    <w:p>
      <w:pPr>
        <w:spacing w:after="0" w:line="198"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PLN-1474 is a bioavailable, small-molecule, selective inhibitor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mediated TGF-ß activation. PLN-1474 is an anti-fibrotic therapy for patients with liver fibrosis associated with NASH. We have shown that in human fibrotic liver tissue from patients with NASH that the levels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are significantly elevated in tissue from patients with stage 4 fibrotic disease. Overexpression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is correlated with TGF-ß activation as measured by pSMAD3 levels. Therefore, we believe a single-selective inhibitor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is a promising and differentiated approach to treating NASH associated liver fibrosis. In October of 2019, we entered into a license and collaboration agreement with Novartis through which Novartis obtained a global license to PLN-1474. We have completed a Phase 1 trial of PLN-1474 in healthy volunteers with Novartis reimbursing us for all associated development activities. The program has been transferred to Novartis, in the first quarter of 2021, who be responsible for all future development, manufacturing, and commercialization activities.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151765</wp:posOffset>
            </wp:positionV>
            <wp:extent cx="6978015"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78015" cy="308610"/>
                    </a:xfrm>
                    <a:prstGeom prst="rect">
                      <a:avLst/>
                    </a:prstGeom>
                    <a:noFill/>
                  </pic:spPr>
                </pic:pic>
              </a:graphicData>
            </a:graphic>
          </wp:anchor>
        </w:drawing>
      </w:r>
    </w:p>
    <w:p>
      <w:pPr>
        <w:spacing w:after="0" w:line="246"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FFFFFF"/>
        </w:rPr>
        <w:t>Summary of Preclinical Data in NASH</w:t>
      </w:r>
    </w:p>
    <w:p>
      <w:pPr>
        <w:spacing w:after="0" w:line="4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b w:val="1"/>
                <w:bCs w:val="1"/>
                <w:color w:val="FFFFFF"/>
              </w:rPr>
              <w:t>Preclinical Findings</w:t>
            </w:r>
          </w:p>
        </w:tc>
        <w:tc>
          <w:tcPr>
            <w:tcW w:w="7540" w:type="dxa"/>
            <w:vAlign w:val="bottom"/>
            <w:gridSpan w:val="2"/>
            <w:shd w:val="clear" w:color="auto" w:fill="4B61A8"/>
          </w:tcPr>
          <w:p>
            <w:pPr>
              <w:spacing w:after="0"/>
              <w:rPr>
                <w:sz w:val="20"/>
                <w:szCs w:val="20"/>
                <w:color w:val="auto"/>
              </w:rPr>
            </w:pPr>
            <w:r>
              <w:rPr>
                <w:rFonts w:ascii="Arial" w:cs="Arial" w:eastAsia="Arial" w:hAnsi="Arial"/>
                <w:sz w:val="16"/>
                <w:szCs w:val="16"/>
                <w:b w:val="1"/>
                <w:bCs w:val="1"/>
                <w:color w:val="FFFFFF"/>
              </w:rPr>
              <w:t>Observations</w:t>
            </w:r>
          </w:p>
        </w:tc>
        <w:tc>
          <w:tcPr>
            <w:tcW w:w="40" w:type="dxa"/>
            <w:vAlign w:val="bottom"/>
          </w:tcPr>
          <w:p>
            <w:pPr>
              <w:spacing w:after="0"/>
              <w:rPr>
                <w:sz w:val="19"/>
                <w:szCs w:val="19"/>
                <w:color w:val="auto"/>
              </w:rPr>
            </w:pPr>
          </w:p>
        </w:tc>
      </w:tr>
      <w:tr>
        <w:trPr>
          <w:trHeight w:val="230"/>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w:t>
            </w:r>
            <w:r>
              <w:rPr>
                <w:rFonts w:ascii="Arial" w:cs="Arial" w:eastAsia="Arial" w:hAnsi="Arial"/>
                <w:sz w:val="16"/>
                <w:szCs w:val="16"/>
                <w:color w:val="auto"/>
              </w:rPr>
              <w:t>and TGF-ß activation are upregulated in</w:t>
            </w:r>
          </w:p>
        </w:tc>
        <w:tc>
          <w:tcPr>
            <w:tcW w:w="80" w:type="dxa"/>
            <w:vAlign w:val="bottom"/>
            <w:shd w:val="clear" w:color="auto" w:fill="DBDFED"/>
          </w:tcPr>
          <w:p>
            <w:pPr>
              <w:spacing w:after="0"/>
              <w:rPr>
                <w:sz w:val="20"/>
                <w:szCs w:val="20"/>
                <w:color w:val="auto"/>
              </w:rPr>
            </w:pPr>
            <w:r>
              <w:rPr>
                <w:rFonts w:ascii="Arial" w:cs="Arial" w:eastAsia="Arial" w:hAnsi="Arial"/>
                <w:sz w:val="16"/>
                <w:szCs w:val="16"/>
                <w:color w:val="auto"/>
              </w:rPr>
              <w:t>•</w:t>
            </w:r>
          </w:p>
        </w:tc>
        <w:tc>
          <w:tcPr>
            <w:tcW w:w="7460" w:type="dxa"/>
            <w:vAlign w:val="bottom"/>
            <w:shd w:val="clear" w:color="auto" w:fill="DBDFED"/>
          </w:tcPr>
          <w:p>
            <w:pPr>
              <w:ind w:left="40"/>
              <w:spacing w:after="0"/>
              <w:rPr>
                <w:sz w:val="20"/>
                <w:szCs w:val="20"/>
                <w:color w:val="auto"/>
              </w:rPr>
            </w:pPr>
            <w:r>
              <w:rPr>
                <w:rFonts w:ascii="Arial" w:cs="Arial" w:eastAsia="Arial" w:hAnsi="Arial"/>
                <w:sz w:val="16"/>
                <w:szCs w:val="16"/>
                <w:color w:val="auto"/>
              </w:rPr>
              <w:t xml:space="preserve">Levels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w:t>
            </w:r>
            <w:r>
              <w:rPr>
                <w:rFonts w:ascii="Arial" w:cs="Arial" w:eastAsia="Arial" w:hAnsi="Arial"/>
                <w:sz w:val="16"/>
                <w:szCs w:val="16"/>
                <w:color w:val="auto"/>
              </w:rPr>
              <w:t xml:space="preserve"> and pSMAD3 levels are both significantly elevated in tissues from patients with</w:t>
            </w:r>
          </w:p>
        </w:tc>
        <w:tc>
          <w:tcPr>
            <w:tcW w:w="40" w:type="dxa"/>
            <w:vAlign w:val="bottom"/>
            <w:shd w:val="clear" w:color="auto" w:fill="4B61A8"/>
          </w:tcPr>
          <w:p>
            <w:pPr>
              <w:spacing w:after="0"/>
              <w:rPr>
                <w:sz w:val="19"/>
                <w:szCs w:val="19"/>
                <w:color w:val="auto"/>
              </w:rPr>
            </w:pPr>
          </w:p>
        </w:tc>
      </w:tr>
      <w:tr>
        <w:trPr>
          <w:trHeight w:val="188"/>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human F4 NASH liver biopsies</w:t>
            </w:r>
          </w:p>
        </w:tc>
        <w:tc>
          <w:tcPr>
            <w:tcW w:w="7540" w:type="dxa"/>
            <w:vAlign w:val="bottom"/>
            <w:gridSpan w:val="2"/>
            <w:shd w:val="clear" w:color="auto" w:fill="DBDFED"/>
          </w:tcPr>
          <w:p>
            <w:pPr>
              <w:spacing w:after="0"/>
              <w:rPr>
                <w:sz w:val="20"/>
                <w:szCs w:val="20"/>
                <w:color w:val="auto"/>
              </w:rPr>
            </w:pPr>
            <w:r>
              <w:rPr>
                <w:rFonts w:ascii="Arial" w:cs="Arial" w:eastAsia="Arial" w:hAnsi="Arial"/>
                <w:sz w:val="16"/>
                <w:szCs w:val="16"/>
                <w:color w:val="auto"/>
              </w:rPr>
              <w:t>stage F4 liver fibrosis</w:t>
            </w:r>
          </w:p>
        </w:tc>
        <w:tc>
          <w:tcPr>
            <w:tcW w:w="40" w:type="dxa"/>
            <w:vAlign w:val="bottom"/>
            <w:shd w:val="clear" w:color="auto" w:fill="4B61A8"/>
          </w:tcPr>
          <w:p>
            <w:pPr>
              <w:spacing w:after="0"/>
              <w:rPr>
                <w:sz w:val="16"/>
                <w:szCs w:val="16"/>
                <w:color w:val="auto"/>
              </w:rPr>
            </w:pPr>
          </w:p>
        </w:tc>
      </w:tr>
      <w:tr>
        <w:trPr>
          <w:trHeight w:val="230"/>
        </w:trPr>
        <w:tc>
          <w:tcPr>
            <w:tcW w:w="3460" w:type="dxa"/>
            <w:vAlign w:val="bottom"/>
            <w:tcBorders>
              <w:left w:val="single" w:sz="8" w:color="4B61A8"/>
              <w:bottom w:val="single" w:sz="8" w:color="4B61A8"/>
              <w:right w:val="single" w:sz="8" w:color="4B61A8"/>
            </w:tcBorders>
            <w:shd w:val="clear" w:color="auto" w:fill="DBDFED"/>
          </w:tcPr>
          <w:p>
            <w:pPr>
              <w:spacing w:after="0"/>
              <w:rPr>
                <w:sz w:val="20"/>
                <w:szCs w:val="20"/>
                <w:color w:val="auto"/>
              </w:rPr>
            </w:pPr>
          </w:p>
        </w:tc>
        <w:tc>
          <w:tcPr>
            <w:tcW w:w="80" w:type="dxa"/>
            <w:vAlign w:val="bottom"/>
            <w:tcBorders>
              <w:bottom w:val="single" w:sz="8" w:color="4B61A8"/>
            </w:tcBorders>
            <w:shd w:val="clear" w:color="auto" w:fill="DBDFED"/>
          </w:tcPr>
          <w:p>
            <w:pPr>
              <w:spacing w:after="0"/>
              <w:rPr>
                <w:sz w:val="20"/>
                <w:szCs w:val="20"/>
                <w:color w:val="auto"/>
              </w:rPr>
            </w:pPr>
            <w:r>
              <w:rPr>
                <w:rFonts w:ascii="Arial" w:cs="Arial" w:eastAsia="Arial" w:hAnsi="Arial"/>
                <w:sz w:val="16"/>
                <w:szCs w:val="16"/>
                <w:color w:val="auto"/>
              </w:rPr>
              <w:t>•</w:t>
            </w:r>
          </w:p>
        </w:tc>
        <w:tc>
          <w:tcPr>
            <w:tcW w:w="7460" w:type="dxa"/>
            <w:vAlign w:val="bottom"/>
            <w:tcBorders>
              <w:bottom w:val="single" w:sz="8" w:color="4B61A8"/>
            </w:tcBorders>
            <w:shd w:val="clear" w:color="auto" w:fill="DBDFED"/>
          </w:tcPr>
          <w:p>
            <w:pPr>
              <w:ind w:left="40"/>
              <w:spacing w:after="0"/>
              <w:rPr>
                <w:sz w:val="20"/>
                <w:szCs w:val="20"/>
                <w:color w:val="auto"/>
              </w:rPr>
            </w:pPr>
            <w:r>
              <w:rPr>
                <w:rFonts w:ascii="Arial" w:cs="Arial" w:eastAsia="Arial" w:hAnsi="Arial"/>
                <w:sz w:val="16"/>
                <w:szCs w:val="16"/>
                <w:color w:val="auto"/>
              </w:rPr>
              <w:t xml:space="preserve">Levels 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w:t>
            </w:r>
            <w:r>
              <w:rPr>
                <w:rFonts w:ascii="Arial" w:cs="Arial" w:eastAsia="Arial" w:hAnsi="Arial"/>
                <w:sz w:val="16"/>
                <w:szCs w:val="16"/>
                <w:color w:val="auto"/>
              </w:rPr>
              <w:t xml:space="preserve"> and pSMAD3 levels are highly correlated in NASH liver biopsies</w:t>
            </w:r>
          </w:p>
        </w:tc>
        <w:tc>
          <w:tcPr>
            <w:tcW w:w="40" w:type="dxa"/>
            <w:vAlign w:val="bottom"/>
            <w:tcBorders>
              <w:bottom w:val="single" w:sz="8" w:color="4B61A8"/>
            </w:tcBorders>
            <w:shd w:val="clear" w:color="auto" w:fill="4B61A8"/>
          </w:tcPr>
          <w:p>
            <w:pPr>
              <w:spacing w:after="0"/>
              <w:rPr>
                <w:sz w:val="20"/>
                <w:szCs w:val="20"/>
                <w:color w:val="auto"/>
              </w:rPr>
            </w:pPr>
          </w:p>
        </w:tc>
      </w:tr>
      <w:tr>
        <w:trPr>
          <w:trHeight w:val="200"/>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PLN-1474 is associated with anti-fibrotic</w:t>
            </w:r>
          </w:p>
        </w:tc>
        <w:tc>
          <w:tcPr>
            <w:tcW w:w="7540" w:type="dxa"/>
            <w:vAlign w:val="bottom"/>
            <w:gridSpan w:val="2"/>
          </w:tcPr>
          <w:p>
            <w:pPr>
              <w:spacing w:after="0"/>
              <w:rPr>
                <w:sz w:val="20"/>
                <w:szCs w:val="20"/>
                <w:color w:val="auto"/>
              </w:rPr>
            </w:pPr>
            <w:r>
              <w:rPr>
                <w:rFonts w:ascii="Arial" w:cs="Arial" w:eastAsia="Arial" w:hAnsi="Arial"/>
                <w:sz w:val="16"/>
                <w:szCs w:val="16"/>
                <w:color w:val="auto"/>
              </w:rPr>
              <w:t xml:space="preserve">• After two days incubation with PLN-1474 we observed a significant reduction in </w:t>
            </w:r>
            <w:r>
              <w:rPr>
                <w:rFonts w:ascii="Arial" w:cs="Arial" w:eastAsia="Arial" w:hAnsi="Arial"/>
                <w:sz w:val="16"/>
                <w:szCs w:val="16"/>
                <w:i w:val="1"/>
                <w:iCs w:val="1"/>
                <w:color w:val="auto"/>
              </w:rPr>
              <w:t>COL1A1</w:t>
            </w:r>
            <w:r>
              <w:rPr>
                <w:rFonts w:ascii="Arial" w:cs="Arial" w:eastAsia="Arial" w:hAnsi="Arial"/>
                <w:sz w:val="16"/>
                <w:szCs w:val="16"/>
                <w:color w:val="auto"/>
              </w:rPr>
              <w:t xml:space="preserve"> gene</w:t>
            </w:r>
          </w:p>
        </w:tc>
        <w:tc>
          <w:tcPr>
            <w:tcW w:w="40" w:type="dxa"/>
            <w:vAlign w:val="bottom"/>
            <w:shd w:val="clear" w:color="auto" w:fill="4B61A8"/>
          </w:tcPr>
          <w:p>
            <w:pPr>
              <w:spacing w:after="0"/>
              <w:rPr>
                <w:sz w:val="17"/>
                <w:szCs w:val="17"/>
                <w:color w:val="auto"/>
              </w:rPr>
            </w:pPr>
          </w:p>
        </w:tc>
      </w:tr>
      <w:tr>
        <w:trPr>
          <w:trHeight w:val="203"/>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activity in live human fibrotic NASH liver</w:t>
            </w:r>
          </w:p>
        </w:tc>
        <w:tc>
          <w:tcPr>
            <w:tcW w:w="7540" w:type="dxa"/>
            <w:vAlign w:val="bottom"/>
            <w:gridSpan w:val="2"/>
          </w:tcPr>
          <w:p>
            <w:pPr>
              <w:spacing w:after="0"/>
              <w:rPr>
                <w:sz w:val="20"/>
                <w:szCs w:val="20"/>
                <w:color w:val="auto"/>
              </w:rPr>
            </w:pPr>
            <w:r>
              <w:rPr>
                <w:rFonts w:ascii="Arial" w:cs="Arial" w:eastAsia="Arial" w:hAnsi="Arial"/>
                <w:sz w:val="16"/>
                <w:szCs w:val="16"/>
                <w:color w:val="auto"/>
              </w:rPr>
              <w:t>expression in live liver samples from three NASH patients after transplant</w:t>
            </w:r>
          </w:p>
        </w:tc>
        <w:tc>
          <w:tcPr>
            <w:tcW w:w="40" w:type="dxa"/>
            <w:vAlign w:val="bottom"/>
            <w:shd w:val="clear" w:color="auto" w:fill="4B61A8"/>
          </w:tcPr>
          <w:p>
            <w:pPr>
              <w:spacing w:after="0"/>
              <w:rPr>
                <w:sz w:val="17"/>
                <w:szCs w:val="17"/>
                <w:color w:val="auto"/>
              </w:rPr>
            </w:pPr>
          </w:p>
        </w:tc>
      </w:tr>
      <w:tr>
        <w:trPr>
          <w:trHeight w:val="203"/>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tissue</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7460" w:type="dxa"/>
            <w:vAlign w:val="bottom"/>
          </w:tcPr>
          <w:p>
            <w:pPr>
              <w:ind w:left="40"/>
              <w:spacing w:after="0"/>
              <w:rPr>
                <w:sz w:val="20"/>
                <w:szCs w:val="20"/>
                <w:color w:val="auto"/>
              </w:rPr>
            </w:pPr>
            <w:r>
              <w:rPr>
                <w:rFonts w:ascii="Arial" w:cs="Arial" w:eastAsia="Arial" w:hAnsi="Arial"/>
                <w:sz w:val="16"/>
                <w:szCs w:val="16"/>
                <w:color w:val="auto"/>
              </w:rPr>
              <w:t xml:space="preserve">Gene expression of </w:t>
            </w:r>
            <w:r>
              <w:rPr>
                <w:rFonts w:ascii="Arial" w:cs="Arial" w:eastAsia="Arial" w:hAnsi="Arial"/>
                <w:sz w:val="16"/>
                <w:szCs w:val="16"/>
                <w:i w:val="1"/>
                <w:iCs w:val="1"/>
                <w:color w:val="auto"/>
              </w:rPr>
              <w:t>TIMP1</w:t>
            </w:r>
            <w:r>
              <w:rPr>
                <w:rFonts w:ascii="Arial" w:cs="Arial" w:eastAsia="Arial" w:hAnsi="Arial"/>
                <w:sz w:val="16"/>
                <w:szCs w:val="16"/>
                <w:color w:val="auto"/>
              </w:rPr>
              <w:t>, a strong predictor of mortality in patients with fibrosis, was also</w:t>
            </w:r>
          </w:p>
        </w:tc>
        <w:tc>
          <w:tcPr>
            <w:tcW w:w="40" w:type="dxa"/>
            <w:vAlign w:val="bottom"/>
            <w:shd w:val="clear" w:color="auto" w:fill="4B61A8"/>
          </w:tcPr>
          <w:p>
            <w:pPr>
              <w:spacing w:after="0"/>
              <w:rPr>
                <w:sz w:val="17"/>
                <w:szCs w:val="17"/>
                <w:color w:val="auto"/>
              </w:rPr>
            </w:pPr>
          </w:p>
        </w:tc>
      </w:tr>
      <w:tr>
        <w:trPr>
          <w:trHeight w:val="209"/>
        </w:trPr>
        <w:tc>
          <w:tcPr>
            <w:tcW w:w="3460" w:type="dxa"/>
            <w:vAlign w:val="bottom"/>
            <w:tcBorders>
              <w:left w:val="single" w:sz="8" w:color="4B61A8"/>
              <w:bottom w:val="single" w:sz="8" w:color="4B61A8"/>
              <w:right w:val="single" w:sz="8" w:color="4B61A8"/>
            </w:tcBorders>
          </w:tcPr>
          <w:p>
            <w:pPr>
              <w:spacing w:after="0"/>
              <w:rPr>
                <w:sz w:val="18"/>
                <w:szCs w:val="18"/>
                <w:color w:val="auto"/>
              </w:rPr>
            </w:pPr>
          </w:p>
        </w:tc>
        <w:tc>
          <w:tcPr>
            <w:tcW w:w="7540" w:type="dxa"/>
            <w:vAlign w:val="bottom"/>
            <w:tcBorders>
              <w:bottom w:val="single" w:sz="8" w:color="4B61A8"/>
            </w:tcBorders>
            <w:gridSpan w:val="2"/>
          </w:tcPr>
          <w:p>
            <w:pPr>
              <w:spacing w:after="0"/>
              <w:rPr>
                <w:sz w:val="20"/>
                <w:szCs w:val="20"/>
                <w:color w:val="auto"/>
              </w:rPr>
            </w:pPr>
            <w:r>
              <w:rPr>
                <w:rFonts w:ascii="Arial" w:cs="Arial" w:eastAsia="Arial" w:hAnsi="Arial"/>
                <w:sz w:val="16"/>
                <w:szCs w:val="16"/>
                <w:color w:val="auto"/>
              </w:rPr>
              <w:t>reduced after incubation</w:t>
            </w:r>
          </w:p>
        </w:tc>
        <w:tc>
          <w:tcPr>
            <w:tcW w:w="40" w:type="dxa"/>
            <w:vAlign w:val="bottom"/>
            <w:tcBorders>
              <w:bottom w:val="single" w:sz="8" w:color="4B61A8"/>
            </w:tcBorders>
            <w:shd w:val="clear" w:color="auto" w:fill="4B61A8"/>
          </w:tcPr>
          <w:p>
            <w:pPr>
              <w:spacing w:after="0"/>
              <w:rPr>
                <w:sz w:val="18"/>
                <w:szCs w:val="18"/>
                <w:color w:val="auto"/>
              </w:rPr>
            </w:pPr>
          </w:p>
        </w:tc>
      </w:tr>
      <w:tr>
        <w:trPr>
          <w:trHeight w:val="405"/>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PLN-1474 resulted in a broad decrease in</w:t>
            </w:r>
          </w:p>
        </w:tc>
        <w:tc>
          <w:tcPr>
            <w:tcW w:w="80" w:type="dxa"/>
            <w:vAlign w:val="bottom"/>
            <w:shd w:val="clear" w:color="auto" w:fill="DBDFED"/>
          </w:tcPr>
          <w:p>
            <w:pPr>
              <w:spacing w:after="0"/>
              <w:rPr>
                <w:sz w:val="20"/>
                <w:szCs w:val="20"/>
                <w:color w:val="auto"/>
              </w:rPr>
            </w:pPr>
            <w:r>
              <w:rPr>
                <w:rFonts w:ascii="Arial" w:cs="Arial" w:eastAsia="Arial" w:hAnsi="Arial"/>
                <w:sz w:val="16"/>
                <w:szCs w:val="16"/>
                <w:color w:val="auto"/>
              </w:rPr>
              <w:t>•</w:t>
            </w:r>
          </w:p>
        </w:tc>
        <w:tc>
          <w:tcPr>
            <w:tcW w:w="7460" w:type="dxa"/>
            <w:vAlign w:val="bottom"/>
            <w:shd w:val="clear" w:color="auto" w:fill="DBDFED"/>
          </w:tcPr>
          <w:p>
            <w:pPr>
              <w:ind w:left="40"/>
              <w:spacing w:after="0"/>
              <w:rPr>
                <w:sz w:val="20"/>
                <w:szCs w:val="20"/>
                <w:color w:val="auto"/>
              </w:rPr>
            </w:pPr>
            <w:r>
              <w:rPr>
                <w:rFonts w:ascii="Arial" w:cs="Arial" w:eastAsia="Arial" w:hAnsi="Arial"/>
                <w:sz w:val="16"/>
                <w:szCs w:val="16"/>
                <w:color w:val="auto"/>
                <w:w w:val="98"/>
              </w:rPr>
              <w:t>In an abbreviated Choline-deficient, L-amino acid defined, high fat-diet, or CDA-HFD, mouse NASH model,</w:t>
            </w:r>
          </w:p>
        </w:tc>
        <w:tc>
          <w:tcPr>
            <w:tcW w:w="40" w:type="dxa"/>
            <w:vAlign w:val="bottom"/>
            <w:shd w:val="clear" w:color="auto" w:fill="4B61A8"/>
          </w:tcPr>
          <w:p>
            <w:pPr>
              <w:spacing w:after="0"/>
              <w:rPr>
                <w:sz w:val="24"/>
                <w:szCs w:val="24"/>
                <w:color w:val="auto"/>
              </w:rPr>
            </w:pPr>
          </w:p>
        </w:tc>
      </w:tr>
      <w:tr>
        <w:trPr>
          <w:trHeight w:val="203"/>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w w:val="97"/>
              </w:rPr>
              <w:t>expression of pro-fibrotic genes in an abbreviated</w:t>
            </w:r>
          </w:p>
        </w:tc>
        <w:tc>
          <w:tcPr>
            <w:tcW w:w="7540" w:type="dxa"/>
            <w:vAlign w:val="bottom"/>
            <w:gridSpan w:val="2"/>
            <w:shd w:val="clear" w:color="auto" w:fill="DBDFED"/>
          </w:tcPr>
          <w:p>
            <w:pPr>
              <w:spacing w:after="0"/>
              <w:rPr>
                <w:sz w:val="20"/>
                <w:szCs w:val="20"/>
                <w:color w:val="auto"/>
              </w:rPr>
            </w:pPr>
            <w:r>
              <w:rPr>
                <w:rFonts w:ascii="Arial" w:cs="Arial" w:eastAsia="Arial" w:hAnsi="Arial"/>
                <w:sz w:val="16"/>
                <w:szCs w:val="16"/>
                <w:color w:val="auto"/>
                <w:w w:val="93"/>
              </w:rPr>
              <w:t>after 3 weeks of treatment, mice treated with PLN-1474 showed decreased expression of a broad set of profibrotic</w:t>
            </w:r>
          </w:p>
        </w:tc>
        <w:tc>
          <w:tcPr>
            <w:tcW w:w="40" w:type="dxa"/>
            <w:vAlign w:val="bottom"/>
            <w:shd w:val="clear" w:color="auto" w:fill="4B61A8"/>
          </w:tcPr>
          <w:p>
            <w:pPr>
              <w:spacing w:after="0"/>
              <w:rPr>
                <w:sz w:val="17"/>
                <w:szCs w:val="17"/>
                <w:color w:val="auto"/>
              </w:rPr>
            </w:pPr>
          </w:p>
        </w:tc>
      </w:tr>
      <w:tr>
        <w:trPr>
          <w:trHeight w:val="206"/>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mouse model of NASH</w:t>
            </w:r>
          </w:p>
        </w:tc>
        <w:tc>
          <w:tcPr>
            <w:tcW w:w="7540" w:type="dxa"/>
            <w:vAlign w:val="bottom"/>
            <w:gridSpan w:val="2"/>
            <w:shd w:val="clear" w:color="auto" w:fill="DBDFED"/>
          </w:tcPr>
          <w:p>
            <w:pPr>
              <w:spacing w:after="0"/>
              <w:rPr>
                <w:sz w:val="20"/>
                <w:szCs w:val="20"/>
                <w:color w:val="auto"/>
              </w:rPr>
            </w:pPr>
            <w:r>
              <w:rPr>
                <w:rFonts w:ascii="Arial" w:cs="Arial" w:eastAsia="Arial" w:hAnsi="Arial"/>
                <w:sz w:val="16"/>
                <w:szCs w:val="16"/>
                <w:color w:val="auto"/>
              </w:rPr>
              <w:t>genes relative to vehicle controls</w:t>
            </w:r>
          </w:p>
        </w:tc>
        <w:tc>
          <w:tcPr>
            <w:tcW w:w="40" w:type="dxa"/>
            <w:vAlign w:val="bottom"/>
            <w:shd w:val="clear" w:color="auto" w:fill="4B61A8"/>
          </w:tcPr>
          <w:p>
            <w:pPr>
              <w:spacing w:after="0"/>
              <w:rPr>
                <w:sz w:val="17"/>
                <w:szCs w:val="17"/>
                <w:color w:val="auto"/>
              </w:rPr>
            </w:pPr>
          </w:p>
        </w:tc>
      </w:tr>
      <w:tr>
        <w:trPr>
          <w:trHeight w:val="208"/>
        </w:trPr>
        <w:tc>
          <w:tcPr>
            <w:tcW w:w="3460" w:type="dxa"/>
            <w:vAlign w:val="bottom"/>
            <w:tcBorders>
              <w:left w:val="single" w:sz="8" w:color="4B61A8"/>
              <w:bottom w:val="single" w:sz="8" w:color="4B61A8"/>
              <w:right w:val="single" w:sz="8" w:color="4B61A8"/>
            </w:tcBorders>
            <w:shd w:val="clear" w:color="auto" w:fill="DBDFED"/>
          </w:tcPr>
          <w:p>
            <w:pPr>
              <w:spacing w:after="0"/>
              <w:rPr>
                <w:sz w:val="18"/>
                <w:szCs w:val="18"/>
                <w:color w:val="auto"/>
              </w:rPr>
            </w:pPr>
          </w:p>
        </w:tc>
        <w:tc>
          <w:tcPr>
            <w:tcW w:w="80" w:type="dxa"/>
            <w:vAlign w:val="bottom"/>
            <w:tcBorders>
              <w:bottom w:val="single" w:sz="8" w:color="4B61A8"/>
            </w:tcBorders>
            <w:shd w:val="clear" w:color="auto" w:fill="DBDFED"/>
          </w:tcPr>
          <w:p>
            <w:pPr>
              <w:spacing w:after="0"/>
              <w:rPr>
                <w:sz w:val="18"/>
                <w:szCs w:val="18"/>
                <w:color w:val="auto"/>
              </w:rPr>
            </w:pPr>
          </w:p>
        </w:tc>
        <w:tc>
          <w:tcPr>
            <w:tcW w:w="7460" w:type="dxa"/>
            <w:vAlign w:val="bottom"/>
            <w:tcBorders>
              <w:bottom w:val="single" w:sz="8" w:color="4B61A8"/>
            </w:tcBorders>
            <w:shd w:val="clear" w:color="auto" w:fill="DBDFED"/>
          </w:tcPr>
          <w:p>
            <w:pPr>
              <w:spacing w:after="0"/>
              <w:rPr>
                <w:sz w:val="18"/>
                <w:szCs w:val="18"/>
                <w:color w:val="auto"/>
              </w:rPr>
            </w:pPr>
          </w:p>
        </w:tc>
        <w:tc>
          <w:tcPr>
            <w:tcW w:w="40" w:type="dxa"/>
            <w:vAlign w:val="bottom"/>
            <w:tcBorders>
              <w:bottom w:val="single" w:sz="8" w:color="4B61A8"/>
            </w:tcBorders>
            <w:shd w:val="clear" w:color="auto" w:fill="4B61A8"/>
          </w:tcPr>
          <w:p>
            <w:pPr>
              <w:spacing w:after="0"/>
              <w:rPr>
                <w:sz w:val="18"/>
                <w:szCs w:val="18"/>
                <w:color w:val="auto"/>
              </w:rPr>
            </w:pPr>
          </w:p>
        </w:tc>
      </w:tr>
      <w:tr>
        <w:trPr>
          <w:trHeight w:val="200"/>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PLN-1474 showed dose-dependent reduction</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7460" w:type="dxa"/>
            <w:vAlign w:val="bottom"/>
          </w:tcPr>
          <w:p>
            <w:pPr>
              <w:ind w:left="40"/>
              <w:spacing w:after="0"/>
              <w:rPr>
                <w:sz w:val="20"/>
                <w:szCs w:val="20"/>
                <w:color w:val="auto"/>
              </w:rPr>
            </w:pPr>
            <w:r>
              <w:rPr>
                <w:rFonts w:ascii="Arial" w:cs="Arial" w:eastAsia="Arial" w:hAnsi="Arial"/>
                <w:sz w:val="16"/>
                <w:szCs w:val="16"/>
                <w:color w:val="auto"/>
              </w:rPr>
              <w:t>Six weeks of treatment with PLN-1474, resulted in a significant dose-dependent decrease in</w:t>
            </w:r>
          </w:p>
        </w:tc>
        <w:tc>
          <w:tcPr>
            <w:tcW w:w="40" w:type="dxa"/>
            <w:vAlign w:val="bottom"/>
            <w:shd w:val="clear" w:color="auto" w:fill="4B61A8"/>
          </w:tcPr>
          <w:p>
            <w:pPr>
              <w:spacing w:after="0"/>
              <w:rPr>
                <w:sz w:val="17"/>
                <w:szCs w:val="17"/>
                <w:color w:val="auto"/>
              </w:rPr>
            </w:pPr>
          </w:p>
        </w:tc>
      </w:tr>
      <w:tr>
        <w:trPr>
          <w:trHeight w:val="203"/>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of fibrosis in NASH and liver fibrosis mouse</w:t>
            </w:r>
          </w:p>
        </w:tc>
        <w:tc>
          <w:tcPr>
            <w:tcW w:w="7540" w:type="dxa"/>
            <w:vAlign w:val="bottom"/>
            <w:gridSpan w:val="2"/>
          </w:tcPr>
          <w:p>
            <w:pPr>
              <w:spacing w:after="0"/>
              <w:rPr>
                <w:sz w:val="20"/>
                <w:szCs w:val="20"/>
                <w:color w:val="auto"/>
              </w:rPr>
            </w:pPr>
            <w:r>
              <w:rPr>
                <w:rFonts w:ascii="Arial" w:cs="Arial" w:eastAsia="Arial" w:hAnsi="Arial"/>
                <w:sz w:val="16"/>
                <w:szCs w:val="16"/>
                <w:color w:val="auto"/>
              </w:rPr>
              <w:t xml:space="preserve">expression of </w:t>
            </w:r>
            <w:r>
              <w:rPr>
                <w:rFonts w:ascii="Arial" w:cs="Arial" w:eastAsia="Arial" w:hAnsi="Arial"/>
                <w:sz w:val="16"/>
                <w:szCs w:val="16"/>
                <w:i w:val="1"/>
                <w:iCs w:val="1"/>
                <w:color w:val="auto"/>
              </w:rPr>
              <w:t>Col1a1</w:t>
            </w:r>
            <w:r>
              <w:rPr>
                <w:rFonts w:ascii="Arial" w:cs="Arial" w:eastAsia="Arial" w:hAnsi="Arial"/>
                <w:sz w:val="16"/>
                <w:szCs w:val="16"/>
                <w:color w:val="auto"/>
              </w:rPr>
              <w:t xml:space="preserve"> and </w:t>
            </w:r>
            <w:r>
              <w:rPr>
                <w:rFonts w:ascii="Arial" w:cs="Arial" w:eastAsia="Arial" w:hAnsi="Arial"/>
                <w:sz w:val="16"/>
                <w:szCs w:val="16"/>
                <w:i w:val="1"/>
                <w:iCs w:val="1"/>
                <w:color w:val="auto"/>
              </w:rPr>
              <w:t>Col1a2</w:t>
            </w:r>
            <w:r>
              <w:rPr>
                <w:rFonts w:ascii="Arial" w:cs="Arial" w:eastAsia="Arial" w:hAnsi="Arial"/>
                <w:sz w:val="16"/>
                <w:szCs w:val="16"/>
                <w:color w:val="auto"/>
              </w:rPr>
              <w:t xml:space="preserve"> as well as hydroxyproline in a CDA-HFD NASH mouse</w:t>
            </w:r>
          </w:p>
        </w:tc>
        <w:tc>
          <w:tcPr>
            <w:tcW w:w="40" w:type="dxa"/>
            <w:vAlign w:val="bottom"/>
            <w:shd w:val="clear" w:color="auto" w:fill="4B61A8"/>
          </w:tcPr>
          <w:p>
            <w:pPr>
              <w:spacing w:after="0"/>
              <w:rPr>
                <w:sz w:val="17"/>
                <w:szCs w:val="17"/>
                <w:color w:val="auto"/>
              </w:rPr>
            </w:pPr>
          </w:p>
        </w:tc>
      </w:tr>
      <w:tr>
        <w:trPr>
          <w:trHeight w:val="203"/>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models</w:t>
            </w:r>
          </w:p>
        </w:tc>
        <w:tc>
          <w:tcPr>
            <w:tcW w:w="7540" w:type="dxa"/>
            <w:vAlign w:val="bottom"/>
            <w:gridSpan w:val="2"/>
          </w:tcPr>
          <w:p>
            <w:pPr>
              <w:spacing w:after="0"/>
              <w:rPr>
                <w:sz w:val="20"/>
                <w:szCs w:val="20"/>
                <w:color w:val="auto"/>
              </w:rPr>
            </w:pPr>
            <w:r>
              <w:rPr>
                <w:rFonts w:ascii="Arial" w:cs="Arial" w:eastAsia="Arial" w:hAnsi="Arial"/>
                <w:sz w:val="16"/>
                <w:szCs w:val="16"/>
                <w:color w:val="auto"/>
              </w:rPr>
              <w:t>model</w:t>
            </w:r>
          </w:p>
        </w:tc>
        <w:tc>
          <w:tcPr>
            <w:tcW w:w="40" w:type="dxa"/>
            <w:vAlign w:val="bottom"/>
            <w:shd w:val="clear" w:color="auto" w:fill="4B61A8"/>
          </w:tcPr>
          <w:p>
            <w:pPr>
              <w:spacing w:after="0"/>
              <w:rPr>
                <w:sz w:val="17"/>
                <w:szCs w:val="17"/>
                <w:color w:val="auto"/>
              </w:rPr>
            </w:pPr>
          </w:p>
        </w:tc>
      </w:tr>
      <w:tr>
        <w:trPr>
          <w:trHeight w:val="206"/>
        </w:trPr>
        <w:tc>
          <w:tcPr>
            <w:tcW w:w="3460" w:type="dxa"/>
            <w:vAlign w:val="bottom"/>
            <w:tcBorders>
              <w:left w:val="single" w:sz="8" w:color="4B61A8"/>
              <w:right w:val="single" w:sz="8" w:color="4B61A8"/>
            </w:tcBorders>
          </w:tcPr>
          <w:p>
            <w:pPr>
              <w:spacing w:after="0"/>
              <w:rPr>
                <w:sz w:val="17"/>
                <w:szCs w:val="17"/>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 After one week of treatment with PLN-1474, we observed significant dose-dependent reductions</w:t>
            </w:r>
          </w:p>
        </w:tc>
        <w:tc>
          <w:tcPr>
            <w:tcW w:w="40" w:type="dxa"/>
            <w:vAlign w:val="bottom"/>
            <w:shd w:val="clear" w:color="auto" w:fill="4B61A8"/>
          </w:tcPr>
          <w:p>
            <w:pPr>
              <w:spacing w:after="0"/>
              <w:rPr>
                <w:sz w:val="17"/>
                <w:szCs w:val="17"/>
                <w:color w:val="auto"/>
              </w:rPr>
            </w:pPr>
          </w:p>
        </w:tc>
      </w:tr>
      <w:tr>
        <w:trPr>
          <w:trHeight w:val="219"/>
        </w:trPr>
        <w:tc>
          <w:tcPr>
            <w:tcW w:w="3460" w:type="dxa"/>
            <w:vAlign w:val="bottom"/>
            <w:tcBorders>
              <w:left w:val="single" w:sz="8" w:color="4B61A8"/>
              <w:bottom w:val="single" w:sz="8" w:color="4B61A8"/>
              <w:right w:val="single" w:sz="8" w:color="4B61A8"/>
            </w:tcBorders>
          </w:tcPr>
          <w:p>
            <w:pPr>
              <w:spacing w:after="0"/>
              <w:rPr>
                <w:sz w:val="19"/>
                <w:szCs w:val="19"/>
                <w:color w:val="auto"/>
              </w:rPr>
            </w:pPr>
          </w:p>
        </w:tc>
        <w:tc>
          <w:tcPr>
            <w:tcW w:w="7540" w:type="dxa"/>
            <w:vAlign w:val="bottom"/>
            <w:tcBorders>
              <w:bottom w:val="single" w:sz="8" w:color="4B61A8"/>
            </w:tcBorders>
            <w:gridSpan w:val="2"/>
          </w:tcPr>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Col1a1</w:t>
            </w:r>
            <w:r>
              <w:rPr>
                <w:rFonts w:ascii="Arial" w:cs="Arial" w:eastAsia="Arial" w:hAnsi="Arial"/>
                <w:sz w:val="16"/>
                <w:szCs w:val="16"/>
                <w:color w:val="auto"/>
              </w:rPr>
              <w:t xml:space="preserve">, </w:t>
            </w:r>
            <w:r>
              <w:rPr>
                <w:rFonts w:ascii="Arial" w:cs="Arial" w:eastAsia="Arial" w:hAnsi="Arial"/>
                <w:sz w:val="16"/>
                <w:szCs w:val="16"/>
                <w:i w:val="1"/>
                <w:iCs w:val="1"/>
                <w:color w:val="auto"/>
              </w:rPr>
              <w:t>Col1a2</w:t>
            </w:r>
            <w:r>
              <w:rPr>
                <w:rFonts w:ascii="Arial" w:cs="Arial" w:eastAsia="Arial" w:hAnsi="Arial"/>
                <w:sz w:val="16"/>
                <w:szCs w:val="16"/>
                <w:color w:val="auto"/>
              </w:rPr>
              <w:t xml:space="preserve"> and </w:t>
            </w:r>
            <w:r>
              <w:rPr>
                <w:rFonts w:ascii="Arial" w:cs="Arial" w:eastAsia="Arial" w:hAnsi="Arial"/>
                <w:sz w:val="16"/>
                <w:szCs w:val="16"/>
                <w:i w:val="1"/>
                <w:iCs w:val="1"/>
                <w:color w:val="auto"/>
              </w:rPr>
              <w:t>Col3a1</w:t>
            </w:r>
            <w:r>
              <w:rPr>
                <w:rFonts w:ascii="Arial" w:cs="Arial" w:eastAsia="Arial" w:hAnsi="Arial"/>
                <w:sz w:val="16"/>
                <w:szCs w:val="16"/>
                <w:color w:val="auto"/>
              </w:rPr>
              <w:t xml:space="preserve"> in a CCL4 liver fibrosis mouse model</w:t>
            </w:r>
          </w:p>
        </w:tc>
        <w:tc>
          <w:tcPr>
            <w:tcW w:w="40" w:type="dxa"/>
            <w:vAlign w:val="bottom"/>
            <w:tcBorders>
              <w:bottom w:val="single" w:sz="8" w:color="4B61A8"/>
            </w:tcBorders>
            <w:shd w:val="clear" w:color="auto" w:fill="4B61A8"/>
          </w:tcPr>
          <w:p>
            <w:pPr>
              <w:spacing w:after="0"/>
              <w:rPr>
                <w:sz w:val="19"/>
                <w:szCs w:val="19"/>
                <w:color w:val="auto"/>
              </w:rPr>
            </w:pPr>
          </w:p>
        </w:tc>
      </w:tr>
      <w:tr>
        <w:trPr>
          <w:trHeight w:val="206"/>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PLN-1474 decreased collagen fiber density</w:t>
            </w:r>
          </w:p>
        </w:tc>
        <w:tc>
          <w:tcPr>
            <w:tcW w:w="80" w:type="dxa"/>
            <w:vAlign w:val="bottom"/>
            <w:shd w:val="clear" w:color="auto" w:fill="DBDFED"/>
          </w:tcPr>
          <w:p>
            <w:pPr>
              <w:spacing w:after="0"/>
              <w:rPr>
                <w:sz w:val="20"/>
                <w:szCs w:val="20"/>
                <w:color w:val="auto"/>
              </w:rPr>
            </w:pPr>
            <w:r>
              <w:rPr>
                <w:rFonts w:ascii="Arial" w:cs="Arial" w:eastAsia="Arial" w:hAnsi="Arial"/>
                <w:sz w:val="16"/>
                <w:szCs w:val="16"/>
                <w:color w:val="auto"/>
              </w:rPr>
              <w:t>•</w:t>
            </w:r>
          </w:p>
        </w:tc>
        <w:tc>
          <w:tcPr>
            <w:tcW w:w="7460" w:type="dxa"/>
            <w:vAlign w:val="bottom"/>
            <w:shd w:val="clear" w:color="auto" w:fill="DBDFED"/>
          </w:tcPr>
          <w:p>
            <w:pPr>
              <w:ind w:left="40"/>
              <w:spacing w:after="0"/>
              <w:rPr>
                <w:sz w:val="20"/>
                <w:szCs w:val="20"/>
                <w:color w:val="auto"/>
              </w:rPr>
            </w:pPr>
            <w:r>
              <w:rPr>
                <w:rFonts w:ascii="Arial" w:cs="Arial" w:eastAsia="Arial" w:hAnsi="Arial"/>
                <w:sz w:val="16"/>
                <w:szCs w:val="16"/>
                <w:color w:val="auto"/>
              </w:rPr>
              <w:t>Six weeks of treatment with PLN-1474 utilizing 2nd harmonic generation, resulted in a dose-</w:t>
            </w:r>
          </w:p>
        </w:tc>
        <w:tc>
          <w:tcPr>
            <w:tcW w:w="40" w:type="dxa"/>
            <w:vAlign w:val="bottom"/>
            <w:shd w:val="clear" w:color="auto" w:fill="4B61A8"/>
          </w:tcPr>
          <w:p>
            <w:pPr>
              <w:spacing w:after="0"/>
              <w:rPr>
                <w:sz w:val="17"/>
                <w:szCs w:val="17"/>
                <w:color w:val="auto"/>
              </w:rPr>
            </w:pPr>
          </w:p>
        </w:tc>
      </w:tr>
      <w:tr>
        <w:trPr>
          <w:trHeight w:val="199"/>
        </w:trPr>
        <w:tc>
          <w:tcPr>
            <w:tcW w:w="3460" w:type="dxa"/>
            <w:vAlign w:val="bottom"/>
            <w:tcBorders>
              <w:left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and characteristics via 2nd harmonic</w:t>
            </w:r>
          </w:p>
        </w:tc>
        <w:tc>
          <w:tcPr>
            <w:tcW w:w="7540" w:type="dxa"/>
            <w:vAlign w:val="bottom"/>
            <w:gridSpan w:val="2"/>
            <w:shd w:val="clear" w:color="auto" w:fill="DBDFED"/>
          </w:tcPr>
          <w:p>
            <w:pPr>
              <w:spacing w:after="0"/>
              <w:rPr>
                <w:sz w:val="20"/>
                <w:szCs w:val="20"/>
                <w:color w:val="auto"/>
              </w:rPr>
            </w:pPr>
            <w:r>
              <w:rPr>
                <w:rFonts w:ascii="Arial" w:cs="Arial" w:eastAsia="Arial" w:hAnsi="Arial"/>
                <w:sz w:val="16"/>
                <w:szCs w:val="16"/>
                <w:color w:val="auto"/>
              </w:rPr>
              <w:t>dependent decrease in collagen fiber density and fibrosis composite score in a CDA-HFD</w:t>
            </w:r>
          </w:p>
        </w:tc>
        <w:tc>
          <w:tcPr>
            <w:tcW w:w="40" w:type="dxa"/>
            <w:vAlign w:val="bottom"/>
            <w:shd w:val="clear" w:color="auto" w:fill="4B61A8"/>
          </w:tcPr>
          <w:p>
            <w:pPr>
              <w:spacing w:after="0"/>
              <w:rPr>
                <w:sz w:val="17"/>
                <w:szCs w:val="17"/>
                <w:color w:val="auto"/>
              </w:rPr>
            </w:pPr>
          </w:p>
        </w:tc>
      </w:tr>
      <w:tr>
        <w:trPr>
          <w:trHeight w:val="209"/>
        </w:trPr>
        <w:tc>
          <w:tcPr>
            <w:tcW w:w="3460" w:type="dxa"/>
            <w:vAlign w:val="bottom"/>
            <w:tcBorders>
              <w:left w:val="single" w:sz="8" w:color="4B61A8"/>
              <w:bottom w:val="single" w:sz="8" w:color="4B61A8"/>
              <w:right w:val="single" w:sz="8" w:color="4B61A8"/>
            </w:tcBorders>
            <w:shd w:val="clear" w:color="auto" w:fill="DBDFED"/>
          </w:tcPr>
          <w:p>
            <w:pPr>
              <w:ind w:left="20"/>
              <w:spacing w:after="0"/>
              <w:rPr>
                <w:sz w:val="20"/>
                <w:szCs w:val="20"/>
                <w:color w:val="auto"/>
              </w:rPr>
            </w:pPr>
            <w:r>
              <w:rPr>
                <w:rFonts w:ascii="Arial" w:cs="Arial" w:eastAsia="Arial" w:hAnsi="Arial"/>
                <w:sz w:val="16"/>
                <w:szCs w:val="16"/>
                <w:color w:val="auto"/>
              </w:rPr>
              <w:t>generation analysis in a NASH fibrosis model</w:t>
            </w:r>
          </w:p>
        </w:tc>
        <w:tc>
          <w:tcPr>
            <w:tcW w:w="7540" w:type="dxa"/>
            <w:vAlign w:val="bottom"/>
            <w:tcBorders>
              <w:bottom w:val="single" w:sz="8" w:color="4B61A8"/>
            </w:tcBorders>
            <w:gridSpan w:val="2"/>
            <w:shd w:val="clear" w:color="auto" w:fill="DBDFED"/>
          </w:tcPr>
          <w:p>
            <w:pPr>
              <w:spacing w:after="0"/>
              <w:rPr>
                <w:sz w:val="20"/>
                <w:szCs w:val="20"/>
                <w:color w:val="auto"/>
              </w:rPr>
            </w:pPr>
            <w:r>
              <w:rPr>
                <w:rFonts w:ascii="Arial" w:cs="Arial" w:eastAsia="Arial" w:hAnsi="Arial"/>
                <w:sz w:val="16"/>
                <w:szCs w:val="16"/>
                <w:color w:val="auto"/>
              </w:rPr>
              <w:t>NASH mouse model</w:t>
            </w:r>
          </w:p>
        </w:tc>
        <w:tc>
          <w:tcPr>
            <w:tcW w:w="40" w:type="dxa"/>
            <w:vAlign w:val="bottom"/>
            <w:tcBorders>
              <w:bottom w:val="single" w:sz="8" w:color="4B61A8"/>
            </w:tcBorders>
            <w:shd w:val="clear" w:color="auto" w:fill="4B61A8"/>
          </w:tcPr>
          <w:p>
            <w:pPr>
              <w:spacing w:after="0"/>
              <w:rPr>
                <w:sz w:val="18"/>
                <w:szCs w:val="18"/>
                <w:color w:val="auto"/>
              </w:rPr>
            </w:pPr>
          </w:p>
        </w:tc>
      </w:tr>
      <w:tr>
        <w:trPr>
          <w:trHeight w:val="198"/>
        </w:trPr>
        <w:tc>
          <w:tcPr>
            <w:tcW w:w="3460" w:type="dxa"/>
            <w:vAlign w:val="bottom"/>
            <w:tcBorders>
              <w:left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PLN-1474 potently binds to all conformations</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7460" w:type="dxa"/>
            <w:vAlign w:val="bottom"/>
          </w:tcPr>
          <w:p>
            <w:pPr>
              <w:ind w:left="40"/>
              <w:spacing w:after="0"/>
              <w:rPr>
                <w:sz w:val="20"/>
                <w:szCs w:val="20"/>
                <w:color w:val="auto"/>
              </w:rPr>
            </w:pPr>
            <w:r>
              <w:rPr>
                <w:rFonts w:ascii="Arial" w:cs="Arial" w:eastAsia="Arial" w:hAnsi="Arial"/>
                <w:sz w:val="16"/>
                <w:szCs w:val="16"/>
                <w:color w:val="auto"/>
              </w:rPr>
              <w:t>PLN-1474 binds both bent-closed and extended-open conformations of avß1</w:t>
            </w:r>
          </w:p>
        </w:tc>
        <w:tc>
          <w:tcPr>
            <w:tcW w:w="40" w:type="dxa"/>
            <w:vAlign w:val="bottom"/>
            <w:shd w:val="clear" w:color="auto" w:fill="4B61A8"/>
          </w:tcPr>
          <w:p>
            <w:pPr>
              <w:spacing w:after="0"/>
              <w:rPr>
                <w:sz w:val="17"/>
                <w:szCs w:val="17"/>
                <w:color w:val="auto"/>
              </w:rPr>
            </w:pPr>
          </w:p>
        </w:tc>
      </w:tr>
      <w:tr>
        <w:trPr>
          <w:trHeight w:val="230"/>
        </w:trPr>
        <w:tc>
          <w:tcPr>
            <w:tcW w:w="3460" w:type="dxa"/>
            <w:vAlign w:val="bottom"/>
            <w:tcBorders>
              <w:left w:val="single" w:sz="8" w:color="4B61A8"/>
              <w:bottom w:val="single" w:sz="8" w:color="4B61A8"/>
              <w:right w:val="single" w:sz="8" w:color="4B61A8"/>
            </w:tcBorders>
          </w:tcPr>
          <w:p>
            <w:pPr>
              <w:ind w:left="20"/>
              <w:spacing w:after="0"/>
              <w:rPr>
                <w:sz w:val="20"/>
                <w:szCs w:val="20"/>
                <w:color w:val="auto"/>
              </w:rPr>
            </w:pPr>
            <w:r>
              <w:rPr>
                <w:rFonts w:ascii="Arial" w:cs="Arial" w:eastAsia="Arial" w:hAnsi="Arial"/>
                <w:sz w:val="16"/>
                <w:szCs w:val="16"/>
                <w:color w:val="auto"/>
              </w:rPr>
              <w:t xml:space="preserve">of </w:t>
            </w:r>
            <w:r>
              <w:rPr>
                <w:rFonts w:ascii="Arial" w:cs="Arial" w:eastAsia="Arial" w:hAnsi="Arial"/>
                <w:sz w:val="17"/>
                <w:szCs w:val="17"/>
                <w:color w:val="auto"/>
              </w:rPr>
              <w:t>α</w:t>
            </w:r>
            <w:r>
              <w:rPr>
                <w:rFonts w:ascii="Arial" w:cs="Arial" w:eastAsia="Arial" w:hAnsi="Arial"/>
                <w:sz w:val="15"/>
                <w:szCs w:val="15"/>
                <w:color w:val="auto"/>
              </w:rPr>
              <w:t>v</w:t>
            </w:r>
            <w:r>
              <w:rPr>
                <w:rFonts w:ascii="Arial" w:cs="Arial" w:eastAsia="Arial" w:hAnsi="Arial"/>
                <w:sz w:val="17"/>
                <w:szCs w:val="17"/>
                <w:color w:val="auto"/>
              </w:rPr>
              <w:t>β</w:t>
            </w:r>
            <w:r>
              <w:rPr>
                <w:rFonts w:ascii="Arial" w:cs="Arial" w:eastAsia="Arial" w:hAnsi="Arial"/>
                <w:sz w:val="15"/>
                <w:szCs w:val="15"/>
                <w:color w:val="auto"/>
              </w:rPr>
              <w:t>1</w:t>
            </w:r>
          </w:p>
        </w:tc>
        <w:tc>
          <w:tcPr>
            <w:tcW w:w="80" w:type="dxa"/>
            <w:vAlign w:val="bottom"/>
            <w:tcBorders>
              <w:bottom w:val="single" w:sz="8" w:color="4B61A8"/>
            </w:tcBorders>
          </w:tcPr>
          <w:p>
            <w:pPr>
              <w:spacing w:after="0"/>
              <w:rPr>
                <w:sz w:val="20"/>
                <w:szCs w:val="20"/>
                <w:color w:val="auto"/>
              </w:rPr>
            </w:pPr>
          </w:p>
        </w:tc>
        <w:tc>
          <w:tcPr>
            <w:tcW w:w="7460" w:type="dxa"/>
            <w:vAlign w:val="bottom"/>
            <w:tcBorders>
              <w:bottom w:val="single" w:sz="8" w:color="4B61A8"/>
            </w:tcBorders>
          </w:tcPr>
          <w:p>
            <w:pPr>
              <w:spacing w:after="0"/>
              <w:rPr>
                <w:sz w:val="20"/>
                <w:szCs w:val="20"/>
                <w:color w:val="auto"/>
              </w:rPr>
            </w:pPr>
          </w:p>
        </w:tc>
        <w:tc>
          <w:tcPr>
            <w:tcW w:w="40" w:type="dxa"/>
            <w:vAlign w:val="bottom"/>
            <w:tcBorders>
              <w:bottom w:val="single" w:sz="8" w:color="4B61A8"/>
            </w:tcBorders>
            <w:shd w:val="clear" w:color="auto" w:fill="4B61A8"/>
          </w:tcPr>
          <w:p>
            <w:pPr>
              <w:spacing w:after="0"/>
              <w:rPr>
                <w:sz w:val="20"/>
                <w:szCs w:val="20"/>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and TGF-</w:t>
      </w:r>
      <w:r>
        <w:rPr>
          <w:rFonts w:ascii="Arial" w:cs="Arial" w:eastAsia="Arial" w:hAnsi="Arial"/>
          <w:sz w:val="18"/>
          <w:szCs w:val="18"/>
          <w:color w:val="auto"/>
        </w:rPr>
        <w:t xml:space="preserve">ß </w:t>
      </w:r>
      <w:r>
        <w:rPr>
          <w:rFonts w:ascii="Arial" w:cs="Arial" w:eastAsia="Arial" w:hAnsi="Arial"/>
          <w:sz w:val="18"/>
          <w:szCs w:val="18"/>
          <w:i w:val="1"/>
          <w:iCs w:val="1"/>
          <w:color w:val="auto"/>
        </w:rPr>
        <w:t>activation are upregulated in human F4 NASH liver biopsies</w:t>
      </w:r>
    </w:p>
    <w:p>
      <w:pPr>
        <w:spacing w:after="0" w:line="198" w:lineRule="exact"/>
        <w:rPr>
          <w:sz w:val="20"/>
          <w:szCs w:val="20"/>
          <w:color w:val="auto"/>
        </w:rPr>
      </w:pPr>
    </w:p>
    <w:p>
      <w:pPr>
        <w:ind w:right="320" w:firstLine="501"/>
        <w:spacing w:after="0" w:line="342" w:lineRule="auto"/>
        <w:rPr>
          <w:sz w:val="20"/>
          <w:szCs w:val="20"/>
          <w:color w:val="auto"/>
        </w:rPr>
      </w:pPr>
      <w:r>
        <w:rPr>
          <w:rFonts w:ascii="Arial" w:cs="Arial" w:eastAsia="Arial" w:hAnsi="Arial"/>
          <w:sz w:val="16"/>
          <w:szCs w:val="16"/>
          <w:color w:val="auto"/>
        </w:rPr>
        <w:t>We measured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protein expression and pSMAD3 levels in a group of late-stage liver fibrosis biopsies. In F4 biopsies,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was significantly overexpressed relative to F0/F1 biopsies. Similarly, the pSMAD3 levels were also significantly elevated in F4 biopsies compared to F0/F1.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87630</wp:posOffset>
            </wp:positionV>
            <wp:extent cx="4474845" cy="1577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7484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and pSMAD3 levels are both upregulated in F4 liver fibrosis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PLN-1474 is associated with anti-fibrotic activity in live human fibrotic NASH liver tissue</w:t>
      </w:r>
    </w:p>
    <w:p>
      <w:pPr>
        <w:spacing w:after="0" w:line="185"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 xml:space="preserve">We assessed the anti-fibrotic activity of PLN-1474 in live human NASH liver tissue. Precision cut tissue slices from multiple F4 NASH livers treated with PLN-1474 exhibited a mean 50 percent reduction in the levels of </w:t>
      </w:r>
      <w:r>
        <w:rPr>
          <w:rFonts w:ascii="Arial" w:cs="Arial" w:eastAsia="Arial" w:hAnsi="Arial"/>
          <w:sz w:val="16"/>
          <w:szCs w:val="16"/>
          <w:i w:val="1"/>
          <w:iCs w:val="1"/>
          <w:color w:val="auto"/>
        </w:rPr>
        <w:t>COL1A1</w:t>
      </w:r>
      <w:r>
        <w:rPr>
          <w:rFonts w:ascii="Arial" w:cs="Arial" w:eastAsia="Arial" w:hAnsi="Arial"/>
          <w:sz w:val="16"/>
          <w:szCs w:val="16"/>
          <w:color w:val="auto"/>
        </w:rPr>
        <w:t xml:space="preserve"> expression compared to vehicle treated controls. In the PLN-1474 treated tissue slices, we also saw a significant reduction in the gene expression of </w:t>
      </w:r>
      <w:r>
        <w:rPr>
          <w:rFonts w:ascii="Arial" w:cs="Arial" w:eastAsia="Arial" w:hAnsi="Arial"/>
          <w:sz w:val="16"/>
          <w:szCs w:val="16"/>
          <w:i w:val="1"/>
          <w:iCs w:val="1"/>
          <w:color w:val="auto"/>
        </w:rPr>
        <w:t>TIMP1</w:t>
      </w:r>
      <w:r>
        <w:rPr>
          <w:rFonts w:ascii="Arial" w:cs="Arial" w:eastAsia="Arial" w:hAnsi="Arial"/>
          <w:sz w:val="16"/>
          <w:szCs w:val="16"/>
          <w:color w:val="auto"/>
        </w:rPr>
        <w:t>, which encodes the tissue inhibitor of metallopeptidase, or TIMP-</w:t>
      </w:r>
    </w:p>
    <w:p>
      <w:pPr>
        <w:spacing w:after="0" w:line="2" w:lineRule="exact"/>
        <w:rPr>
          <w:sz w:val="20"/>
          <w:szCs w:val="20"/>
          <w:color w:val="auto"/>
        </w:rPr>
      </w:pPr>
    </w:p>
    <w:p>
      <w:pPr>
        <w:ind w:right="160" w:firstLine="8"/>
        <w:spacing w:after="0" w:line="260"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recent study, TIMP-1 was shown to be a strong predictor of all-cause mortality in patients with fibrosis. TIMP-1 is one of the three components of the Enhanced Liver Fibrosis, or ELF, score, a non-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invasive clinical diagnostic test to assess the likelihood of having clinically significant fibrosis. These results suggest that selective inhibition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could have clinically meaningful anti-fibrotic activity in NASH patients with advanced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117475</wp:posOffset>
            </wp:positionV>
            <wp:extent cx="4474845" cy="1851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7484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PLN-1474 significantly reduced </w:t>
      </w:r>
      <w:r>
        <w:rPr>
          <w:rFonts w:ascii="Arial" w:cs="Arial" w:eastAsia="Arial" w:hAnsi="Arial"/>
          <w:sz w:val="18"/>
          <w:szCs w:val="18"/>
          <w:b w:val="1"/>
          <w:bCs w:val="1"/>
          <w:i w:val="1"/>
          <w:iCs w:val="1"/>
          <w:color w:val="auto"/>
        </w:rPr>
        <w:t>COL1A1</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TIMP1</w:t>
      </w:r>
      <w:r>
        <w:rPr>
          <w:rFonts w:ascii="Arial" w:cs="Arial" w:eastAsia="Arial" w:hAnsi="Arial"/>
          <w:sz w:val="18"/>
          <w:szCs w:val="18"/>
          <w:b w:val="1"/>
          <w:bCs w:val="1"/>
          <w:color w:val="auto"/>
        </w:rPr>
        <w:t xml:space="preserve"> gene expression in human NASH liver tissue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PLN-1474 resulted in a decrease in expression levels of a broad panel of pro-fibrotic genes in an abbreviated mouse model of NASH</w:t>
      </w:r>
    </w:p>
    <w:p>
      <w:pPr>
        <w:spacing w:after="0" w:line="185" w:lineRule="exact"/>
        <w:rPr>
          <w:sz w:val="20"/>
          <w:szCs w:val="20"/>
          <w:color w:val="auto"/>
        </w:rPr>
      </w:pPr>
    </w:p>
    <w:p>
      <w:pPr>
        <w:ind w:right="540" w:firstLine="501"/>
        <w:spacing w:after="0" w:line="308" w:lineRule="auto"/>
        <w:rPr>
          <w:sz w:val="20"/>
          <w:szCs w:val="20"/>
          <w:color w:val="auto"/>
        </w:rPr>
      </w:pPr>
      <w:r>
        <w:rPr>
          <w:rFonts w:ascii="Arial" w:cs="Arial" w:eastAsia="Arial" w:hAnsi="Arial"/>
          <w:sz w:val="17"/>
          <w:szCs w:val="17"/>
          <w:color w:val="auto"/>
        </w:rPr>
        <w:t>Mice were treated prophylactically with PLN-1474 for 3 weeks in an abbreviated CDA-HFD mouse NASH fibrosis model. A broad panel of profibrotic genes showed decreased expression in mice treated with PLN-1474 relative to mice that were treated with a vehicle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Profibrotic Gene Expression After Treatment with PLN-1474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154305</wp:posOffset>
            </wp:positionV>
            <wp:extent cx="2263140" cy="2486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631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Treatment with PLN-1474 resulted in decreased expression of a broad set of profibrotic genes in a CDA-HFD mouse NASH liver fibrosis model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PLN-1474 showed dose-dependent reduction of fibrosis in NASH and liver fibrosis mouse models</w:t>
      </w:r>
    </w:p>
    <w:p>
      <w:pPr>
        <w:spacing w:after="0" w:line="198"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 xml:space="preserve">We tested the ability of PLN-1474 to inhibit fibrosis in a mouse model of NASH induced by a choline-deficient high fat diet. Treatment of these mice for six weeks, beginning at week five of the high fat diet, resulted in a dose-dependent reduction in collagen production as measured by hydroxyproline levels compared to vehicle-treated controls. Similar dose-dependent decreases in the expression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genes and picrosirius red staining, a histologic marker for fibrosis, were observed after treatment with PLN-1474. Treatment with PLN-1474 also led to decreases in pSMAD3 levels indicating that PLN-1474 was able to block TGF-ß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128270</wp:posOffset>
            </wp:positionV>
            <wp:extent cx="4389120" cy="1354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8912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PLN-1474 inhibits fibrosis in NASH fibrosis model</w:t>
      </w:r>
    </w:p>
    <w:p>
      <w:pPr>
        <w:spacing w:after="0" w:line="189"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PLN-1474 also inhibited fibrosis in an acute CCl4 model of liver fibrosis. In this model, liver fibrosis in mice is induced by two weeks of exposure to CCl4. Treatment with PLN-1474 for one week reduced the expression of Col1a1, Col1a2 and Col3a1 compared to vehicle-treated controls. Treatment with PLN-1474 also reduced TGF-ß signaling to baseline levels as measured by pSMAD3 levels.</w:t>
      </w:r>
    </w:p>
    <w:p>
      <w:pPr>
        <w:spacing w:after="0" w:line="157" w:lineRule="exact"/>
        <w:rPr>
          <w:sz w:val="20"/>
          <w:szCs w:val="20"/>
          <w:color w:val="auto"/>
        </w:rPr>
      </w:pPr>
    </w:p>
    <w:p>
      <w:pPr>
        <w:ind w:right="140" w:firstLine="501"/>
        <w:spacing w:after="0" w:line="286" w:lineRule="auto"/>
        <w:rPr>
          <w:sz w:val="20"/>
          <w:szCs w:val="20"/>
          <w:color w:val="auto"/>
        </w:rPr>
      </w:pPr>
      <w:r>
        <w:rPr>
          <w:rFonts w:ascii="Arial" w:cs="Arial" w:eastAsia="Arial" w:hAnsi="Arial"/>
          <w:sz w:val="17"/>
          <w:szCs w:val="17"/>
          <w:color w:val="auto"/>
        </w:rPr>
        <w:t>In the chronic version of the CCL4 model, fibrosis is induced by 21 days of exposure to CCl4. Treatment of these mice with PLN-1474 resulted in significant reductions in the expression of collagen genes beginning as soon as two hours after dosing. These results suggest that PLN-1474 has the potential to lead to significant and rapid changes in fibrosis even in livers containing extensive and established fibrotic lesions.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114300</wp:posOffset>
            </wp:positionV>
            <wp:extent cx="2691765" cy="1962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176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PLN-1474 inhibited collagen expression in a chronic CCl4 liver fibrosis model</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PLN-1474 decreased collagen fiber density and characteristics via second-harmonic generation analysis in a NASH fibrosis model</w:t>
      </w:r>
    </w:p>
    <w:p>
      <w:pPr>
        <w:spacing w:after="0" w:line="198" w:lineRule="exact"/>
        <w:rPr>
          <w:sz w:val="20"/>
          <w:szCs w:val="20"/>
          <w:color w:val="auto"/>
        </w:rPr>
      </w:pPr>
    </w:p>
    <w:p>
      <w:pPr>
        <w:jc w:val="both"/>
        <w:ind w:right="400" w:firstLine="501"/>
        <w:spacing w:after="0" w:line="263" w:lineRule="auto"/>
        <w:rPr>
          <w:sz w:val="20"/>
          <w:szCs w:val="20"/>
          <w:color w:val="auto"/>
        </w:rPr>
      </w:pPr>
      <w:r>
        <w:rPr>
          <w:rFonts w:ascii="Arial" w:cs="Arial" w:eastAsia="Arial" w:hAnsi="Arial"/>
          <w:sz w:val="18"/>
          <w:szCs w:val="18"/>
          <w:color w:val="auto"/>
        </w:rPr>
        <w:t>We evaluated three doses of PLN-1474 in a NASH fibrosis mouse model utilizing second-harmonic generation to evaluate the amount of new collagen formation ongoing post-treatment with PLN-1474. We evaluated a range of doses against placebo in a NASH fibrosis model and saw a dose-dependent reduction in collagen fiber density and fibrosis composite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125730</wp:posOffset>
            </wp:positionV>
            <wp:extent cx="3771900" cy="1954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719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80" w:right="260"/>
        <w:spacing w:after="0" w:line="282" w:lineRule="auto"/>
        <w:rPr>
          <w:sz w:val="20"/>
          <w:szCs w:val="20"/>
          <w:color w:val="auto"/>
        </w:rPr>
      </w:pPr>
      <w:r>
        <w:rPr>
          <w:rFonts w:ascii="Arial" w:cs="Arial" w:eastAsia="Arial" w:hAnsi="Arial"/>
          <w:sz w:val="18"/>
          <w:szCs w:val="18"/>
          <w:b w:val="1"/>
          <w:bCs w:val="1"/>
          <w:color w:val="auto"/>
        </w:rPr>
        <w:t>PLN-1474 resulted in a dose-dependent decrease in collagen fiber density in a NASH fibrosis model as measured through second-harmonic generation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PLN-1474 potently binds to all conformations of </w:t>
      </w:r>
      <w:r>
        <w:rPr>
          <w:rFonts w:ascii="Arial" w:cs="Arial" w:eastAsia="Arial" w:hAnsi="Arial"/>
          <w:sz w:val="18"/>
          <w:szCs w:val="18"/>
          <w:color w:val="auto"/>
        </w:rPr>
        <w:t>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p>
    <w:p>
      <w:pPr>
        <w:spacing w:after="0" w:line="198"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Similar to our observations with PLN-74809, we have shown that PLN-1474 binds to both the higher-affinity, extended open conformation of integrin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as well as the lower-affinity, bent closed conformation and thus has the potential to block integrin interactions regardless of the state of the receptor.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PLN-1474</w:t>
      </w:r>
    </w:p>
    <w:p>
      <w:pPr>
        <w:spacing w:after="0" w:line="185"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We have completed a Phase 1 first-in-human trial of PLN-1474 in healthy volunteers. The trial of PLN-1474 was a randomized, double-blind, placebo-controlled dose escalation trial that enrolled 84 healthy volunteers across single ascending dose and multiple ascending dose cohorts evaluating safety and tolerability as well as PK. Results showed that PLN-1474 was rapidly absorbed and generally well tolerated with no dose- or treatment-limiting toxicities. Adverse events were mostly mild with no severe or serious adverse events observed. In preclinical studies, PLN-1474 was observed to selectively block the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 mediated activation of TGF-β, reducing fibrosis in the liver. The PLN-1474 IND application was transferred to Novartis in the first quarter of 2021. Novartis will be responsible for all future development, manufacturing and commercialization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Applying our fibrosis expertise in developing additional products</w:t>
      </w:r>
    </w:p>
    <w:p>
      <w:pPr>
        <w:spacing w:after="0" w:line="189" w:lineRule="exact"/>
        <w:rPr>
          <w:sz w:val="20"/>
          <w:szCs w:val="20"/>
          <w:color w:val="auto"/>
        </w:rPr>
      </w:pPr>
    </w:p>
    <w:p>
      <w:pPr>
        <w:jc w:val="both"/>
        <w:ind w:right="640" w:firstLine="501"/>
        <w:spacing w:after="0" w:line="263" w:lineRule="auto"/>
        <w:rPr>
          <w:sz w:val="20"/>
          <w:szCs w:val="20"/>
          <w:color w:val="auto"/>
        </w:rPr>
      </w:pPr>
      <w:r>
        <w:rPr>
          <w:rFonts w:ascii="Arial" w:cs="Arial" w:eastAsia="Arial" w:hAnsi="Arial"/>
          <w:sz w:val="18"/>
          <w:szCs w:val="18"/>
          <w:color w:val="auto"/>
        </w:rPr>
        <w:t>We are pursuing potential uses of our existing product candidates, PLN-74809 and PLN-1474, in additional fibrotic indications. We use our precision cut human fibrotic tissue assays in addition to our animal model data to inform our clinical development programs and potentially select additional indications where we think our pipeline candidates could have an effect.</w:t>
      </w:r>
    </w:p>
    <w:p>
      <w:pPr>
        <w:spacing w:after="0" w:line="143"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Our mission is to advance the understanding of fibrosis by building a biology-, chemistry- and screening-based engine to drive drug development across the spectrum of fibrotic diseases. While our initial focus is on small-molecule integrin inhibitors in lung and liver fibrosis, we are actively pursuing additional treatment modalities across fibrosis indications in multiple different organs. We have identified other potential non-integrin targets related to TGF-ß signaling as well as other pathways across multiple fibrosis indications, such as regulators of epithelial-to-mesenchymal transition, a critical process in fibrosis. In addition, while our initial focus is on small-molecule drug candidates, we are agnostic to treatment modalities in the development of our pipeline.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oncology program-TGF-ß signaling in the tumor microenvironment</w:t>
      </w:r>
    </w:p>
    <w:p>
      <w:pPr>
        <w:spacing w:after="0" w:line="185" w:lineRule="exact"/>
        <w:rPr>
          <w:sz w:val="20"/>
          <w:szCs w:val="20"/>
          <w:color w:val="auto"/>
        </w:rPr>
      </w:pPr>
    </w:p>
    <w:p>
      <w:pPr>
        <w:ind w:right="80" w:firstLine="501"/>
        <w:spacing w:after="0" w:line="275" w:lineRule="auto"/>
        <w:rPr>
          <w:sz w:val="20"/>
          <w:szCs w:val="20"/>
          <w:color w:val="auto"/>
        </w:rPr>
      </w:pPr>
      <w:r>
        <w:rPr>
          <w:rFonts w:ascii="Arial" w:cs="Arial" w:eastAsia="Arial" w:hAnsi="Arial"/>
          <w:sz w:val="17"/>
          <w:szCs w:val="17"/>
          <w:color w:val="auto"/>
        </w:rPr>
        <w:t>Over the past several years, the checkpoint inhibitor class of immuno-oncology drugs has changed the way many cancers are treated. Checkpoint inhibitors work to block signals that prevent the body’s immune system from recognizing tumor cells. By blocking checkpoint signals such as PD-1, these drugs have the ability to sensitize T-cells, allowing them to recognize and kill tumor cells. While checkpoint inhibitors have led to dramatic improvements in survival rates for certain cancer indications, there are still a significant proportion of patients who do not respond to the drugs. Much effort is being devoted to understanding the root causes of checkpoint inhibitor resistance.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35" w:name="page36"/>
    <w:bookmarkEnd w:id="35"/>
    <w:p>
      <w:pPr>
        <w:ind w:firstLine="501"/>
        <w:spacing w:after="0" w:line="270" w:lineRule="auto"/>
        <w:rPr>
          <w:sz w:val="20"/>
          <w:szCs w:val="20"/>
          <w:color w:val="auto"/>
        </w:rPr>
      </w:pPr>
      <w:r>
        <w:rPr>
          <w:rFonts w:ascii="Arial" w:cs="Arial" w:eastAsia="Arial" w:hAnsi="Arial"/>
          <w:sz w:val="17"/>
          <w:szCs w:val="17"/>
          <w:color w:val="auto"/>
        </w:rPr>
        <w:t>As TGF-ß biology has been elucidated, it has become increasingly understood in the scientific literature that TGF-ß plays an important anti-inflammatory role in the tumor microenvironment. One of TGF-ß’s core physiologic roles is an anti-inflammatory effect that it provides in the wound healing process. In the tumor microenvironment, however, certain integrins, such as α</w:t>
      </w:r>
      <w:r>
        <w:rPr>
          <w:rFonts w:ascii="Arial" w:cs="Arial" w:eastAsia="Arial" w:hAnsi="Arial"/>
          <w:sz w:val="14"/>
          <w:szCs w:val="14"/>
          <w:color w:val="auto"/>
        </w:rPr>
        <w:t>v</w:t>
      </w:r>
      <w:r>
        <w:rPr>
          <w:rFonts w:ascii="Arial" w:cs="Arial" w:eastAsia="Arial" w:hAnsi="Arial"/>
          <w:sz w:val="17"/>
          <w:szCs w:val="17"/>
          <w:color w:val="auto"/>
        </w:rPr>
        <w:t>β</w:t>
      </w:r>
      <w:r>
        <w:rPr>
          <w:rFonts w:ascii="Arial" w:cs="Arial" w:eastAsia="Arial" w:hAnsi="Arial"/>
          <w:sz w:val="14"/>
          <w:szCs w:val="14"/>
          <w:color w:val="auto"/>
        </w:rPr>
        <w:t>8</w:t>
      </w:r>
      <w:r>
        <w:rPr>
          <w:rFonts w:ascii="Arial" w:cs="Arial" w:eastAsia="Arial" w:hAnsi="Arial"/>
          <w:sz w:val="17"/>
          <w:szCs w:val="17"/>
          <w:color w:val="auto"/>
        </w:rPr>
        <w:t>, can be overexpressed on multiple different cell types, resulting in increased activation, and signaling of TGF-ß. This over activation of TGF-ß can lead to a strong anti-inflammatory effect in the tumor microenvironment, resulting in decreased T-cell infiltration and decreased release of pro-inflammatory cytokines such as granzyme B and interferon g. This mechanism is becoming increasingly recognized as a potential cause of the resistance to checkpoint inhibitors such as anti-PD-1 therapies seen in many tumors. We are targeting TGF-ß activating integrins such as avß8 that are upregulated in certain tumors with the goal of removing the anti-inflammatory effect and, ultimately, sensitizing tumors to checkpoint inhibitors. This program has generated positive data in preclinical tumor models and our candidate is currently undergoing IND-enabling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123825</wp:posOffset>
            </wp:positionV>
            <wp:extent cx="4474845" cy="1971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748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Integrin Upregulation in the Tumor Microenvironment</w:t>
      </w:r>
    </w:p>
    <w:p>
      <w:pPr>
        <w:spacing w:after="0" w:line="189" w:lineRule="exact"/>
        <w:rPr>
          <w:sz w:val="20"/>
          <w:szCs w:val="20"/>
          <w:color w:val="auto"/>
        </w:rPr>
      </w:pPr>
    </w:p>
    <w:p>
      <w:pPr>
        <w:ind w:right="80" w:firstLine="501"/>
        <w:spacing w:after="0" w:line="266" w:lineRule="auto"/>
        <w:rPr>
          <w:sz w:val="20"/>
          <w:szCs w:val="20"/>
          <w:color w:val="auto"/>
        </w:rPr>
      </w:pPr>
      <w:r>
        <w:rPr>
          <w:rFonts w:ascii="Arial" w:cs="Arial" w:eastAsia="Arial" w:hAnsi="Arial"/>
          <w:sz w:val="18"/>
          <w:szCs w:val="18"/>
          <w:color w:val="auto"/>
        </w:rPr>
        <w:t>We are developing small molecule inhibitors against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8</w:t>
      </w:r>
      <w:r>
        <w:rPr>
          <w:rFonts w:ascii="Arial" w:cs="Arial" w:eastAsia="Arial" w:hAnsi="Arial"/>
          <w:sz w:val="18"/>
          <w:szCs w:val="18"/>
          <w:color w:val="auto"/>
        </w:rPr>
        <w:t xml:space="preserve"> as well as other TGF-ß-activating integrins that have been shown to be upregulated in the tumor microenvironment. We have shown in an EMT6 anti-PD-1 resistant tumor mouse model that our small molecule inhibitors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8</w:t>
      </w:r>
      <w:r>
        <w:rPr>
          <w:rFonts w:ascii="Arial" w:cs="Arial" w:eastAsia="Arial" w:hAnsi="Arial"/>
          <w:sz w:val="18"/>
          <w:szCs w:val="18"/>
          <w:color w:val="auto"/>
        </w:rPr>
        <w:t>-mediated TGF-ß activation are able to sensitize tumors to anti-PD-1 therapy and extend survival. Additionally, our molecules perform similarly to monoclonal antibodies against the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8</w:t>
      </w:r>
      <w:r>
        <w:rPr>
          <w:rFonts w:ascii="Arial" w:cs="Arial" w:eastAsia="Arial" w:hAnsi="Arial"/>
          <w:sz w:val="18"/>
          <w:szCs w:val="18"/>
          <w:color w:val="auto"/>
        </w:rPr>
        <w:t xml:space="preserve"> integrin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112395</wp:posOffset>
            </wp:positionV>
            <wp:extent cx="3840480" cy="1594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4048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Small Molecule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8</w:t>
      </w:r>
      <w:r>
        <w:rPr>
          <w:rFonts w:ascii="Arial" w:cs="Arial" w:eastAsia="Arial" w:hAnsi="Arial"/>
          <w:sz w:val="18"/>
          <w:szCs w:val="18"/>
          <w:b w:val="1"/>
          <w:bCs w:val="1"/>
          <w:color w:val="auto"/>
        </w:rPr>
        <w:t xml:space="preserve"> Inhibitors Enhanced PD-1 Activity in an EMT6 Anti-PD-1 Resistant Mouse Tumor Model</w:t>
      </w:r>
    </w:p>
    <w:p>
      <w:pPr>
        <w:spacing w:after="0" w:line="202" w:lineRule="exact"/>
        <w:rPr>
          <w:sz w:val="20"/>
          <w:szCs w:val="20"/>
          <w:color w:val="auto"/>
        </w:rPr>
      </w:pPr>
    </w:p>
    <w:p>
      <w:pPr>
        <w:ind w:right="540" w:firstLine="501"/>
        <w:spacing w:after="0" w:line="277" w:lineRule="auto"/>
        <w:rPr>
          <w:sz w:val="20"/>
          <w:szCs w:val="20"/>
          <w:color w:val="auto"/>
        </w:rPr>
      </w:pPr>
      <w:r>
        <w:rPr>
          <w:rFonts w:ascii="Arial" w:cs="Arial" w:eastAsia="Arial" w:hAnsi="Arial"/>
          <w:sz w:val="18"/>
          <w:szCs w:val="18"/>
          <w:color w:val="auto"/>
        </w:rPr>
        <w:t>We are currently in preclinical stage of our oncology program developing small molecule inhibitors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8</w:t>
      </w:r>
      <w:r>
        <w:rPr>
          <w:rFonts w:ascii="Arial" w:cs="Arial" w:eastAsia="Arial" w:hAnsi="Arial"/>
          <w:sz w:val="18"/>
          <w:szCs w:val="18"/>
          <w:color w:val="auto"/>
        </w:rPr>
        <w:t xml:space="preserve"> targeting multiple potential PD-1 resistant tumor types.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Muscular Dystrophy Program</w:t>
      </w:r>
    </w:p>
    <w:p>
      <w:pPr>
        <w:spacing w:after="0" w:line="185" w:lineRule="exact"/>
        <w:rPr>
          <w:sz w:val="20"/>
          <w:szCs w:val="20"/>
          <w:color w:val="auto"/>
        </w:rPr>
      </w:pPr>
    </w:p>
    <w:p>
      <w:pPr>
        <w:ind w:right="80" w:firstLine="501"/>
        <w:spacing w:after="0" w:line="296" w:lineRule="auto"/>
        <w:rPr>
          <w:sz w:val="20"/>
          <w:szCs w:val="20"/>
          <w:color w:val="auto"/>
        </w:rPr>
      </w:pPr>
      <w:r>
        <w:rPr>
          <w:rFonts w:ascii="Arial" w:cs="Arial" w:eastAsia="Arial" w:hAnsi="Arial"/>
          <w:sz w:val="16"/>
          <w:szCs w:val="16"/>
          <w:color w:val="auto"/>
        </w:rPr>
        <w:t>Muscular Dystrophy comprises a group of inherited diseases, all characterized by inborn errors in dystrophin, a protein that anchors muscle cells to the extracellular matrix, or ECM, and facilitates contraction of skeletal muscles. Mutations in the gene that codes for dystrophin can cause the dystrophin protein to be misshapen and ineffective in anchoring the muscle cell to the extracellular matrix. The lack of dystrophin anchoring results in damage to skeletal muscle cells upon contraction. Over time, muscle cells are unable to regenerate, and are eventually replaced by fat and fibrosis, resulting in loss of muscle function. Severe forms of muscular dystrophy cause progressive weakening of the heart and diaphragm, leading to death.</w:t>
      </w:r>
    </w:p>
    <w:p>
      <w:pPr>
        <w:spacing w:after="0" w:line="134" w:lineRule="exact"/>
        <w:rPr>
          <w:sz w:val="20"/>
          <w:szCs w:val="20"/>
          <w:color w:val="auto"/>
        </w:rPr>
      </w:pPr>
    </w:p>
    <w:p>
      <w:pPr>
        <w:ind w:right="220" w:firstLine="501"/>
        <w:spacing w:after="0" w:line="263" w:lineRule="auto"/>
        <w:rPr>
          <w:sz w:val="20"/>
          <w:szCs w:val="20"/>
          <w:color w:val="auto"/>
        </w:rPr>
      </w:pPr>
      <w:r>
        <w:rPr>
          <w:rFonts w:ascii="Arial" w:cs="Arial" w:eastAsia="Arial" w:hAnsi="Arial"/>
          <w:sz w:val="18"/>
          <w:szCs w:val="18"/>
          <w:color w:val="auto"/>
        </w:rPr>
        <w:t>The most common form of muscular dystrophy is Duchenne muscular dystrophy, or DMD, which affects 1 in 3,500 boys worldwide. Disease progression varies, usually presenting with muscle weakness around age four. Most DMD patients need a wheelchair by age 12, with most dying in their 20’s. DMD is caused by mutations to the DMD gene, which codes for dystrophin.</w:t>
      </w:r>
    </w:p>
    <w:p>
      <w:pPr>
        <w:spacing w:after="0" w:line="143" w:lineRule="exact"/>
        <w:rPr>
          <w:sz w:val="20"/>
          <w:szCs w:val="20"/>
          <w:color w:val="auto"/>
        </w:rPr>
      </w:pPr>
    </w:p>
    <w:p>
      <w:pPr>
        <w:ind w:right="200" w:firstLine="501"/>
        <w:spacing w:after="0" w:line="255" w:lineRule="auto"/>
        <w:rPr>
          <w:sz w:val="20"/>
          <w:szCs w:val="20"/>
          <w:color w:val="auto"/>
        </w:rPr>
      </w:pPr>
      <w:r>
        <w:rPr>
          <w:rFonts w:ascii="Arial" w:cs="Arial" w:eastAsia="Arial" w:hAnsi="Arial"/>
          <w:sz w:val="18"/>
          <w:szCs w:val="18"/>
          <w:color w:val="auto"/>
        </w:rPr>
        <w:t>Treatment for DMD is mostly focused on mitigating the symptoms. Aggressive management of dilated cardiomyopathy with anti-congestive medications is used, including cardiac transplantation in severe cases. Assistive devices for respiratory complications may be needed, especially at night. The steroid prednisone is given to improve the strength and function of individuals with DMD. Prednisone has been shown to prolong the ability to walk by 2 to 5 years. While a new treatment, etiplirsen, was recently approved in a subset of patients, this remains an area of tremendous unmet medical need. There are a number of novel modalities such as gene therapy and CRISPR being explored as potential treatments for DMD, but they remain years from approval.</w:t>
      </w:r>
    </w:p>
    <w:p>
      <w:pPr>
        <w:spacing w:after="0" w:line="152" w:lineRule="exact"/>
        <w:rPr>
          <w:sz w:val="20"/>
          <w:szCs w:val="20"/>
          <w:color w:val="auto"/>
        </w:rPr>
      </w:pPr>
    </w:p>
    <w:p>
      <w:pPr>
        <w:ind w:firstLine="501"/>
        <w:spacing w:after="0" w:line="291" w:lineRule="auto"/>
        <w:rPr>
          <w:sz w:val="20"/>
          <w:szCs w:val="20"/>
          <w:color w:val="auto"/>
        </w:rPr>
      </w:pPr>
      <w:r>
        <w:rPr>
          <w:rFonts w:ascii="Arial" w:cs="Arial" w:eastAsia="Arial" w:hAnsi="Arial"/>
          <w:sz w:val="16"/>
          <w:szCs w:val="16"/>
          <w:color w:val="auto"/>
        </w:rPr>
        <w:t>We have identified a target integrin receptor that acts as a natural compensatory mechanism that anchors the muscle cell to the ECM in DMD, as well as other types of muscular dystrophy. It is expressed on the surface of skeletal muscle cells and has been shown to be upregulated in patients with muscular dystrophy. The target integrin is able to bind to laminin in the ECM and serve as a substitute for the dystrophin complex that normally holds muscle cells to the ECM. This compensatory mechanism serves to stabilize the muscle cell membrane, which decreases muscle damage upon contraction. Moreover, mutations in this integrin, or in the laminin protein that it binds to, have been reported, and result in congenital myopathies with phenotypes similar to those of muscular dystrophy. Like other integrins, our integrin target can exist in various conformations, some of which are active, and others that are not. The natural compensatory ability of the target is limited by the number of integrin receptors in the active conformation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114935</wp:posOffset>
            </wp:positionV>
            <wp:extent cx="2606040" cy="1971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60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ind w:right="80" w:firstLine="501"/>
        <w:spacing w:after="0" w:line="263" w:lineRule="auto"/>
        <w:rPr>
          <w:sz w:val="20"/>
          <w:szCs w:val="20"/>
          <w:color w:val="auto"/>
        </w:rPr>
      </w:pPr>
      <w:r>
        <w:rPr>
          <w:rFonts w:ascii="Arial" w:cs="Arial" w:eastAsia="Arial" w:hAnsi="Arial"/>
          <w:sz w:val="18"/>
          <w:szCs w:val="18"/>
          <w:color w:val="auto"/>
        </w:rPr>
        <w:t>Our muscular dystrophy program utilizes an allosteric, agonistic, monoclonal antibody which binds to the alpha subunit of the target integrin and stabilizes it in its active conformation. By maximizing the number of target integrins that are active, the mAb is designed to increase the overall binding of the muscle cell membrane to the ECM and to stabilize the membrane.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99695</wp:posOffset>
            </wp:positionV>
            <wp:extent cx="2828925" cy="2023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892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Allosteric agonistic monoclonal antibody binds to the inactive integrin inducing conformational change increasing laminin binding</w:t>
      </w:r>
    </w:p>
    <w:p>
      <w:pPr>
        <w:spacing w:after="0" w:line="189"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We have developed a humanized antibody that is highly potent and selective for the alpha subunit of the target integrin. Our mAb candidate has been tested in an mdx /DBA2 DMD mouse model where it showed significantly decreased muscle damage as measured through clinical biomarkers including serum creatinine kinase and troponin.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125730</wp:posOffset>
            </wp:positionV>
            <wp:extent cx="2657475" cy="1560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747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with mAb resulted in decreased muscle damage in a mdx/DBA2 mouse model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ind w:firstLine="501"/>
        <w:spacing w:after="0" w:line="286" w:lineRule="auto"/>
        <w:rPr>
          <w:sz w:val="20"/>
          <w:szCs w:val="20"/>
          <w:color w:val="auto"/>
        </w:rPr>
      </w:pPr>
      <w:r>
        <w:rPr>
          <w:rFonts w:ascii="Arial" w:cs="Arial" w:eastAsia="Arial" w:hAnsi="Arial"/>
          <w:sz w:val="17"/>
          <w:szCs w:val="17"/>
          <w:color w:val="auto"/>
        </w:rPr>
        <w:t>In addition to protecting against muscle damage, the antibody showed an increase in diaphragm contractility in the mice tested. The antibody was able to return diaphragm contractility to near the same level as the wild type controls. This is crucial, given that the primary cause of death in patients with muscular dystrophy is cardiopulmonary failure resulting from progressive wasting of cardiac and respiratory muscles.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319405</wp:posOffset>
            </wp:positionV>
            <wp:extent cx="3017520" cy="1783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1752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Agonistic mAb restored diaphragm force back to the same level as wild type control</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antibody protected the gastrocnemius muscle from eccentric injury in which the muscle loses contractile force over a series of contractions.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Interestingly, mice treated with an antibody that blocks the integrin receptor showed an increase in eccentric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142875</wp:posOffset>
            </wp:positionV>
            <wp:extent cx="4431665" cy="12344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3166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Integrin Agonistic Antibody Protected Gastrocnemius Muscle from Eccentric Injury While Antagonistic Antibody Increased Injury</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bookmarkStart w:id="39" w:name="page40"/>
    <w:bookmarkEnd w:id="39"/>
    <w:p>
      <w:pPr>
        <w:ind w:right="100" w:firstLine="501"/>
        <w:spacing w:after="0" w:line="277" w:lineRule="auto"/>
        <w:rPr>
          <w:sz w:val="20"/>
          <w:szCs w:val="20"/>
          <w:color w:val="auto"/>
        </w:rPr>
      </w:pPr>
      <w:r>
        <w:rPr>
          <w:rFonts w:ascii="Arial" w:cs="Arial" w:eastAsia="Arial" w:hAnsi="Arial"/>
          <w:sz w:val="18"/>
          <w:szCs w:val="18"/>
          <w:color w:val="auto"/>
        </w:rPr>
        <w:t>Lastly, our mAb showed a reduction in hydroxyproline levels in the gastrocnemius muscles of the test mice, suggesting less fibrosis in the muscles, possibly as a result of decreased muscle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117475</wp:posOffset>
            </wp:positionV>
            <wp:extent cx="2451735" cy="2623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173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Agonistic mAb significantly reduced collagen content in gastrocnemius muscles of treated mice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nominated a development candidate and are currently conducting CMC scale-up activities. We plan to initiate IND enabling studies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02"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The COVID-19 pandemic has caused and continues to cause significant industry-wide delays in clinical trials. There are multiple causes of these delays, including reluctance of patients to enroll or continue in trials for fear of exposure to coronavirus, local and regional shelter-in-place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47" w:lineRule="exact"/>
        <w:rPr>
          <w:sz w:val="20"/>
          <w:szCs w:val="20"/>
          <w:color w:val="auto"/>
        </w:rPr>
      </w:pPr>
    </w:p>
    <w:p>
      <w:pPr>
        <w:ind w:right="140" w:firstLine="501"/>
        <w:spacing w:after="0" w:line="275" w:lineRule="auto"/>
        <w:rPr>
          <w:sz w:val="20"/>
          <w:szCs w:val="20"/>
          <w:color w:val="auto"/>
        </w:rPr>
      </w:pPr>
      <w:r>
        <w:rPr>
          <w:rFonts w:ascii="Arial" w:cs="Arial" w:eastAsia="Arial" w:hAnsi="Arial"/>
          <w:sz w:val="17"/>
          <w:szCs w:val="17"/>
          <w:color w:val="auto"/>
        </w:rPr>
        <w:t>We are working closely with our contract research organizations, or CRO’s, manufacturers, investigators, and clinical trial sites to monitor and assess the ongoing impact of the COVID-19 pandemic on timelines and expected costs for each of our programs. Our CRO’s are largely decentralized organizations and, to date, have not experienced significant impacts to their ability to support our trials. Our manufacturers, particularly in China, have, to varying degrees, experienced impacts to their operations as a result of the COVID-19 pandemic. To date, however, these operational challenges have had minimal impact on their ability to produce and deliver materials to us in a timely manner.</w:t>
      </w:r>
    </w:p>
    <w:p>
      <w:pPr>
        <w:spacing w:after="0" w:line="136"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We are in close contact with each of our more than 60 global clinical trial sites per program (i.e., IPF and PSC) to monitor and assess the local and regional impacts of the COVID-19 pandemic and continue to adjust the conduct of our clinical trials accordingly. The pandemic resulted in significant closures of many of our trial sites over the course of 2020. We estimate that the closures caused delays of 4-6 months to the overall timelines for the IPF and PSC trials. To mitigate these effects, in 2020, we focused on opening additional sites and conducting an awareness campaign to generate interest in our trials. The ongoing campaign includes clinical research site calls with our founders and KOLs, engagement with scientific and patient communities and foundations, and active social media channels.</w:t>
      </w:r>
    </w:p>
    <w:p>
      <w:pPr>
        <w:spacing w:after="0" w:line="165"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People living with IPF are considered at higher risk for developing serious illness if they become infected by the coronavirus. These patients may be instructed to avoid non-essential visits to medical centers, and to instead self-isolate at home. We have successfully implemented a hybrid approach to clinical trial participation with home-health solutions for both our IPF and PSC clinical trials designed to minimize the requirements for visits to healthcare facilities in order to mitigate COVID-19 infection risk in these vulnerable populations.</w:t>
      </w:r>
    </w:p>
    <w:p>
      <w:pPr>
        <w:spacing w:after="0" w:line="146"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Our pipeline and early-stage programs have been impacted and may be further impacted by the COVID-19 pandemic due to local California shelter-in-place orders in effect intermittently since March 2020. These impacts have been mitigated by our ability to outsource work, such as CMC, to third parties. Additionally, we are subject to certain exceptions to the shelter-in-place orders through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the nature of our early-stage research and expect to continue to conduct essential lab work utilizing social distancing measures such as alternating shifts and reduced staff on site, as necessary.</w:t>
      </w:r>
    </w:p>
    <w:p>
      <w:pPr>
        <w:spacing w:after="0" w:line="143"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We are not aware of any of our directors or employees being infected with coronavirus, but the virus can remain asymptomatic for a significant period of time and methods and availability of testing continue to evolve. Notwithstanding the current shelter-in-place orders, our employees or their family members could become infected.</w:t>
      </w:r>
    </w:p>
    <w:p>
      <w:pPr>
        <w:spacing w:after="0" w:line="143" w:lineRule="exact"/>
        <w:rPr>
          <w:sz w:val="20"/>
          <w:szCs w:val="20"/>
          <w:color w:val="auto"/>
        </w:rPr>
      </w:pPr>
    </w:p>
    <w:p>
      <w:pPr>
        <w:ind w:right="420" w:firstLine="501"/>
        <w:spacing w:after="0" w:line="277" w:lineRule="auto"/>
        <w:rPr>
          <w:sz w:val="20"/>
          <w:szCs w:val="20"/>
          <w:color w:val="auto"/>
        </w:rPr>
      </w:pPr>
      <w:r>
        <w:rPr>
          <w:rFonts w:ascii="Arial" w:cs="Arial" w:eastAsia="Arial" w:hAnsi="Arial"/>
          <w:sz w:val="18"/>
          <w:szCs w:val="18"/>
          <w:color w:val="auto"/>
        </w:rPr>
        <w:t>We note the high level of difficulty in projecting the effects of the COVID-19 pandemic on our programs and our company, given the rapid and dramatic evolution in the course and impact of the pandemic and the societal and governmental response to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firstLine="501"/>
        <w:spacing w:after="0" w:line="270"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 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spacing w:after="0" w:line="140"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w:t>
      </w:r>
    </w:p>
    <w:p>
      <w:pPr>
        <w:spacing w:after="0" w:line="147"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Prior to February 2021, Galapagos’s Phase 3 autotaxin inhibitor GLPG-1690 and Fibrogen’s Phase 3 monoclonal antibody against connective tissue growth factor, or CTGF, were the two most advanced development candidates for treatment of IPF. Galapagos terminated both of its Phase 3 trials of GLPG-1690 in IPF in February 2021 due to an unfavorable benefit-risk profile.</w:t>
      </w:r>
    </w:p>
    <w:p>
      <w:pPr>
        <w:spacing w:after="0" w:line="157" w:lineRule="exact"/>
        <w:rPr>
          <w:sz w:val="20"/>
          <w:szCs w:val="20"/>
          <w:color w:val="auto"/>
        </w:rPr>
      </w:pPr>
    </w:p>
    <w:p>
      <w:pPr>
        <w:ind w:right="280" w:firstLine="501"/>
        <w:spacing w:after="0" w:line="286" w:lineRule="auto"/>
        <w:rPr>
          <w:sz w:val="20"/>
          <w:szCs w:val="20"/>
          <w:color w:val="auto"/>
        </w:rPr>
      </w:pPr>
      <w:r>
        <w:rPr>
          <w:rFonts w:ascii="Arial" w:cs="Arial" w:eastAsia="Arial" w:hAnsi="Arial"/>
          <w:sz w:val="17"/>
          <w:szCs w:val="17"/>
          <w:color w:val="auto"/>
        </w:rPr>
        <w:t>Although our novel approach is unique from most other existing or investigational therapies across the disease areas where we are focusing our development, we will need to compete with currently approved therapies, and potentially those in currently in development if they are approved. We are aware of several marketed and investigational products in our leading disease areas, including but not limited to:</w:t>
      </w:r>
    </w:p>
    <w:p>
      <w:pPr>
        <w:spacing w:after="0" w:line="125" w:lineRule="exact"/>
        <w:rPr>
          <w:sz w:val="20"/>
          <w:szCs w:val="20"/>
          <w:color w:val="auto"/>
        </w:rPr>
      </w:pPr>
    </w:p>
    <w:p>
      <w:pPr>
        <w:jc w:val="both"/>
        <w:ind w:left="1000" w:right="2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IPF: </w:t>
      </w:r>
      <w:r>
        <w:rPr>
          <w:rFonts w:ascii="Arial" w:cs="Arial" w:eastAsia="Arial" w:hAnsi="Arial"/>
          <w:sz w:val="18"/>
          <w:szCs w:val="18"/>
          <w:color w:val="auto"/>
        </w:rPr>
        <w:t>There are currently two approved products for the treatment of IPF; Esbriet, marketed by Roche Holding AG, and Ofev, marketed by</w:t>
      </w:r>
      <w:r>
        <w:rPr>
          <w:rFonts w:ascii="Arial" w:cs="Arial" w:eastAsia="Arial" w:hAnsi="Arial"/>
          <w:sz w:val="18"/>
          <w:szCs w:val="18"/>
          <w:i w:val="1"/>
          <w:iCs w:val="1"/>
          <w:color w:val="auto"/>
        </w:rPr>
        <w:t xml:space="preserve"> </w:t>
      </w:r>
      <w:r>
        <w:rPr>
          <w:rFonts w:ascii="Arial" w:cs="Arial" w:eastAsia="Arial" w:hAnsi="Arial"/>
          <w:sz w:val="18"/>
          <w:szCs w:val="18"/>
          <w:color w:val="auto"/>
        </w:rPr>
        <w:t>Boehringer Ingelheim GmbH. Companies currently developing product candidates in IPF include AbbVie, Galapagos, Kadmon Holdings, Inc., Galecto Biotech, Inc., Roche Holding AG and Liminal BioSciences. Inc.</w:t>
      </w:r>
    </w:p>
    <w:p>
      <w:pPr>
        <w:spacing w:after="0" w:line="143"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PSC</w:t>
      </w:r>
      <w:r>
        <w:rPr>
          <w:rFonts w:ascii="Arial" w:cs="Arial" w:eastAsia="Arial" w:hAnsi="Arial"/>
          <w:sz w:val="18"/>
          <w:szCs w:val="18"/>
          <w:color w:val="auto"/>
        </w:rPr>
        <w:t>: There are currently no approved therapies for the treatment of PSC. Companies currently developing product candidates in PSC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Gilead Sciences, Inc., AbbVie Inc., Dr. Falk Pharma and Intercept Pharmaceuticals, Inc.</w:t>
      </w:r>
    </w:p>
    <w:p>
      <w:pPr>
        <w:spacing w:after="0" w:line="129" w:lineRule="exact"/>
        <w:rPr>
          <w:rFonts w:ascii="Arial" w:cs="Arial" w:eastAsia="Arial" w:hAnsi="Arial"/>
          <w:sz w:val="18"/>
          <w:szCs w:val="18"/>
          <w:color w:val="auto"/>
        </w:rPr>
      </w:pPr>
    </w:p>
    <w:p>
      <w:pPr>
        <w:ind w:left="1000" w:right="40" w:hanging="493"/>
        <w:spacing w:after="0" w:line="273"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NASH: </w:t>
      </w:r>
      <w:r>
        <w:rPr>
          <w:rFonts w:ascii="Arial" w:cs="Arial" w:eastAsia="Arial" w:hAnsi="Arial"/>
          <w:sz w:val="17"/>
          <w:szCs w:val="17"/>
          <w:color w:val="auto"/>
        </w:rPr>
        <w:t>There are currently no FDA approved therapies for the treatment of NASH. There are a number of companies developing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the treatment of NASH including Intercept, Pfizer Inc., Gilead, AbbVie, Novartis, AstraZeneca plc, Eli Lilly &amp; Company, GlaxoSmithKline plc, Amgen, Inc., BMS, Johnson &amp; Johnson, Merck &amp; Co., Inc., Roche, Sanofi S.A., Takeda Pharmaceuticals, Novo Nordisk, Genfit SA, Madrigal Pharmaceuticals, Inc., Viking Therapeutics, Inc., Cirius Therapeutics, Inc., NGM Biopharmaceuticals, Akero Therapeutics, Inc. and Metacrine, Inc. Most of the drugs currently in development for NASH are focused on decreasing liver fat or improving liver inflammation as opposed to direct liver anti-fibrotic approaches.</w:t>
      </w:r>
    </w:p>
    <w:p>
      <w:pPr>
        <w:spacing w:after="0" w:line="137" w:lineRule="exact"/>
        <w:rPr>
          <w:sz w:val="20"/>
          <w:szCs w:val="20"/>
          <w:color w:val="auto"/>
        </w:rPr>
      </w:pPr>
    </w:p>
    <w:p>
      <w:pPr>
        <w:jc w:val="both"/>
        <w:ind w:right="60" w:firstLine="501"/>
        <w:spacing w:after="0" w:line="286" w:lineRule="auto"/>
        <w:rPr>
          <w:sz w:val="20"/>
          <w:szCs w:val="20"/>
          <w:color w:val="auto"/>
        </w:rPr>
      </w:pPr>
      <w:r>
        <w:rPr>
          <w:rFonts w:ascii="Arial" w:cs="Arial" w:eastAsia="Arial" w:hAnsi="Arial"/>
          <w:sz w:val="17"/>
          <w:szCs w:val="17"/>
          <w:color w:val="auto"/>
        </w:rPr>
        <w:t>The availability of reimbursement from government and other third-party payors will also significantly affect the pricing and competitiveness of our product candidates, if approved for marketing. Our competitors also may obtain FDA or other regulatory approval for their products more rapidly than we do, which could result in our competitors establishing a strong market position before we are able to enter the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fibrosis that may be important for the development of our business. We additionally may rely on regulatory protection afforded through data exclusivity, market exclusivity, and patent term extensions, where available.</w:t>
      </w:r>
    </w:p>
    <w:p>
      <w:pPr>
        <w:spacing w:after="0" w:line="121" w:lineRule="exact"/>
        <w:rPr>
          <w:sz w:val="20"/>
          <w:szCs w:val="20"/>
          <w:color w:val="auto"/>
        </w:rPr>
      </w:pPr>
    </w:p>
    <w:p>
      <w:pPr>
        <w:ind w:right="80" w:firstLine="501"/>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38"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color w:val="auto"/>
        </w:rPr>
        <w:t>As of March 1, 2021, we own, co-own or license over 115 pending patent applications worldwide in over 19 patent families, including United States and corresponding foreign patent applications. To date, three U.S. patents have issued to us.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Owned IP</w:t>
      </w:r>
    </w:p>
    <w:p>
      <w:pPr>
        <w:spacing w:after="0" w:line="185"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We own multiple families of patent applications that are directed to small-molecule compositions capable of modulating integrins and methods for treating or preventing diseases associated with integrins. Certain applications in these families relate to our PLN-1474 and PLN-74809 small-molecule product candidates, backup compounds and structural analogs, various unit dosages, dosing regimens, and routes of administration. We are also pursuing innovative ways to modulate integrin function using antibodies and have one pending patent application to that technology in the United States. Patents that may issue from these company owned applications are generally expected to expire between the years 2037 to 2041, subject to possible patent term adjustment and/or extension.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85" w:lineRule="exact"/>
        <w:rPr>
          <w:sz w:val="20"/>
          <w:szCs w:val="20"/>
          <w:color w:val="auto"/>
        </w:rPr>
      </w:pPr>
    </w:p>
    <w:p>
      <w:pPr>
        <w:ind w:right="460" w:firstLine="501"/>
        <w:spacing w:after="0" w:line="277" w:lineRule="auto"/>
        <w:rPr>
          <w:sz w:val="20"/>
          <w:szCs w:val="20"/>
          <w:color w:val="auto"/>
        </w:rPr>
      </w:pPr>
      <w:r>
        <w:rPr>
          <w:rFonts w:ascii="Arial" w:cs="Arial" w:eastAsia="Arial" w:hAnsi="Arial"/>
          <w:sz w:val="18"/>
          <w:szCs w:val="18"/>
          <w:color w:val="auto"/>
        </w:rPr>
        <w:t>We have two registered U.S. trademarks for use in connection with our products. We may pursue additional registrations for future products in markets of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198"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46" w:lineRule="exact"/>
        <w:rPr>
          <w:sz w:val="20"/>
          <w:szCs w:val="20"/>
          <w:color w:val="auto"/>
        </w:rPr>
      </w:pPr>
    </w:p>
    <w:p>
      <w:pPr>
        <w:ind w:right="100" w:firstLine="501"/>
        <w:spacing w:after="0" w:line="286" w:lineRule="auto"/>
        <w:rPr>
          <w:sz w:val="20"/>
          <w:szCs w:val="20"/>
          <w:color w:val="auto"/>
        </w:rPr>
      </w:pPr>
      <w:r>
        <w:rPr>
          <w:rFonts w:ascii="Arial" w:cs="Arial" w:eastAsia="Arial" w:hAnsi="Arial"/>
          <w:sz w:val="17"/>
          <w:szCs w:val="17"/>
          <w:color w:val="auto"/>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License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Collaboration and License Agreement</w:t>
      </w:r>
    </w:p>
    <w:p>
      <w:pPr>
        <w:spacing w:after="0" w:line="185"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In October 2019, we entered into a collaboration and license agreement, or the Novartis Agreement, with Novartis Institutes for Biomedical Research, Inc., or Novartis, for the research, development, and commercialization of PLN-1474, and up to three additional integrin targets, or the Research Targets. Under the terms of the Novartis Agreement, we will be responsible for the clinical development and manufacture of PLN-1474 through the first-in-human study and Novartis will then be responsible for all future development, manufacturing, and commercialization. Following the completion of our Phase 1 clinical trial for PLN-1474, the PLN-1474 IND was transferred to Novartis in the first quarter of 2021.</w:t>
      </w:r>
    </w:p>
    <w:p>
      <w:pPr>
        <w:spacing w:after="0" w:line="136" w:lineRule="exact"/>
        <w:rPr>
          <w:sz w:val="20"/>
          <w:szCs w:val="20"/>
          <w:color w:val="auto"/>
        </w:rPr>
      </w:pPr>
    </w:p>
    <w:p>
      <w:pPr>
        <w:ind w:right="140" w:firstLine="501"/>
        <w:spacing w:after="0" w:line="257" w:lineRule="auto"/>
        <w:rPr>
          <w:sz w:val="20"/>
          <w:szCs w:val="20"/>
          <w:color w:val="auto"/>
        </w:rPr>
      </w:pPr>
      <w:r>
        <w:rPr>
          <w:rFonts w:ascii="Arial" w:cs="Arial" w:eastAsia="Arial" w:hAnsi="Arial"/>
          <w:sz w:val="18"/>
          <w:szCs w:val="18"/>
          <w:color w:val="auto"/>
        </w:rPr>
        <w:t>During the research term, which shall initially be three years and extendable, we will collaborate, through a joint steering committee, with Novartis on up to three separate research programs, to biologically validate certain potential Research Targets and identify and synthesize potential research compounds for each Research Target in accordance with the applicable research plan. We will be responsible for advancing product candidates targeting selected Research Targets to development candidate stage and Novartis will then be responsible for all future development, manufacturing, and commercialization.</w:t>
      </w:r>
    </w:p>
    <w:p>
      <w:pPr>
        <w:spacing w:after="0" w:line="161" w:lineRule="exact"/>
        <w:rPr>
          <w:sz w:val="20"/>
          <w:szCs w:val="20"/>
          <w:color w:val="auto"/>
        </w:rPr>
      </w:pPr>
    </w:p>
    <w:p>
      <w:pPr>
        <w:ind w:right="100" w:firstLine="501"/>
        <w:spacing w:after="0" w:line="259" w:lineRule="auto"/>
        <w:rPr>
          <w:sz w:val="20"/>
          <w:szCs w:val="20"/>
          <w:color w:val="auto"/>
        </w:rPr>
      </w:pPr>
      <w:r>
        <w:rPr>
          <w:rFonts w:ascii="Arial" w:cs="Arial" w:eastAsia="Arial" w:hAnsi="Arial"/>
          <w:sz w:val="18"/>
          <w:szCs w:val="18"/>
          <w:color w:val="auto"/>
        </w:rPr>
        <w:t>We have also granted to Novartis an (i) exclusive (even as to us), transferable, sublicensable license to certain of our technology to commercialize licensed products in the field and (ii) co-exclusive (with us), transferable, sublicensable license to research, develop and manufacture certain licensed compounds and licensed products for disease treatment worldwide. Upon the completion of the first Phase 1 study, such co-exclusive license shall become exclusive for Novartis.</w:t>
      </w:r>
    </w:p>
    <w:p>
      <w:pPr>
        <w:spacing w:after="0" w:line="146" w:lineRule="exact"/>
        <w:rPr>
          <w:sz w:val="20"/>
          <w:szCs w:val="20"/>
          <w:color w:val="auto"/>
        </w:rPr>
      </w:pPr>
    </w:p>
    <w:p>
      <w:pPr>
        <w:ind w:right="180" w:firstLine="501"/>
        <w:spacing w:after="0" w:line="257" w:lineRule="auto"/>
        <w:rPr>
          <w:sz w:val="20"/>
          <w:szCs w:val="20"/>
          <w:color w:val="auto"/>
        </w:rPr>
      </w:pPr>
      <w:r>
        <w:rPr>
          <w:rFonts w:ascii="Arial" w:cs="Arial" w:eastAsia="Arial" w:hAnsi="Arial"/>
          <w:sz w:val="18"/>
          <w:szCs w:val="18"/>
          <w:color w:val="auto"/>
        </w:rPr>
        <w:t>In addition, pursuant to the Novartis Agreement, we have granted to Novartis and its affiliates an (i) exclusive (even as to us), transferable, sublicensable license to certain of our technology to commercialize certain research products in the field and (ii) a coexclusive (with us), transferable, sublicensable license to develop, manufacture, and commercialize certain selected research compounds and research products for disease treatment worldwide. Upon the selection of relevant candidate small molecule compound selective modulator, such co-exclusive license shall become exclusive for Novartis.</w:t>
      </w:r>
    </w:p>
    <w:p>
      <w:pPr>
        <w:spacing w:after="0" w:line="147"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Novartis paid us a nonrefundable, non-creditable one-time payment of $50.0 million as an initial license fee in October 2019. Novartis will also pay us a $4.0 million target validation fee for each candidate target that achieves target validation and is deemed a research target, for up to three candidate targets.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Novartis shall also pay us certain development and commercialization milestone payments, in total up to $416.0 million under the agreement.</w:t>
      </w:r>
    </w:p>
    <w:p>
      <w:pPr>
        <w:spacing w:after="0" w:line="196"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Novartis shall also pay us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43"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Unless earlier terminated, the Novartis Agreement will expire upon the expiration of all royalty obligations. The royalty period will expire on a product-by-product and country-by-country basis upon the later of (i) ten years from the first commercial sale, (ii) the expiration of all regulatory or data exclusivity and (iii) the expiration of the last-to-expire valid patent claim. Novartis has the right to terminate the Novartis Agreement for convenience on a target-by-target basis upon sixty (60) days’ prior written notice, so long as such right is exercised prior to the first commercial sale of any licensed product or research product with respect to the applicable target. After the first commercial sale, Novartis has the right to terminate the Novartis Agreement for convenience on a target-by-target basis upon six (6) months’ prior written notice. We may not terminate the agreement for convenience. Either we or Novartis may terminate the Novartis Agreement if the other party is in material breach and such breach is not cured within the specified cure period. In addition, either we or Novartis may terminate the Novartis Agreement in the event of specified insolvency events involving the other party. If we terminate the agreement as a result of Novartis’ uncured material breach or Novartis terminates at will, we retain a royalty-bearing, non-exclusive license to certain Novartis technology in order to develop, manufacture and commercialize certain compounds and products as set forth in the Novartis Agreement, subject to certain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85"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In October 2018, we entered into a collaboration agreement, or the Adimab Agreement, with Adimab, LLC, or Adimab, for the discovery and optimization of proprietary antibodies as potential therapeutic product candidates. Under the Adimab Agreement, we have initially agreed with Adimab to collaborate on an initial research program. In addition, we may select up to three additional biological targets against which Adimab will use its technology to research and develop antibodies pursuant to a mutually agreed upon research plan.</w:t>
      </w:r>
    </w:p>
    <w:p>
      <w:pPr>
        <w:spacing w:after="0" w:line="146"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During the ongoing research period and for a specified evaluation period thereafter, or the Evaluation Term, Adimab will grant us a worldwide, non-exclusive license to Adimab’s technology to perform our responsibilities under the specified research plan and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evaluate the program antibodies to determine, at our election, how to proceed with any antibodies discovered as a result of such research program.</w:t>
      </w:r>
    </w:p>
    <w:p>
      <w:pPr>
        <w:spacing w:after="0" w:line="210"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On a research program by research program basis, Adimab has granted to us an exclusive option to acquire the rights to up to a certain specified number of discovered antibodies for development and commercialization as biopharmaceutical products. We have also granted Adimab a non-exclusive, non-sublicensable license under our technology during each research program, and during the relevant Evaluation Term solely to perform Adimab’s responsibilities under such research plan.</w:t>
      </w:r>
    </w:p>
    <w:p>
      <w:pPr>
        <w:spacing w:after="0" w:line="146" w:lineRule="exact"/>
        <w:rPr>
          <w:sz w:val="20"/>
          <w:szCs w:val="20"/>
          <w:color w:val="auto"/>
        </w:rPr>
      </w:pPr>
    </w:p>
    <w:p>
      <w:pPr>
        <w:ind w:right="20" w:firstLine="501"/>
        <w:spacing w:after="0" w:line="286" w:lineRule="auto"/>
        <w:rPr>
          <w:sz w:val="20"/>
          <w:szCs w:val="20"/>
          <w:color w:val="auto"/>
        </w:rPr>
      </w:pPr>
      <w:r>
        <w:rPr>
          <w:rFonts w:ascii="Arial" w:cs="Arial" w:eastAsia="Arial" w:hAnsi="Arial"/>
          <w:sz w:val="17"/>
          <w:szCs w:val="17"/>
          <w:color w:val="auto"/>
        </w:rPr>
        <w:t>Upon execution of the Adimab Agreement we paid to Adimab a one-time, non-creditable non-refundable technology access fee in the low-five figures. For each agreed upon research program that is commenced, we are required to pay Adimab an agreed upon rate for its full-time employees during a given research program, a specified discovery delivery fee, and an optimization completion fee in the low-six figures.</w:t>
      </w:r>
    </w:p>
    <w:p>
      <w:pPr>
        <w:spacing w:after="0" w:line="125"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If we choose to exercise our option with respect to a specific research program, we are required to pay Adimab a non-creditable, non-refundable high six-figure option exercise fee, payable in installments. If we exercise our option with respect to more than the specified number of antibodies resulting from such research program, we are obligated to make an additional specified payment for each additional optioned antibody. To date, we have not exercised any options under the Adimab Agreement.</w:t>
      </w:r>
    </w:p>
    <w:p>
      <w:pPr>
        <w:spacing w:after="0" w:line="160" w:lineRule="exact"/>
        <w:rPr>
          <w:sz w:val="20"/>
          <w:szCs w:val="20"/>
          <w:color w:val="auto"/>
        </w:rPr>
      </w:pPr>
    </w:p>
    <w:p>
      <w:pPr>
        <w:ind w:right="80" w:firstLine="501"/>
        <w:spacing w:after="0" w:line="272" w:lineRule="auto"/>
        <w:rPr>
          <w:sz w:val="20"/>
          <w:szCs w:val="20"/>
          <w:color w:val="auto"/>
        </w:rPr>
      </w:pPr>
      <w:r>
        <w:rPr>
          <w:rFonts w:ascii="Arial" w:cs="Arial" w:eastAsia="Arial" w:hAnsi="Arial"/>
          <w:sz w:val="17"/>
          <w:szCs w:val="17"/>
          <w:color w:val="auto"/>
        </w:rPr>
        <w:t>We are required to make certain milestone payments to Adimab upon the achievement of certain clinical and regulatory milestone events in the development of therapeutic products and diagnostic products which use the antibodies we have obtained pursuant to our exclusive option. The milestone payments total approximately $12 million for each therapeutic product. For any product that is commercialized pursuant to the Adimab Agreement, we are required to pay Adimab low single digit percentage tiered royalty payments based on annual aggregate worldwide net sales thresholds for such products, subject to reduction as specified in the Adimab Agreement. Royalty terms with respect to each product will expire on a country-by-country basis upon the later of (a) ten years after the first commercial sale of such product in such country and (b) the expiration of the last patent related to any antibody acquired by us pursuant to our option from a specified research program.</w:t>
      </w:r>
    </w:p>
    <w:p>
      <w:pPr>
        <w:spacing w:after="0" w:line="137"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Under the Adimab Agreement, we are required to use commercially reasonable efforts to conduct certain research to discover and optimize antibodies directed against the targets that we select. The Adimab Agreement will expire unless earlier terminated (a) in the event that we do not exercise any option pursuant to a research program, upon the conclusion of the last to expire Evaluation Term, or (b) if we do exercise an option, on the expiration of the last royalty term for a product in a particular country. We have the right to terminate the Adimab Agreement at any time upon advance written notice to Adimab. In addition, subject to certain conditions, either we or Adimab may terminate the Adimab Agreement if the other party commits a material breach of the agreement and fails to cure such breach within a specified cure period after written notice is provided. Upon expiration or termination of the Adimab Agreement, all licenses granted to us on a product-by-product and country-by-country basis will continue on a non-exclusive, fully paid, worldwide, royalty-free, irrevocable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Our product candidates, PLN-74809 and PLN-1474, are small molecule inhibitors amenable to standard formulation technologies. We have confirmed the utility of the synthetic process and manufactured multi-kilogram quantities sufficient to provide drug product for our clinical trials. The manufacturing process of the drug substance for such product candidates is robust and accessed from readily available starting materials. The synthetic route is amenable to large-scale production and does not require unusual equipment or handling during the manufacturing process. We have obtained an adequate supply chain of the drug substance for PLN-74809 and PLN-1474 from our North American and Asian contract manufacturing organizations, or CMOs, to satisfy both our clinical and preclinical requirements. We have engaged multiple suppliers for the manufacture of PLN-74809. We are engaging secondary raw material suppliers in addition to North American and European CMOs to mitigate global supply chain risk and ensure continuity of supply of drug substance. To maximize flexibility, we have established relationships with non-overlapping vendors for manufacturing of not only raw materials but also drug substance. We currently rely on third-party manufacturers for the GMP production of larger quantities of our drug product candidates for our clinical trials. Our internal personnel have extensive cGMP manufacturing experience in order to ensure seamless technology transfer and to manage the manufacturing and development processes conducted by third-party manufacturers. Our agreements with third-party manufacturers include confidentiality and intellectual property provisions as well as routine quality audits. In some instances, we have reserved resources from third-party manufacturers for the development and manufacture of our product candidates for near-term clinical programs.</w:t>
      </w:r>
    </w:p>
    <w:p>
      <w:pPr>
        <w:spacing w:after="0" w:line="133" w:lineRule="exact"/>
        <w:rPr>
          <w:sz w:val="20"/>
          <w:szCs w:val="20"/>
          <w:color w:val="auto"/>
        </w:rPr>
      </w:pPr>
    </w:p>
    <w:p>
      <w:pPr>
        <w:ind w:right="180" w:firstLine="501"/>
        <w:spacing w:after="0" w:line="259" w:lineRule="auto"/>
        <w:rPr>
          <w:sz w:val="20"/>
          <w:szCs w:val="20"/>
          <w:color w:val="auto"/>
        </w:rPr>
      </w:pPr>
      <w:r>
        <w:rPr>
          <w:rFonts w:ascii="Arial" w:cs="Arial" w:eastAsia="Arial" w:hAnsi="Arial"/>
          <w:sz w:val="18"/>
          <w:szCs w:val="18"/>
          <w:color w:val="auto"/>
        </w:rPr>
        <w:t>We do not own or operate facilities for clinical drug manufacturing, storage, distribution, or quality testing. Currently, all of our clinical manufacturing is outsourced to third-party manufacturers. As our development programs expand and we build new process efficiencies, we expect to continually evaluate this strategy with the objective of satisfying demand for our clinical trials and, if approved, the manufacture, sale, and distribution of commercial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85" w:lineRule="exact"/>
        <w:rPr>
          <w:sz w:val="20"/>
          <w:szCs w:val="20"/>
          <w:color w:val="auto"/>
        </w:rPr>
      </w:pPr>
    </w:p>
    <w:p>
      <w:pPr>
        <w:ind w:right="180" w:firstLine="501"/>
        <w:spacing w:after="0" w:line="253"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FDA also regulates biological products under the FDCA and the Public Health Service Act, or PHSA. If we advance clinical development of a biologic candidate in the future, these development activities will be subject to additional regulatory requirements specific to biologics.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85" w:lineRule="exact"/>
        <w:rPr>
          <w:sz w:val="20"/>
          <w:szCs w:val="20"/>
          <w:color w:val="auto"/>
        </w:rPr>
      </w:pPr>
    </w:p>
    <w:p>
      <w:pPr>
        <w:ind w:left="1000" w:right="1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29"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84"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184"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85"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98" w:lineRule="exact"/>
        <w:rPr>
          <w:sz w:val="20"/>
          <w:szCs w:val="20"/>
          <w:color w:val="auto"/>
        </w:rPr>
      </w:pPr>
    </w:p>
    <w:p>
      <w:pPr>
        <w:ind w:right="60" w:firstLine="501"/>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85" w:lineRule="exact"/>
        <w:rPr>
          <w:sz w:val="20"/>
          <w:szCs w:val="20"/>
          <w:color w:val="auto"/>
        </w:rPr>
      </w:pPr>
    </w:p>
    <w:p>
      <w:pPr>
        <w:ind w:left="1000" w:right="40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83" w:lineRule="exact"/>
        <w:rPr>
          <w:rFonts w:ascii="Arial" w:cs="Arial" w:eastAsia="Arial" w:hAnsi="Arial"/>
          <w:sz w:val="16"/>
          <w:szCs w:val="16"/>
          <w:color w:val="auto"/>
        </w:rPr>
      </w:pPr>
    </w:p>
    <w:p>
      <w:pPr>
        <w:ind w:left="1000" w:right="20" w:hanging="493"/>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05" w:lineRule="exact"/>
        <w:rPr>
          <w:rFonts w:ascii="Arial" w:cs="Arial" w:eastAsia="Arial" w:hAnsi="Arial"/>
          <w:sz w:val="17"/>
          <w:szCs w:val="17"/>
          <w:color w:val="auto"/>
        </w:rPr>
      </w:pPr>
    </w:p>
    <w:p>
      <w:pPr>
        <w:ind w:left="1000" w:right="260" w:hanging="493"/>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25"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85" w:lineRule="exact"/>
        <w:rPr>
          <w:sz w:val="20"/>
          <w:szCs w:val="20"/>
          <w:color w:val="auto"/>
        </w:rPr>
      </w:pPr>
    </w:p>
    <w:p>
      <w:pPr>
        <w:ind w:right="100" w:firstLine="501"/>
        <w:spacing w:after="0" w:line="273"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37"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spacing w:after="0" w:line="165" w:lineRule="exact"/>
        <w:rPr>
          <w:sz w:val="20"/>
          <w:szCs w:val="20"/>
          <w:color w:val="auto"/>
        </w:rPr>
      </w:pPr>
    </w:p>
    <w:p>
      <w:pPr>
        <w:jc w:val="both"/>
        <w:ind w:right="200" w:firstLine="501"/>
        <w:spacing w:after="0" w:line="263" w:lineRule="auto"/>
        <w:rPr>
          <w:sz w:val="20"/>
          <w:szCs w:val="20"/>
          <w:color w:val="auto"/>
        </w:rPr>
      </w:pPr>
      <w:r>
        <w:rPr>
          <w:rFonts w:ascii="Arial" w:cs="Arial" w:eastAsia="Arial" w:hAnsi="Arial"/>
          <w:sz w:val="18"/>
          <w:szCs w:val="18"/>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ind w:right="120" w:firstLine="501"/>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51" w:lineRule="exact"/>
        <w:rPr>
          <w:sz w:val="20"/>
          <w:szCs w:val="20"/>
          <w:color w:val="auto"/>
        </w:rPr>
      </w:pPr>
    </w:p>
    <w:p>
      <w:pPr>
        <w:ind w:right="200" w:firstLine="501"/>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6"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46"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68" w:lineRule="exact"/>
        <w:rPr>
          <w:sz w:val="20"/>
          <w:szCs w:val="20"/>
          <w:color w:val="auto"/>
        </w:rPr>
      </w:pPr>
    </w:p>
    <w:p>
      <w:pPr>
        <w:ind w:right="80" w:firstLine="501"/>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85" w:lineRule="exact"/>
        <w:rPr>
          <w:sz w:val="20"/>
          <w:szCs w:val="20"/>
          <w:color w:val="auto"/>
        </w:rPr>
      </w:pPr>
    </w:p>
    <w:p>
      <w:pPr>
        <w:ind w:right="100" w:firstLine="501"/>
        <w:spacing w:after="0" w:line="255" w:lineRule="auto"/>
        <w:rPr>
          <w:sz w:val="20"/>
          <w:szCs w:val="20"/>
          <w:color w:val="auto"/>
        </w:rPr>
      </w:pPr>
      <w:r>
        <w:rPr>
          <w:rFonts w:ascii="Arial" w:cs="Arial" w:eastAsia="Arial" w:hAnsi="Arial"/>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65" w:lineRule="exact"/>
        <w:rPr>
          <w:sz w:val="20"/>
          <w:szCs w:val="20"/>
          <w:color w:val="auto"/>
        </w:rPr>
      </w:pPr>
    </w:p>
    <w:p>
      <w:pPr>
        <w:ind w:right="60" w:firstLine="501"/>
        <w:spacing w:after="0" w:line="253"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85" w:lineRule="exact"/>
        <w:rPr>
          <w:sz w:val="20"/>
          <w:szCs w:val="20"/>
          <w:color w:val="auto"/>
        </w:rPr>
      </w:pPr>
    </w:p>
    <w:p>
      <w:pPr>
        <w:ind w:right="280" w:firstLine="501"/>
        <w:spacing w:after="0" w:line="277" w:lineRule="auto"/>
        <w:rPr>
          <w:sz w:val="20"/>
          <w:szCs w:val="20"/>
          <w:color w:val="auto"/>
        </w:rPr>
      </w:pPr>
      <w:r>
        <w:rPr>
          <w:rFonts w:ascii="Arial" w:cs="Arial" w:eastAsia="Arial" w:hAnsi="Arial"/>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7" w:name="page48"/>
    <w:bookmarkEnd w:id="47"/>
    <w:p>
      <w:pPr>
        <w:ind w:right="20"/>
        <w:spacing w:after="0" w:line="269" w:lineRule="auto"/>
        <w:rPr>
          <w:sz w:val="20"/>
          <w:szCs w:val="20"/>
          <w:color w:val="auto"/>
        </w:rPr>
      </w:pPr>
      <w:r>
        <w:rPr>
          <w:rFonts w:ascii="Arial" w:cs="Arial" w:eastAsia="Arial" w:hAnsi="Arial"/>
          <w:sz w:val="17"/>
          <w:szCs w:val="17"/>
          <w:color w:val="auto"/>
        </w:rPr>
        <w:t>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55"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85"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spacing w:after="0" w:line="149" w:lineRule="exact"/>
        <w:rPr>
          <w:sz w:val="20"/>
          <w:szCs w:val="20"/>
          <w:color w:val="auto"/>
        </w:rPr>
      </w:pPr>
    </w:p>
    <w:p>
      <w:pPr>
        <w:ind w:right="420" w:firstLine="501"/>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43" w:lineRule="exact"/>
        <w:rPr>
          <w:sz w:val="20"/>
          <w:szCs w:val="20"/>
          <w:color w:val="auto"/>
        </w:rPr>
      </w:pPr>
    </w:p>
    <w:p>
      <w:pPr>
        <w:ind w:right="100" w:firstLine="501"/>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37"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4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96"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100" w:firstLine="50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ind w:right="100"/>
        <w:spacing w:after="0" w:line="273" w:lineRule="auto"/>
        <w:rPr>
          <w:sz w:val="20"/>
          <w:szCs w:val="20"/>
          <w:color w:val="auto"/>
        </w:rPr>
      </w:pPr>
      <w:r>
        <w:rPr>
          <w:rFonts w:ascii="Arial" w:cs="Arial" w:eastAsia="Arial" w:hAnsi="Arial"/>
          <w:sz w:val="17"/>
          <w:szCs w:val="17"/>
          <w:color w:val="auto"/>
        </w:rPr>
        <w:t>significant liability. On May 10, 2019, the Centers for Medicare and Medicaid Services announced a new pricing transparency rule, which was set to take effect on July 9, 2019. The rule would have required direct-to-consumer television advertisements for prescription drugs and biological products for which reimbursement is available, directly, or indirectly, through or under Medicare or Medicaid to include the list price of that product, except for a prescription drug or biological product that has a list price of less than $35 per month for a 30-day supply or typical course of treatment. The final rule was vacated by the D.C. District Court prior to taking effect. Several states have adopted price transparency requirements and those as well as any future federal price transparency requirements that may be implemented in the future could have a negative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ind w:right="140" w:firstLine="501"/>
        <w:spacing w:after="0" w:line="296" w:lineRule="auto"/>
        <w:rPr>
          <w:sz w:val="20"/>
          <w:szCs w:val="20"/>
          <w:color w:val="auto"/>
        </w:rPr>
      </w:pPr>
      <w:r>
        <w:rPr>
          <w:rFonts w:ascii="Arial" w:cs="Arial" w:eastAsia="Arial" w:hAnsi="Arial"/>
          <w:sz w:val="16"/>
          <w:szCs w:val="16"/>
          <w:color w:val="auto"/>
        </w:rPr>
        <w:t>Healthcare providers, physicians, and third party payors play a primary role in the recommendation and prescription of drug products for which we obtain marketing approval. Arrangements with third party payors, healthcare providers and 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 kickback, false claims, physician transparency, and patient data privacy and security laws and regulations, including but not limited to those described below:</w:t>
      </w:r>
    </w:p>
    <w:p>
      <w:pPr>
        <w:spacing w:after="0" w:line="121" w:lineRule="exact"/>
        <w:rPr>
          <w:sz w:val="20"/>
          <w:szCs w:val="20"/>
          <w:color w:val="auto"/>
        </w:rPr>
      </w:pPr>
    </w:p>
    <w:p>
      <w:pPr>
        <w:ind w:left="1000" w:right="40" w:hanging="493"/>
        <w:spacing w:after="0" w:line="25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FCA. On November 20, 2020, OIG finalized further modifications to the federal Anti-Kickback Statute. Under the final rules, OIG added safe harbor protections under the Anti-Kickback Statute for certain coordinated care and value-based arrangements among clinicians, providers, and others. These rule (with exceptions) became effective January 19, 2021. We continue to evaluate what effect, if any, these rules will have on our business;</w:t>
      </w:r>
    </w:p>
    <w:p>
      <w:pPr>
        <w:spacing w:after="0" w:line="151" w:lineRule="exact"/>
        <w:rPr>
          <w:rFonts w:ascii="Arial" w:cs="Arial" w:eastAsia="Arial" w:hAnsi="Arial"/>
          <w:sz w:val="18"/>
          <w:szCs w:val="18"/>
          <w:color w:val="auto"/>
        </w:rPr>
      </w:pPr>
    </w:p>
    <w:p>
      <w:pPr>
        <w:ind w:left="1000" w:right="60" w:hanging="493"/>
        <w:spacing w:after="0" w:line="272" w:lineRule="auto"/>
        <w:tabs>
          <w:tab w:leader="none" w:pos="10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Similar to the federal Anti-Kickback Statute, a person or entity does not need to have actual knowledge of these statutes or specific intent to violate them in order to have committed a violation;</w:t>
      </w:r>
    </w:p>
    <w:p>
      <w:pPr>
        <w:spacing w:after="0" w:line="136" w:lineRule="exact"/>
        <w:rPr>
          <w:rFonts w:ascii="Arial" w:cs="Arial" w:eastAsia="Arial" w:hAnsi="Arial"/>
          <w:sz w:val="17"/>
          <w:szCs w:val="17"/>
          <w:color w:val="auto"/>
        </w:rPr>
      </w:pPr>
    </w:p>
    <w:p>
      <w:pPr>
        <w:ind w:left="1020" w:right="20" w:hanging="553"/>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46" w:lineRule="exact"/>
        <w:rPr>
          <w:rFonts w:ascii="Arial" w:cs="Arial" w:eastAsia="Arial" w:hAnsi="Arial"/>
          <w:sz w:val="18"/>
          <w:szCs w:val="18"/>
          <w:color w:val="auto"/>
        </w:rPr>
      </w:pPr>
    </w:p>
    <w:p>
      <w:pPr>
        <w:ind w:left="1000" w:right="20" w:hanging="493"/>
        <w:spacing w:after="0" w:line="273" w:lineRule="auto"/>
        <w:tabs>
          <w:tab w:leader="none" w:pos="10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37" w:lineRule="exact"/>
        <w:rPr>
          <w:rFonts w:ascii="Arial" w:cs="Arial" w:eastAsia="Arial" w:hAnsi="Arial"/>
          <w:sz w:val="17"/>
          <w:szCs w:val="17"/>
          <w:color w:val="auto"/>
        </w:rPr>
      </w:pPr>
    </w:p>
    <w:p>
      <w:pPr>
        <w:ind w:left="1000" w:right="40" w:hanging="493"/>
        <w:spacing w:after="0" w:line="301"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w:t>
      </w:r>
    </w:p>
    <w:p>
      <w:pPr>
        <w:spacing w:after="0" w:line="116" w:lineRule="exact"/>
        <w:rPr>
          <w:rFonts w:ascii="Arial" w:cs="Arial" w:eastAsia="Arial" w:hAnsi="Arial"/>
          <w:sz w:val="16"/>
          <w:szCs w:val="16"/>
          <w:color w:val="auto"/>
        </w:rPr>
      </w:pPr>
    </w:p>
    <w:p>
      <w:pPr>
        <w:ind w:left="1000" w:hanging="493"/>
        <w:spacing w:after="0" w:line="259"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to report annually to the Centers for Medicare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left="1000" w:right="140"/>
        <w:spacing w:after="0" w:line="257" w:lineRule="auto"/>
        <w:rPr>
          <w:sz w:val="20"/>
          <w:szCs w:val="20"/>
          <w:color w:val="auto"/>
        </w:rPr>
      </w:pPr>
      <w:r>
        <w:rPr>
          <w:rFonts w:ascii="Arial" w:cs="Arial" w:eastAsia="Arial" w:hAnsi="Arial"/>
          <w:sz w:val="18"/>
          <w:szCs w:val="18"/>
          <w:color w:val="auto"/>
        </w:rPr>
        <w:t>Medicaid Services, or CMS,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during the previous year to certain non-physician providers such as physician assistants and nurse practitioners;</w:t>
      </w:r>
    </w:p>
    <w:p>
      <w:pPr>
        <w:spacing w:after="0" w:line="147" w:lineRule="exact"/>
        <w:rPr>
          <w:sz w:val="20"/>
          <w:szCs w:val="20"/>
          <w:color w:val="auto"/>
        </w:rPr>
      </w:pPr>
    </w:p>
    <w:p>
      <w:pPr>
        <w:ind w:left="1000" w:right="1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requires us to calculate and report complex pricing metrics in an accurate and timely manner to government programs;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that potentially harm consumers; and</w:t>
      </w:r>
    </w:p>
    <w:p>
      <w:pPr>
        <w:spacing w:after="0" w:line="207" w:lineRule="exact"/>
        <w:rPr>
          <w:rFonts w:ascii="Arial" w:cs="Arial" w:eastAsia="Arial" w:hAnsi="Arial"/>
          <w:sz w:val="16"/>
          <w:szCs w:val="16"/>
          <w:color w:val="auto"/>
        </w:rPr>
      </w:pPr>
    </w:p>
    <w:p>
      <w:pPr>
        <w:ind w:left="1000" w:right="100" w:hanging="493"/>
        <w:spacing w:after="0" w:line="288"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28"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we become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United States will also likely be subject to foreign equivalents of the healthcare laws mentioned above, among other foreign laws.</w:t>
      </w:r>
    </w:p>
    <w:p>
      <w:pPr>
        <w:spacing w:after="0" w:line="145"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or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CCPA could mark the beginning of a trend toward more stringent state privacy legislation in the U.S., which could increase our potential liability and adversely affect our business.</w:t>
      </w:r>
    </w:p>
    <w:p>
      <w:pPr>
        <w:spacing w:after="0" w:line="145" w:lineRule="exact"/>
        <w:rPr>
          <w:sz w:val="20"/>
          <w:szCs w:val="20"/>
          <w:color w:val="auto"/>
        </w:rPr>
      </w:pPr>
    </w:p>
    <w:p>
      <w:pPr>
        <w:jc w:val="both"/>
        <w:ind w:right="60" w:firstLine="501"/>
        <w:spacing w:after="0" w:line="287"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EU General Data Protection Regulation, or GDPR, which became effective on May 25,</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t>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68" w:lineRule="exact"/>
        <w:rPr>
          <w:sz w:val="20"/>
          <w:szCs w:val="20"/>
          <w:color w:val="auto"/>
        </w:rPr>
      </w:pPr>
    </w:p>
    <w:p>
      <w:pPr>
        <w:ind w:right="20" w:firstLine="501"/>
        <w:spacing w:after="0" w:line="288"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Although, under the EU-UK Trade Cooperation Agreement it is lawful to transfer personal data between the UK and the EEA for a 6-month period following the end of the transition period, with a view to achieving an adequacy decision from the European Commission during that period. Like the EU GDPR, the UK GDPR restricts personal data transfers outside the UK to countries not regarded by the UK as providing adequate protection (this means that personal data transfers from the UK to the EEA remain free flowing).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85" w:lineRule="exact"/>
        <w:rPr>
          <w:sz w:val="20"/>
          <w:szCs w:val="20"/>
          <w:color w:val="auto"/>
        </w:rPr>
      </w:pPr>
    </w:p>
    <w:p>
      <w:pPr>
        <w:jc w:val="both"/>
        <w:ind w:right="60" w:firstLine="501"/>
        <w:spacing w:after="0" w:line="275" w:lineRule="auto"/>
        <w:rPr>
          <w:sz w:val="20"/>
          <w:szCs w:val="20"/>
          <w:color w:val="auto"/>
        </w:rPr>
      </w:pPr>
      <w:r>
        <w:rPr>
          <w:rFonts w:ascii="Arial" w:cs="Arial" w:eastAsia="Arial" w:hAnsi="Arial"/>
          <w:sz w:val="17"/>
          <w:szCs w:val="17"/>
          <w:color w:val="auto"/>
        </w:rPr>
        <w:t>In both the United States and certain foreign jurisdictions, there have been a number of legislative and regulatory changes to the health care system. In particular,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149"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There remain judicial, administrative, executive, and legislative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on November 10, 2020. In addition, the former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especially given the new administration. We cannot predict what affect further changes to the ACA would have on our business.</w:t>
      </w:r>
    </w:p>
    <w:p>
      <w:pPr>
        <w:spacing w:after="0" w:line="141" w:lineRule="exact"/>
        <w:rPr>
          <w:sz w:val="20"/>
          <w:szCs w:val="20"/>
          <w:color w:val="auto"/>
        </w:rPr>
      </w:pPr>
    </w:p>
    <w:p>
      <w:pPr>
        <w:ind w:right="80" w:firstLine="501"/>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remain in effect through 2030 unless additional Congressional action is taken. However, the Medicare sequester reductions under the Budget Control Act of 2011 will be suspended from May 1, 2020 through March 31, 2021 due to the COVID-19 pandemic. Proposed legislation, if passed, would extend this suspension until the end of the pandemic. The American Taxpayer Relief Act of 2012 further reduced Medicare payments to several providers, including hospitals and cancer treatment centers, and increased the statute of limitations period for the government to recover overpayments to providers from three to five years.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131" w:lineRule="exact"/>
        <w:rPr>
          <w:sz w:val="20"/>
          <w:szCs w:val="20"/>
          <w:color w:val="auto"/>
        </w:rPr>
      </w:pPr>
    </w:p>
    <w:p>
      <w:pPr>
        <w:ind w:right="140" w:firstLine="501"/>
        <w:spacing w:after="0" w:line="263"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pricing practices in light of the rising cost of prescription drugs and biologics. At the federal level, the form Trump administration’s budget proposal for the fiscal year 2021 includes a $135 billion allowance to support legislative proposals seeking to reduce drug prices, increase competition,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51" w:name="page52"/>
    <w:bookmarkEnd w:id="51"/>
    <w:p>
      <w:pPr>
        <w:ind w:right="60"/>
        <w:spacing w:after="0" w:line="287" w:lineRule="auto"/>
        <w:rPr>
          <w:sz w:val="20"/>
          <w:szCs w:val="20"/>
          <w:color w:val="auto"/>
        </w:rPr>
      </w:pPr>
      <w:r>
        <w:rPr>
          <w:rFonts w:ascii="Arial" w:cs="Arial" w:eastAsia="Arial" w:hAnsi="Arial"/>
          <w:sz w:val="16"/>
          <w:szCs w:val="16"/>
          <w:color w:val="auto"/>
        </w:rPr>
        <w:t>lower out-of-pocket drug costs for patients, and increase patient access to lower-cost generic and biosimilar drugs. On March 10, 2020, the former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Moreover, the former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Although a number of these and other measures may require additional authorization to become effective, the Biden administration may reserve or otherwise change the measures, Congress has indicated that it will continue to seek new legislative and/or administrative measures to control drug costs. 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1"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Legislative and regulatory proposals, and enactment of laws, at the foreign, federal, and state levels, directed at containing or lowering the cost of healthcare, will likely continue into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Regulation</w:t>
      </w:r>
    </w:p>
    <w:p>
      <w:pPr>
        <w:spacing w:after="0" w:line="185"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product development, the conduct of clinical trials, manufacturing, distribution, marketing approval,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spacing w:after="0" w:line="160"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0" w:lineRule="exact"/>
        <w:rPr>
          <w:sz w:val="20"/>
          <w:szCs w:val="20"/>
          <w:color w:val="auto"/>
        </w:rPr>
      </w:pPr>
    </w:p>
    <w:p>
      <w:pPr>
        <w:jc w:val="both"/>
        <w:ind w:right="200" w:firstLine="501"/>
        <w:spacing w:after="0" w:line="263" w:lineRule="auto"/>
        <w:rPr>
          <w:sz w:val="20"/>
          <w:szCs w:val="20"/>
          <w:color w:val="auto"/>
        </w:rPr>
      </w:pPr>
      <w:r>
        <w:rPr>
          <w:rFonts w:ascii="Arial" w:cs="Arial" w:eastAsia="Arial" w:hAnsi="Arial"/>
          <w:sz w:val="18"/>
          <w:szCs w:val="18"/>
          <w:color w:val="auto"/>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clinical trials regulation</w:t>
      </w:r>
    </w:p>
    <w:p>
      <w:pPr>
        <w:spacing w:after="0" w:line="198" w:lineRule="exact"/>
        <w:rPr>
          <w:sz w:val="20"/>
          <w:szCs w:val="20"/>
          <w:color w:val="auto"/>
        </w:rPr>
      </w:pPr>
    </w:p>
    <w:p>
      <w:pPr>
        <w:ind w:right="280" w:firstLine="501"/>
        <w:spacing w:after="0" w:line="257" w:lineRule="auto"/>
        <w:rPr>
          <w:sz w:val="20"/>
          <w:szCs w:val="20"/>
          <w:color w:val="auto"/>
        </w:rPr>
      </w:pPr>
      <w:r>
        <w:rPr>
          <w:rFonts w:ascii="Arial" w:cs="Arial" w:eastAsia="Arial" w:hAnsi="Arial"/>
          <w:sz w:val="18"/>
          <w:szCs w:val="18"/>
          <w:color w:val="auto"/>
        </w:rPr>
        <w:t>In the EU, a Clinical Trial Application, or CTA, must be submitted for each clinical trial to each country’s national competent authority, or NCA, and at least one independent Ethics Committee, or EC, much like the FDA and an IRB, respectively. Once the CTA is approved in accordance with a country’s requirements, the corresponding clinical trial may proceed.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147"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In April 2014, the EU adopted a new Clinical Trials Regulation (EU) No 536/2014, or Regulation, which is set to replace the current Clinical Trials Directive 2001/20/EC and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Regulation provides for a streamlined application procedure via a single-entry point and strictly defined deadlines for the assessment of CTAs. It is expected that the new Regulation will come into effect following confirmation of full functionality of the Clinical Trials Information System, the centralized EU portal and database for clinical trials foreseen by the new Regulation, through an independent audit, which is currently expected to occur in December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review and approval</w:t>
      </w:r>
    </w:p>
    <w:p>
      <w:pPr>
        <w:spacing w:after="0" w:line="198" w:lineRule="exact"/>
        <w:rPr>
          <w:sz w:val="20"/>
          <w:szCs w:val="20"/>
          <w:color w:val="auto"/>
        </w:rPr>
      </w:pPr>
    </w:p>
    <w:p>
      <w:pPr>
        <w:ind w:right="60" w:firstLine="501"/>
        <w:spacing w:after="0" w:line="271" w:lineRule="auto"/>
        <w:rPr>
          <w:sz w:val="20"/>
          <w:szCs w:val="20"/>
          <w:color w:val="auto"/>
        </w:rPr>
      </w:pPr>
      <w:r>
        <w:rPr>
          <w:rFonts w:ascii="Arial" w:cs="Arial" w:eastAsia="Arial" w:hAnsi="Arial"/>
          <w:sz w:val="17"/>
          <w:szCs w:val="17"/>
          <w:color w:val="auto"/>
        </w:rPr>
        <w:t>To obtain a marketing authorization in the European Economic Area, or EEA (comprising the EU Member States, plus Norway, Iceland, and Liechtenstein), a company may submit marketing authorization applications either under a centralized procedure administered by the European Medicines Agency, or EMA, or one of the procedures administered by competent authorities in the EEA Member States (decentralized procedure, national procedure, or mutual recognition procedure). The centralized procedure is compulsory for certain medicines, including those produced by biotechnology, products designated as orphan medicinal products,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The centralized procedure is optional for those medicines which contain a new active substance, or which are a significant therapeutic, scientific, or technical innovation or whose authorization would be in the interest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2" w:name="page53"/>
    <w:bookmarkEnd w:id="52"/>
    <w:p>
      <w:pPr>
        <w:ind w:right="60"/>
        <w:spacing w:after="0" w:line="253" w:lineRule="auto"/>
        <w:rPr>
          <w:sz w:val="20"/>
          <w:szCs w:val="20"/>
          <w:color w:val="auto"/>
        </w:rPr>
      </w:pPr>
      <w:r>
        <w:rPr>
          <w:rFonts w:ascii="Arial" w:cs="Arial" w:eastAsia="Arial" w:hAnsi="Arial"/>
          <w:sz w:val="18"/>
          <w:szCs w:val="18"/>
          <w:color w:val="auto"/>
        </w:rPr>
        <w:t>public health. The centralized procedure provides for the grant of a single marketing authorization that is valid throughout the EEA.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Committee for Medicinal Products for Human Use, or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67" w:lineRule="exact"/>
        <w:rPr>
          <w:sz w:val="20"/>
          <w:szCs w:val="20"/>
          <w:color w:val="auto"/>
        </w:rPr>
      </w:pPr>
    </w:p>
    <w:p>
      <w:pPr>
        <w:ind w:right="20" w:firstLine="501"/>
        <w:spacing w:after="0" w:line="275" w:lineRule="auto"/>
        <w:rPr>
          <w:sz w:val="20"/>
          <w:szCs w:val="20"/>
          <w:color w:val="auto"/>
        </w:rPr>
      </w:pPr>
      <w:r>
        <w:rPr>
          <w:rFonts w:ascii="Arial" w:cs="Arial" w:eastAsia="Arial" w:hAnsi="Arial"/>
          <w:sz w:val="17"/>
          <w:szCs w:val="17"/>
          <w:color w:val="auto"/>
        </w:rPr>
        <w:t>Through the decentralized procedure, a medicinal product that has not yet been authorized in the EEA can be simultaneously authorized in several EEA Member States. The mutual recognition procedure provides for mutual recognition of national approval decisions. Under this procedure, the holder of a national marketing authorization may submit an application to other EEA Member States. Within 90 days of receiving the applications and assessment reports, each Member State involved must decide whether to recognize the approval. If a Member State does not recognize the marketing authorization, the disputed points are eventually referred to the European Commission, whose decision is binding.</w:t>
      </w:r>
    </w:p>
    <w:p>
      <w:pPr>
        <w:spacing w:after="0" w:line="136"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orphan drug designation and exclusivity</w:t>
      </w:r>
    </w:p>
    <w:p>
      <w:pPr>
        <w:spacing w:after="0" w:line="198" w:lineRule="exact"/>
        <w:rPr>
          <w:sz w:val="20"/>
          <w:szCs w:val="20"/>
          <w:color w:val="auto"/>
        </w:rPr>
      </w:pPr>
    </w:p>
    <w:p>
      <w:pPr>
        <w:ind w:right="40" w:firstLine="501"/>
        <w:spacing w:after="0" w:line="285" w:lineRule="auto"/>
        <w:rPr>
          <w:sz w:val="20"/>
          <w:szCs w:val="20"/>
          <w:color w:val="auto"/>
        </w:rPr>
      </w:pPr>
      <w:r>
        <w:rPr>
          <w:rFonts w:ascii="Arial" w:cs="Arial" w:eastAsia="Arial" w:hAnsi="Arial"/>
          <w:sz w:val="16"/>
          <w:szCs w:val="16"/>
          <w:color w:val="auto"/>
        </w:rPr>
        <w:t>As in the U.S., we may apply for designation of a product candidate as an orphan drug for the treatment of a specific indication in the EEA before the application for marketing authorization is made. The criteria for designating an “orphan medicinal product” in the EEA are similar in principle to those in the United States.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Sponsors of orphan drugs can enjoy economic and marketing benefits, including a reduction of fees or fee waivers and up to ten years of market exclusivity for the approved indication. During such period of market exclusivity, marketing authorization applications for “similar medicinal products” will not be accepted, unless another applicant can show that its product is safer, more effective or otherwise clinically superior to the orphan-designated product, the marketing authorization holder consents to the second orphan medicinal product application, or where the marketing authorization holder cannot supply enough orphan medicinal product. In the EEA, a “similar medicinal product” is a medicinal product containing a similar active substance or substances as contained in a currently authorized orphan medicinal product, and which is intended for the same therapeutic indication. 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85" w:lineRule="exact"/>
        <w:rPr>
          <w:sz w:val="20"/>
          <w:szCs w:val="20"/>
          <w:color w:val="auto"/>
        </w:rPr>
      </w:pPr>
    </w:p>
    <w:p>
      <w:pPr>
        <w:ind w:right="140" w:firstLine="501"/>
        <w:spacing w:after="0" w:line="271" w:lineRule="auto"/>
        <w:rPr>
          <w:sz w:val="20"/>
          <w:szCs w:val="20"/>
          <w:color w:val="auto"/>
        </w:rPr>
      </w:pPr>
      <w:r>
        <w:rPr>
          <w:rFonts w:ascii="Arial" w:cs="Arial" w:eastAsia="Arial" w:hAnsi="Arial"/>
          <w:sz w:val="17"/>
          <w:szCs w:val="17"/>
          <w:color w:val="auto"/>
        </w:rPr>
        <w:t>In June 2016, the electorate in the UK voted in favor of leaving the EU (commonly referred to as “Brexit”). Thereafter, in March 2017, the country formally notified the EU of its intention to withdraw pursuant to Article 50 of the Lisbon Treaty and the UK formally left the EU on January 31, 2020. A transition period began on February 1, 2020, during which EU pharmaceutical law remained applicable to the UK. This transition period ended on December 31, 2020. Since the regulatory framework in the UK covering the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UK, as UK legislation now has the potential to diverge from EU legislation. It remains to be seen how Brexit will impact regulatory requirements for product candidates and products in the UK in the long-term. The MHRA has recently published detailed guidance for industry and organizations to follow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from January 1, 2021 now the transition period is over, which will be updated as the UK’s regulatory position on medicinal products evolves over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Successful commercialization of new drug products depends in part on the extent to which reimbursement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paid for by health maintenance, managed care, pharmacy benefit and similar healthcare management organizations, or reimbursed by government health administration authorities, private health coverage insurers and other third-party payors.</w:t>
      </w:r>
    </w:p>
    <w:p>
      <w:pPr>
        <w:spacing w:after="0" w:line="154" w:lineRule="exact"/>
        <w:rPr>
          <w:sz w:val="20"/>
          <w:szCs w:val="20"/>
          <w:color w:val="auto"/>
        </w:rPr>
      </w:pPr>
    </w:p>
    <w:p>
      <w:pPr>
        <w:ind w:right="40" w:firstLine="501"/>
        <w:spacing w:after="0" w:line="29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third-party payors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spacing w:after="0" w:line="134"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In the United States, the principal decisions about reimbursement for new drug products are typically made by CMS, an agency within the HHS. CMS decides whether and to what extent a new drug product will be 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w:t>
      </w:r>
    </w:p>
    <w:p>
      <w:pPr>
        <w:spacing w:after="0" w:line="146"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1"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average manufacturer price, or AMP, and Medicaid rebate data, the revisions to the Medicaid rebate formula and AMP definition described above could cause the required 340B discount to increase. 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product candidates, if any such drug or the condition that they are intended to treat are the subject of a trial. It is also possible that comparative effectiveness research demonstrating benefits in a competitor’s drug could adversely affect the sales of our product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40"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candidates for which we may obtain regulatory approval or the frequency with which any such product candidate is prescribed or used.</w:t>
      </w:r>
    </w:p>
    <w:p>
      <w:pPr>
        <w:spacing w:after="0" w:line="198"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2020, we had 78 full-time employees, including 32 with Ph.D. or M.D. degrees and 61 are engaged in</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research and development activities. None of our employees are represented by labor unions or covered by collective bargaining agreements, and we have experienced no work stoppages. We consider our relationship with our employees to be good.</w:t>
      </w:r>
    </w:p>
    <w:p>
      <w:pPr>
        <w:spacing w:after="0" w:line="185" w:lineRule="exact"/>
        <w:rPr>
          <w:sz w:val="20"/>
          <w:szCs w:val="20"/>
          <w:color w:val="auto"/>
        </w:rPr>
      </w:pPr>
    </w:p>
    <w:p>
      <w:pPr>
        <w:ind w:right="280" w:firstLine="749"/>
        <w:spacing w:after="0" w:line="293" w:lineRule="auto"/>
        <w:rPr>
          <w:sz w:val="20"/>
          <w:szCs w:val="20"/>
          <w:color w:val="auto"/>
        </w:rPr>
      </w:pPr>
      <w:r>
        <w:rPr>
          <w:rFonts w:ascii="Arial" w:cs="Arial" w:eastAsia="Arial" w:hAnsi="Arial"/>
          <w:sz w:val="16"/>
          <w:szCs w:val="16"/>
          <w:color w:val="auto"/>
        </w:rPr>
        <w:t>We rely on skilled, experienced, and innovative employees to conduct the operations of our company and we continue to face intense competition for our personnel from our competitors and other companies throughout our industry. The biotechnology industry is very competitive and recruiting and retaining such employees is important to the continued success of our business. We are committed to building an outstanding, committed team and we focus on a culture that values a focus on scientific innovation, inclusion, collaboration, and equity. We believe that each employee brings unique perspectives and strengths, and by embracing these strengths, we can do our best work for patients. We focus on recruiting, retaining, and developing employees from a diverse range of backgrounds to conduct our research, development, and clinical activities.</w:t>
      </w:r>
    </w:p>
    <w:p>
      <w:pPr>
        <w:spacing w:after="0" w:line="16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As part of our measures to attract and retain a highly skilled workforce, we provide a number of benefits to our full-time employees, including medical, dental and vision insurance, life insurance, 401k retirement program with a company match, flexible spending accounts, and paid holiday and vacation time. We provide our employees with competitive salaries and bonuses, opportunities for equity ownership, development opportunities that enable continued learning and growth and a robust employment package that promotes well-being across all aspects of their lives. In addition, we regularly conduct an employee survey to gauge employee engagement and identify areas of focus.</w:t>
      </w:r>
    </w:p>
    <w:p>
      <w:pPr>
        <w:spacing w:after="0" w:line="188"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In 2020, we enhanced and expanded our employee benefits in response to the COVID-19 pandemic. For example, we increased company-wide flexible work arrangements, provided resources to enable employees to work from home, and introduced weekly onsite COVID-19 testing for all employees routinely working onsite. Our management has continued to assess and respond to the evolving needs of our workforce throughout the pandemic.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02" w:lineRule="exact"/>
        <w:rPr>
          <w:sz w:val="20"/>
          <w:szCs w:val="20"/>
          <w:color w:val="auto"/>
        </w:rPr>
      </w:pPr>
    </w:p>
    <w:p>
      <w:pPr>
        <w:ind w:right="400" w:firstLine="494"/>
        <w:spacing w:after="0" w:line="308" w:lineRule="auto"/>
        <w:rPr>
          <w:sz w:val="20"/>
          <w:szCs w:val="20"/>
          <w:color w:val="auto"/>
        </w:rPr>
      </w:pPr>
      <w:r>
        <w:rPr>
          <w:rFonts w:ascii="Arial" w:cs="Arial" w:eastAsia="Arial" w:hAnsi="Arial"/>
          <w:sz w:val="17"/>
          <w:szCs w:val="17"/>
          <w:color w:val="auto"/>
        </w:rPr>
        <w:t>We were incorporated under the laws of the State of Delaware in June 2015. Our principal executive office is located at 260 Littlefield Avenue, South San Francisco, California 94080, and our telephone number is (650) 481-6770. Our website address is https://pliantrx.com.</w:t>
      </w:r>
    </w:p>
    <w:p>
      <w:pPr>
        <w:spacing w:after="0" w:line="146" w:lineRule="exact"/>
        <w:rPr>
          <w:sz w:val="20"/>
          <w:szCs w:val="20"/>
          <w:color w:val="auto"/>
        </w:rPr>
      </w:pPr>
    </w:p>
    <w:p>
      <w:pPr>
        <w:ind w:right="60" w:firstLine="494"/>
        <w:spacing w:after="0" w:line="257" w:lineRule="auto"/>
        <w:rPr>
          <w:sz w:val="20"/>
          <w:szCs w:val="20"/>
          <w:color w:val="auto"/>
        </w:rPr>
      </w:pPr>
      <w:r>
        <w:rPr>
          <w:rFonts w:ascii="Arial" w:cs="Arial" w:eastAsia="Arial" w:hAnsi="Arial"/>
          <w:sz w:val="18"/>
          <w:szCs w:val="18"/>
          <w:color w:val="auto"/>
        </w:rPr>
        <w:t>We file or furnish electronically with the U.S. Securities and Exchange Commission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 The SEC maintains an Internet site that contains reports, proxy and information statements and other information regarding our filings at www.sec.gov.</w:t>
      </w:r>
    </w:p>
    <w:p>
      <w:pPr>
        <w:spacing w:after="0" w:line="147" w:lineRule="exact"/>
        <w:rPr>
          <w:sz w:val="20"/>
          <w:szCs w:val="20"/>
          <w:color w:val="auto"/>
        </w:rPr>
      </w:pPr>
    </w:p>
    <w:p>
      <w:pPr>
        <w:ind w:right="200" w:firstLine="501"/>
        <w:spacing w:after="0" w:line="308" w:lineRule="auto"/>
        <w:rPr>
          <w:sz w:val="20"/>
          <w:szCs w:val="20"/>
          <w:color w:val="auto"/>
        </w:rPr>
      </w:pPr>
      <w:r>
        <w:rPr>
          <w:rFonts w:ascii="Arial" w:cs="Arial" w:eastAsia="Arial" w:hAnsi="Arial"/>
          <w:sz w:val="17"/>
          <w:szCs w:val="17"/>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221" w:lineRule="exact"/>
        <w:rPr>
          <w:sz w:val="20"/>
          <w:szCs w:val="20"/>
          <w:color w:val="auto"/>
        </w:rPr>
      </w:pPr>
    </w:p>
    <w:p>
      <w:pPr>
        <w:ind w:right="60" w:firstLine="501"/>
        <w:spacing w:after="0" w:line="291" w:lineRule="auto"/>
        <w:rPr>
          <w:sz w:val="20"/>
          <w:szCs w:val="20"/>
          <w:color w:val="auto"/>
        </w:rPr>
      </w:pPr>
      <w:r>
        <w:rPr>
          <w:rFonts w:ascii="Arial" w:cs="Arial" w:eastAsia="Arial" w:hAnsi="Arial"/>
          <w:sz w:val="16"/>
          <w:szCs w:val="16"/>
          <w:color w:val="auto"/>
        </w:rPr>
        <w:t>We have incurred significant net losses since our inception and have financed our operations principally through equity financing and our collaboration with Novartis. We continue to incur significant research and development and other expenses related to our ongoing operations. For the years ended December 31, 2020 and 2019, we reported a net loss of $41.5 million and $0.6 million, respectively. As of December 31, 2020, and 2019, we had an accumulated deficit of $117.8 million and $76.3 million, respectively.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market approved products and additional potential product candidates.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w:t>
      </w:r>
    </w:p>
    <w:p>
      <w:pPr>
        <w:spacing w:after="0" w:line="170" w:lineRule="exact"/>
        <w:rPr>
          <w:sz w:val="20"/>
          <w:szCs w:val="20"/>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lead product candidate, PLN-74809, and our second product candidate, PLN 1474, and our other product candidates through clinical development, and, if successful, later-stage clinical trials;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preclinical development programs into clinical development;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develop manufacturing processes and manufacture our product candidates;</w:t>
      </w:r>
    </w:p>
    <w:p>
      <w:pPr>
        <w:spacing w:after="0" w:line="18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8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129"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build out our organization to engage in such activities.</w:t>
      </w:r>
    </w:p>
    <w:p>
      <w:pPr>
        <w:spacing w:after="0" w:line="185" w:lineRule="exact"/>
        <w:rPr>
          <w:sz w:val="20"/>
          <w:szCs w:val="20"/>
          <w:color w:val="auto"/>
        </w:rPr>
      </w:pPr>
    </w:p>
    <w:p>
      <w:pPr>
        <w:ind w:firstLine="494"/>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jc w:val="both"/>
        <w:ind w:left="26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57" w:lineRule="exact"/>
        <w:rPr>
          <w:sz w:val="20"/>
          <w:szCs w:val="20"/>
          <w:color w:val="auto"/>
        </w:rPr>
      </w:pPr>
    </w:p>
    <w:p>
      <w:pPr>
        <w:ind w:right="60" w:firstLine="501"/>
        <w:spacing w:after="0" w:line="291"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PLN-1474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26"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As of December 31, 2020, we had approximately $276.9 million in cash, cash equivalents and short-term investments. Based on our current operating plan, we believe that the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151"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due to the COVID-19 pandemic;</w:t>
      </w:r>
    </w:p>
    <w:p>
      <w:pPr>
        <w:spacing w:after="0" w:line="18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capital commitments required for developing manufacturing processes for our product candidates and manufacturing our product candidates at clinical and commercial scales;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8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129"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able to maintain our existing collaboration with Novartis and enter into additional collaboration agreements and the terms of any such agreements;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84"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8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30" w:lineRule="exact"/>
        <w:rPr>
          <w:sz w:val="20"/>
          <w:szCs w:val="20"/>
          <w:color w:val="auto"/>
        </w:rPr>
      </w:pPr>
    </w:p>
    <w:p>
      <w:pPr>
        <w:ind w:right="40" w:firstLine="501"/>
        <w:spacing w:after="0" w:line="270"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ind w:right="40"/>
        <w:spacing w:after="0" w:line="271" w:lineRule="auto"/>
        <w:rPr>
          <w:sz w:val="20"/>
          <w:szCs w:val="20"/>
          <w:color w:val="auto"/>
        </w:rPr>
      </w:pPr>
      <w:r>
        <w:rPr>
          <w:rFonts w:ascii="Arial" w:cs="Arial" w:eastAsia="Arial" w:hAnsi="Arial"/>
          <w:sz w:val="17"/>
          <w:szCs w:val="17"/>
          <w:color w:val="auto"/>
        </w:rPr>
        <w:t>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5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130" w:lineRule="exact"/>
        <w:rPr>
          <w:sz w:val="20"/>
          <w:szCs w:val="20"/>
          <w:color w:val="auto"/>
        </w:rPr>
      </w:pPr>
    </w:p>
    <w:p>
      <w:pPr>
        <w:ind w:right="420" w:firstLine="501"/>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30" w:lineRule="exact"/>
        <w:rPr>
          <w:sz w:val="20"/>
          <w:szCs w:val="20"/>
          <w:color w:val="auto"/>
        </w:rPr>
      </w:pPr>
    </w:p>
    <w:p>
      <w:pPr>
        <w:ind w:left="1000" w:right="4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96"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29"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difficulty of manufacture, quantity of production and the terms of our agreements with manufacturers;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8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or extraordinary external events, such as recessions or the COVID-19 pandemic;</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85" w:lineRule="exact"/>
        <w:rPr>
          <w:sz w:val="20"/>
          <w:szCs w:val="20"/>
          <w:color w:val="auto"/>
        </w:rPr>
      </w:pPr>
    </w:p>
    <w:p>
      <w:pPr>
        <w:ind w:right="180" w:firstLine="501"/>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85" w:lineRule="exact"/>
        <w:rPr>
          <w:sz w:val="20"/>
          <w:szCs w:val="20"/>
          <w:color w:val="auto"/>
        </w:rPr>
      </w:pPr>
    </w:p>
    <w:p>
      <w:pPr>
        <w:ind w:left="260" w:right="180" w:firstLine="483"/>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We were incorporated in 2015, have no products approved for commercial sale and have not generated any revenue.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ind w:left="260" w:right="20"/>
        <w:spacing w:after="0" w:line="286" w:lineRule="auto"/>
        <w:rPr>
          <w:sz w:val="20"/>
          <w:szCs w:val="20"/>
          <w:color w:val="auto"/>
        </w:rPr>
      </w:pPr>
      <w:r>
        <w:rPr>
          <w:rFonts w:ascii="Arial" w:cs="Arial" w:eastAsia="Arial" w:hAnsi="Arial"/>
          <w:sz w:val="16"/>
          <w:szCs w:val="16"/>
          <w:color w:val="auto"/>
        </w:rPr>
        <w:t>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our second product candidate, PLN-1474, is in early clinical development. Both programs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147" w:lineRule="exact"/>
        <w:rPr>
          <w:sz w:val="20"/>
          <w:szCs w:val="20"/>
          <w:color w:val="auto"/>
        </w:rPr>
      </w:pPr>
    </w:p>
    <w:p>
      <w:pPr>
        <w:jc w:val="both"/>
        <w:ind w:left="260" w:firstLine="483"/>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143" w:lineRule="exact"/>
        <w:rPr>
          <w:sz w:val="20"/>
          <w:szCs w:val="20"/>
          <w:color w:val="auto"/>
        </w:rPr>
      </w:pPr>
    </w:p>
    <w:p>
      <w:pPr>
        <w:ind w:right="40" w:firstLine="501"/>
        <w:spacing w:after="0" w:line="291" w:lineRule="auto"/>
        <w:rPr>
          <w:sz w:val="20"/>
          <w:szCs w:val="20"/>
          <w:color w:val="auto"/>
        </w:rPr>
      </w:pPr>
      <w:r>
        <w:rPr>
          <w:rFonts w:ascii="Arial" w:cs="Arial" w:eastAsia="Arial" w:hAnsi="Arial"/>
          <w:sz w:val="16"/>
          <w:szCs w:val="16"/>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We are enrolling two Phase 2a trials in IPF, including a PET imaging trial. We are also conducting a Phase 2a PSC trial which is currently enrolling patients. PLN-74809 is also being evaluated in an ongoing Phase 2a trial to evaluate its potential to address ARDS in patients with at least severe COVID-19. We are also collaborating with Novartis to develop PLN-1474 for liver fibrosis associated with nonalcoholic steatohepatitis, or NASH and have completed a Phase 1a SAD/MAD study evaluating PLN-1474 in healthy volunteers.</w:t>
      </w:r>
    </w:p>
    <w:p>
      <w:pPr>
        <w:spacing w:after="0" w:line="126"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may experience setbacks that could delay or prevent regulatory approval of, or our ability to commercialize, our product candidates, including:</w:t>
      </w:r>
    </w:p>
    <w:p>
      <w:pPr>
        <w:spacing w:after="0" w:line="208" w:lineRule="exact"/>
        <w:rPr>
          <w:sz w:val="20"/>
          <w:szCs w:val="20"/>
          <w:color w:val="auto"/>
        </w:rPr>
      </w:pPr>
    </w:p>
    <w:p>
      <w:pPr>
        <w:ind w:left="1000" w:right="260" w:hanging="493"/>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05" w:lineRule="exact"/>
        <w:rPr>
          <w:rFonts w:ascii="Arial" w:cs="Arial" w:eastAsia="Arial" w:hAnsi="Arial"/>
          <w:sz w:val="17"/>
          <w:szCs w:val="17"/>
          <w:color w:val="auto"/>
        </w:rPr>
      </w:pPr>
    </w:p>
    <w:p>
      <w:pPr>
        <w:ind w:left="1000" w:right="2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129"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subjects in clinical trials, including due to the COVID-19 pandemic;</w:t>
      </w:r>
    </w:p>
    <w:p>
      <w:pPr>
        <w:spacing w:after="0" w:line="18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 inadequate supply or quality of product candidates or other materials necessary for the conduct of our clinical trials;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manufacturing our product candidates to regulatory requirements in a cost effective manner;</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8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29"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related to the impact of the spread of the COVID-19 pandemic, including the impact of COVID-19 on the FDA’s ability to continue its normal operations;</w:t>
      </w:r>
    </w:p>
    <w:p>
      <w:pPr>
        <w:spacing w:after="0" w:line="129"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85" w:lineRule="exact"/>
        <w:rPr>
          <w:sz w:val="20"/>
          <w:szCs w:val="20"/>
          <w:color w:val="auto"/>
        </w:rPr>
      </w:pPr>
    </w:p>
    <w:p>
      <w:pPr>
        <w:ind w:right="580" w:firstLine="501"/>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157"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130" w:lineRule="exact"/>
        <w:rPr>
          <w:sz w:val="20"/>
          <w:szCs w:val="20"/>
          <w:color w:val="auto"/>
        </w:rPr>
      </w:pPr>
    </w:p>
    <w:p>
      <w:pPr>
        <w:ind w:right="120" w:firstLine="501"/>
        <w:spacing w:after="0" w:line="254" w:lineRule="auto"/>
        <w:rPr>
          <w:sz w:val="20"/>
          <w:szCs w:val="20"/>
          <w:color w:val="auto"/>
        </w:rPr>
      </w:pPr>
      <w:r>
        <w:rPr>
          <w:rFonts w:ascii="Arial" w:cs="Arial" w:eastAsia="Arial" w:hAnsi="Arial"/>
          <w:sz w:val="18"/>
          <w:szCs w:val="18"/>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151" w:lineRule="exact"/>
        <w:rPr>
          <w:sz w:val="20"/>
          <w:szCs w:val="20"/>
          <w:color w:val="auto"/>
        </w:rPr>
      </w:pPr>
    </w:p>
    <w:p>
      <w:pPr>
        <w:ind w:right="120" w:firstLine="501"/>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38"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on our behalf. Even in the absence of violations resulting in penalties, regulatory and other authorities may refuse to authorize the conduct or to accept the results of studies for regulatory or ethical reasons.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98" w:lineRule="exact"/>
        <w:rPr>
          <w:sz w:val="20"/>
          <w:szCs w:val="20"/>
          <w:color w:val="auto"/>
        </w:rPr>
      </w:pPr>
    </w:p>
    <w:p>
      <w:pPr>
        <w:ind w:right="60" w:firstLine="501"/>
        <w:spacing w:after="0" w:line="26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144" w:lineRule="exact"/>
        <w:rPr>
          <w:sz w:val="20"/>
          <w:szCs w:val="20"/>
          <w:color w:val="auto"/>
        </w:rPr>
      </w:pPr>
    </w:p>
    <w:p>
      <w:pPr>
        <w:ind w:left="1000" w:right="1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of competing products in the same disease state;</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207"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30" w:lineRule="exact"/>
        <w:rPr>
          <w:sz w:val="20"/>
          <w:szCs w:val="20"/>
          <w:color w:val="auto"/>
        </w:rPr>
      </w:pPr>
    </w:p>
    <w:p>
      <w:pPr>
        <w:jc w:val="both"/>
        <w:ind w:right="220" w:firstLine="501"/>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w:t>
      </w:r>
    </w:p>
    <w:p>
      <w:pPr>
        <w:spacing w:after="0" w:line="2"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40"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41"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1" w:name="page62"/>
    <w:bookmarkEnd w:id="61"/>
    <w:p>
      <w:pPr>
        <w:ind w:right="140"/>
        <w:spacing w:after="0" w:line="263" w:lineRule="auto"/>
        <w:rPr>
          <w:sz w:val="20"/>
          <w:szCs w:val="20"/>
          <w:color w:val="auto"/>
        </w:rPr>
      </w:pPr>
      <w:r>
        <w:rPr>
          <w:rFonts w:ascii="Arial" w:cs="Arial" w:eastAsia="Arial" w:hAnsi="Arial"/>
          <w:sz w:val="18"/>
          <w:szCs w:val="18"/>
          <w:color w:val="auto"/>
        </w:rPr>
        <w:t>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57" w:lineRule="exact"/>
        <w:rPr>
          <w:sz w:val="20"/>
          <w:szCs w:val="20"/>
          <w:color w:val="auto"/>
        </w:rPr>
      </w:pPr>
    </w:p>
    <w:p>
      <w:pPr>
        <w:ind w:right="220" w:firstLine="501"/>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147"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130"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57" w:lineRule="exact"/>
        <w:rPr>
          <w:sz w:val="20"/>
          <w:szCs w:val="20"/>
          <w:color w:val="auto"/>
        </w:rPr>
      </w:pPr>
    </w:p>
    <w:p>
      <w:pPr>
        <w:ind w:left="1000" w:right="1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29"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143" w:lineRule="exact"/>
        <w:rPr>
          <w:rFonts w:ascii="Arial" w:cs="Arial" w:eastAsia="Arial" w:hAnsi="Arial"/>
          <w:sz w:val="18"/>
          <w:szCs w:val="18"/>
          <w:color w:val="auto"/>
        </w:rPr>
      </w:pPr>
    </w:p>
    <w:p>
      <w:pPr>
        <w:jc w:val="both"/>
        <w:ind w:left="1000" w:right="26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143"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29"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3" w:lineRule="exact"/>
        <w:rPr>
          <w:rFonts w:ascii="Arial" w:cs="Arial" w:eastAsia="Arial" w:hAnsi="Arial"/>
          <w:sz w:val="18"/>
          <w:szCs w:val="18"/>
          <w:color w:val="auto"/>
        </w:rPr>
      </w:pPr>
    </w:p>
    <w:p>
      <w:pPr>
        <w:ind w:left="1000" w:right="80" w:hanging="493"/>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124" w:lineRule="exact"/>
        <w:rPr>
          <w:rFonts w:ascii="Arial" w:cs="Arial" w:eastAsia="Arial" w:hAnsi="Arial"/>
          <w:sz w:val="17"/>
          <w:szCs w:val="17"/>
          <w:color w:val="auto"/>
        </w:rPr>
      </w:pPr>
    </w:p>
    <w:p>
      <w:pPr>
        <w:ind w:left="1000" w:right="1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129"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43"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129"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129"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ind w:right="60" w:firstLine="501"/>
        <w:spacing w:after="0" w:line="272"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50" w:lineRule="exact"/>
        <w:rPr>
          <w:sz w:val="20"/>
          <w:szCs w:val="20"/>
          <w:color w:val="auto"/>
        </w:rPr>
      </w:pPr>
    </w:p>
    <w:p>
      <w:pPr>
        <w:ind w:left="260"/>
        <w:spacing w:after="0" w:line="381"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60" w:lineRule="exact"/>
        <w:rPr>
          <w:sz w:val="20"/>
          <w:szCs w:val="20"/>
          <w:color w:val="auto"/>
        </w:rPr>
      </w:pPr>
    </w:p>
    <w:p>
      <w:pPr>
        <w:ind w:right="100" w:firstLine="501"/>
        <w:spacing w:after="0" w:line="286" w:lineRule="auto"/>
        <w:rPr>
          <w:sz w:val="20"/>
          <w:szCs w:val="20"/>
          <w:color w:val="auto"/>
        </w:rPr>
      </w:pPr>
      <w:r>
        <w:rPr>
          <w:rFonts w:ascii="Arial" w:cs="Arial" w:eastAsia="Arial" w:hAnsi="Arial"/>
          <w:sz w:val="16"/>
          <w:szCs w:val="16"/>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 In addition, the FDA recently issued a “safe to proceed” letter in relation to our plans to evaluate PLN-74809 in COVID-19-related acute respiratory distress syndrome, for which we recently initiated a Phase 2a trial. We thus far have not conducted any clinical development of this product candidate for such indication or in an acute setting. As a result, we may observe the incidence of adverse events or serious adverse events upon further development of PLN-74809 in this patient population, and such incidence may be magnified in patients with COVID-19 due to the critical and often life-threatening nature of the underlying disease. If we encounter adverse safety issues with PLN-74809 during its development for COVID-19-related acute respiratory distress syndrome, such an outcome may adversely color the perceptions of clinicians, regulatory agencies, patients and others with respect to the safety profile of PLN-74809 in other indications.</w:t>
      </w:r>
    </w:p>
    <w:p>
      <w:pPr>
        <w:spacing w:after="0" w:line="133" w:lineRule="exact"/>
        <w:rPr>
          <w:sz w:val="20"/>
          <w:szCs w:val="20"/>
          <w:color w:val="auto"/>
        </w:rPr>
      </w:pPr>
    </w:p>
    <w:p>
      <w:pPr>
        <w:ind w:right="160" w:firstLine="501"/>
        <w:spacing w:after="0" w:line="259" w:lineRule="auto"/>
        <w:rPr>
          <w:sz w:val="20"/>
          <w:szCs w:val="20"/>
          <w:color w:val="auto"/>
        </w:rPr>
      </w:pPr>
      <w:r>
        <w:rPr>
          <w:rFonts w:ascii="Arial" w:cs="Arial" w:eastAsia="Arial" w:hAnsi="Arial"/>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160"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jc w:val="both"/>
        <w:ind w:right="620" w:firstLine="501"/>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43"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8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or availability (including legality under applicable COVID-19 shelter-in-place regulations) of patients to participate in our trials (including due to fears of contracting COVID-19);</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84" w:lineRule="exact"/>
        <w:rPr>
          <w:rFonts w:ascii="Arial" w:cs="Arial" w:eastAsia="Arial" w:hAnsi="Arial"/>
          <w:sz w:val="18"/>
          <w:szCs w:val="18"/>
          <w:color w:val="auto"/>
        </w:rPr>
      </w:pPr>
    </w:p>
    <w:p>
      <w:pPr>
        <w:ind w:left="1000" w:right="60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05"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product candidates’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3" w:name="page64"/>
    <w:bookmarkEnd w:id="63"/>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85"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65" w:lineRule="exact"/>
        <w:rPr>
          <w:sz w:val="20"/>
          <w:szCs w:val="20"/>
          <w:color w:val="auto"/>
        </w:rPr>
      </w:pPr>
    </w:p>
    <w:p>
      <w:pPr>
        <w:ind w:right="20" w:firstLine="501"/>
        <w:spacing w:after="0" w:line="288" w:lineRule="auto"/>
        <w:rPr>
          <w:sz w:val="20"/>
          <w:szCs w:val="20"/>
          <w:color w:val="auto"/>
        </w:rPr>
      </w:pPr>
      <w:r>
        <w:rPr>
          <w:rFonts w:ascii="Arial" w:cs="Arial" w:eastAsia="Arial" w:hAnsi="Arial"/>
          <w:sz w:val="16"/>
          <w:szCs w:val="16"/>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believe we are experiencing slower than expected enrollment due to the pandemic. With respect to our PLN-74809 program for COVID-19 ARDS, we have initiated a Phase 2a trial evaluating the potential of this candidate, but there can be no assurance that we will not encounter challenges in patient enrollment or the conduct of the trial generally. While the Phase 1 trial of PLN-1474 has completed, this trial also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factors from the COVID-19 pandemic that we believe may adversely affect enrollment in our trials include:</w:t>
      </w:r>
    </w:p>
    <w:p>
      <w:pPr>
        <w:spacing w:after="0" w:line="185" w:lineRule="exact"/>
        <w:rPr>
          <w:sz w:val="20"/>
          <w:szCs w:val="20"/>
          <w:color w:val="auto"/>
        </w:rPr>
      </w:pPr>
    </w:p>
    <w:p>
      <w:pPr>
        <w:jc w:val="both"/>
        <w:ind w:left="1000" w:right="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jc w:val="both"/>
        <w:ind w:left="1000" w:right="3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143"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18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29"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furlough days that delay necessary interactions with local regulators, ethics committees and other important agencies and contractors.</w:t>
      </w:r>
    </w:p>
    <w:p>
      <w:pPr>
        <w:spacing w:after="0" w:line="130" w:lineRule="exact"/>
        <w:rPr>
          <w:sz w:val="20"/>
          <w:szCs w:val="20"/>
          <w:color w:val="auto"/>
        </w:rPr>
      </w:pPr>
    </w:p>
    <w:p>
      <w:pPr>
        <w:ind w:right="340" w:firstLine="501"/>
        <w:spacing w:after="0" w:line="277" w:lineRule="auto"/>
        <w:rPr>
          <w:sz w:val="20"/>
          <w:szCs w:val="20"/>
          <w:color w:val="auto"/>
        </w:rPr>
      </w:pPr>
      <w:r>
        <w:rPr>
          <w:rFonts w:ascii="Arial" w:cs="Arial" w:eastAsia="Arial" w:hAnsi="Arial"/>
          <w:sz w:val="18"/>
          <w:szCs w:val="18"/>
          <w:color w:val="auto"/>
        </w:rPr>
        <w:t>The global outbreak of the COVID-19 pandemic continues to evolve and the conduct of our trials may continue to be adversely affected, despite efforts to mitigate this impact.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ind w:left="26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98"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In the first of these trials, the study is designed to enroll IPF patients and utilize a positron emission tomography, or PET, ligand to measure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6</w:t>
      </w:r>
      <w:r>
        <w:rPr>
          <w:rFonts w:ascii="Arial" w:cs="Arial" w:eastAsia="Arial" w:hAnsi="Arial"/>
          <w:sz w:val="18"/>
          <w:szCs w:val="18"/>
          <w:color w:val="auto"/>
        </w:rPr>
        <w:t xml:space="preserve"> target engagement by PLN-74809 in the lungs post-treatment. The second trial is a 12-week double blind placebo-controlled trial to evaluate safety, tolerability, and pharmacokinetics (PK) of up three doses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an ongoing Phase 1a trial and may not be able to do so.</w:t>
      </w:r>
    </w:p>
    <w:p>
      <w:pPr>
        <w:spacing w:after="0" w:line="151"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31" w:lineRule="exact"/>
        <w:rPr>
          <w:sz w:val="20"/>
          <w:szCs w:val="20"/>
          <w:color w:val="auto"/>
        </w:rPr>
      </w:pPr>
    </w:p>
    <w:p>
      <w:pPr>
        <w:ind w:right="60" w:firstLine="501"/>
        <w:spacing w:after="0" w:line="290"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38" w:lineRule="exact"/>
        <w:rPr>
          <w:sz w:val="20"/>
          <w:szCs w:val="20"/>
          <w:color w:val="auto"/>
        </w:rPr>
      </w:pPr>
    </w:p>
    <w:p>
      <w:pPr>
        <w:ind w:right="440" w:firstLine="501"/>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30" w:lineRule="exact"/>
        <w:rPr>
          <w:sz w:val="20"/>
          <w:szCs w:val="20"/>
          <w:color w:val="auto"/>
        </w:rPr>
      </w:pPr>
    </w:p>
    <w:p>
      <w:pPr>
        <w:ind w:left="260"/>
        <w:spacing w:after="0" w:line="286" w:lineRule="auto"/>
        <w:rPr>
          <w:sz w:val="20"/>
          <w:szCs w:val="20"/>
          <w:color w:val="auto"/>
        </w:rPr>
      </w:pPr>
      <w:r>
        <w:rPr>
          <w:rFonts w:ascii="Arial" w:cs="Arial" w:eastAsia="Arial" w:hAnsi="Arial"/>
          <w:sz w:val="17"/>
          <w:szCs w:val="17"/>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125"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61"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46"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ind w:right="80" w:firstLine="501"/>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85" w:lineRule="exact"/>
        <w:rPr>
          <w:sz w:val="20"/>
          <w:szCs w:val="20"/>
          <w:color w:val="auto"/>
        </w:rPr>
      </w:pPr>
    </w:p>
    <w:p>
      <w:pPr>
        <w:ind w:right="200" w:firstLine="501"/>
        <w:spacing w:after="0" w:line="254" w:lineRule="auto"/>
        <w:rPr>
          <w:sz w:val="20"/>
          <w:szCs w:val="20"/>
          <w:color w:val="auto"/>
        </w:rPr>
      </w:pPr>
      <w:r>
        <w:rPr>
          <w:rFonts w:ascii="Arial" w:cs="Arial" w:eastAsia="Arial" w:hAnsi="Arial"/>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4" w:lineRule="exact"/>
        <w:rPr>
          <w:sz w:val="20"/>
          <w:szCs w:val="20"/>
          <w:color w:val="auto"/>
        </w:rPr>
      </w:pPr>
    </w:p>
    <w:p>
      <w:pPr>
        <w:ind w:right="140" w:firstLine="501"/>
        <w:spacing w:after="0" w:line="289"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85" w:lineRule="exact"/>
        <w:rPr>
          <w:sz w:val="20"/>
          <w:szCs w:val="20"/>
          <w:color w:val="auto"/>
        </w:rPr>
      </w:pPr>
    </w:p>
    <w:p>
      <w:pPr>
        <w:ind w:right="560" w:firstLine="501"/>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30"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96"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30" w:lineRule="exact"/>
        <w:rPr>
          <w:sz w:val="20"/>
          <w:szCs w:val="20"/>
          <w:color w:val="auto"/>
        </w:rPr>
      </w:pPr>
    </w:p>
    <w:p>
      <w:pPr>
        <w:ind w:right="200" w:firstLine="501"/>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157" w:lineRule="exact"/>
        <w:rPr>
          <w:sz w:val="20"/>
          <w:szCs w:val="20"/>
          <w:color w:val="auto"/>
        </w:rPr>
      </w:pPr>
    </w:p>
    <w:p>
      <w:pPr>
        <w:ind w:left="260" w:right="74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130"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54" w:lineRule="exact"/>
        <w:rPr>
          <w:sz w:val="20"/>
          <w:szCs w:val="20"/>
          <w:color w:val="auto"/>
        </w:rPr>
      </w:pPr>
    </w:p>
    <w:p>
      <w:pPr>
        <w:ind w:right="100" w:firstLine="501"/>
        <w:spacing w:after="0" w:line="286" w:lineRule="auto"/>
        <w:rPr>
          <w:sz w:val="20"/>
          <w:szCs w:val="20"/>
          <w:color w:val="auto"/>
        </w:rPr>
      </w:pPr>
      <w:r>
        <w:rPr>
          <w:rFonts w:ascii="Arial" w:cs="Arial" w:eastAsia="Arial" w:hAnsi="Arial"/>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ind w:left="260" w:right="11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143"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185"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and PLN-1474 continue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8"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43" w:lineRule="exact"/>
        <w:rPr>
          <w:sz w:val="20"/>
          <w:szCs w:val="20"/>
          <w:color w:val="auto"/>
        </w:rPr>
      </w:pPr>
    </w:p>
    <w:p>
      <w:pPr>
        <w:ind w:right="100" w:firstLine="501"/>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ind w:right="60" w:firstLine="501"/>
        <w:spacing w:after="0" w:line="253"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 In addition, the FDA recently issued a “safe to proceed” letter in relation to our plans to evaluate PLN-74809 in COVID-19-related acute respiratory distress syndrome, for which we recently initiated a Phase 2a trial. We are aware of numerous companies in the U.S. and globally that are developing or have announced plans to develop therapies intended to address COVID-19, including in the form of vaccines, antiviral agents, and treatments to manage the symptoms of COVID-19, including acute respiratory distress syndrome.</w:t>
      </w:r>
    </w:p>
    <w:p>
      <w:pPr>
        <w:spacing w:after="0" w:line="169"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43"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and may do,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202"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130"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21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80" w:firstLine="501"/>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8" w:name="page69"/>
    <w:bookmarkEnd w:id="68"/>
    <w:p>
      <w:pPr>
        <w:ind w:left="260" w:right="1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43" w:lineRule="exact"/>
        <w:rPr>
          <w:sz w:val="20"/>
          <w:szCs w:val="20"/>
          <w:color w:val="auto"/>
        </w:rPr>
      </w:pPr>
    </w:p>
    <w:p>
      <w:pPr>
        <w:ind w:firstLine="501"/>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40" w:lineRule="exact"/>
        <w:rPr>
          <w:sz w:val="20"/>
          <w:szCs w:val="20"/>
          <w:color w:val="auto"/>
        </w:rPr>
      </w:pPr>
    </w:p>
    <w:p>
      <w:pPr>
        <w:ind w:right="20" w:firstLine="501"/>
        <w:spacing w:after="0" w:line="342" w:lineRule="auto"/>
        <w:rPr>
          <w:sz w:val="20"/>
          <w:szCs w:val="20"/>
          <w:color w:val="auto"/>
        </w:rPr>
      </w:pPr>
      <w:r>
        <w:rPr>
          <w:rFonts w:ascii="Arial" w:cs="Arial" w:eastAsia="Arial" w:hAnsi="Arial"/>
          <w:sz w:val="16"/>
          <w:szCs w:val="16"/>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83"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5"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65"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8" w:lineRule="exact"/>
        <w:rPr>
          <w:sz w:val="20"/>
          <w:szCs w:val="20"/>
          <w:color w:val="auto"/>
        </w:rPr>
      </w:pPr>
    </w:p>
    <w:p>
      <w:pPr>
        <w:ind w:right="280" w:firstLine="501"/>
        <w:spacing w:after="0" w:line="257" w:lineRule="auto"/>
        <w:rPr>
          <w:sz w:val="20"/>
          <w:szCs w:val="20"/>
          <w:color w:val="auto"/>
        </w:rPr>
      </w:pPr>
      <w:r>
        <w:rPr>
          <w:rFonts w:ascii="Arial" w:cs="Arial" w:eastAsia="Arial" w:hAnsi="Arial"/>
          <w:sz w:val="18"/>
          <w:szCs w:val="18"/>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The entities entitled to participate and the discounts available under this program, as well of other aspects of this program, are the subject of frequent legislative and regulatory review and litigation. It 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9" w:name="page70"/>
    <w:bookmarkEnd w:id="69"/>
    <w:p>
      <w:pPr>
        <w:ind w:right="200"/>
        <w:spacing w:after="0" w:line="277" w:lineRule="auto"/>
        <w:rPr>
          <w:sz w:val="20"/>
          <w:szCs w:val="20"/>
          <w:color w:val="auto"/>
        </w:rPr>
      </w:pPr>
      <w:r>
        <w:rPr>
          <w:rFonts w:ascii="Arial" w:cs="Arial" w:eastAsia="Arial" w:hAnsi="Arial"/>
          <w:sz w:val="18"/>
          <w:szCs w:val="18"/>
          <w:color w:val="auto"/>
        </w:rPr>
        <w:t>difficult to predict how program revisions and litigation could affect covered hospitals who might purchase our products in the future, and affect the rates we may charge such facilities for our approved products.</w:t>
      </w:r>
    </w:p>
    <w:p>
      <w:pPr>
        <w:spacing w:after="0" w:line="143" w:lineRule="exact"/>
        <w:rPr>
          <w:sz w:val="20"/>
          <w:szCs w:val="20"/>
          <w:color w:val="auto"/>
        </w:rPr>
      </w:pPr>
    </w:p>
    <w:p>
      <w:pPr>
        <w:ind w:right="60" w:firstLine="501"/>
        <w:spacing w:after="0" w:line="26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43"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30" w:lineRule="exact"/>
        <w:rPr>
          <w:sz w:val="20"/>
          <w:szCs w:val="20"/>
          <w:color w:val="auto"/>
        </w:rPr>
      </w:pPr>
    </w:p>
    <w:p>
      <w:pPr>
        <w:ind w:right="80" w:firstLine="501"/>
        <w:spacing w:after="0" w:line="269" w:lineRule="auto"/>
        <w:rPr>
          <w:sz w:val="20"/>
          <w:szCs w:val="20"/>
          <w:color w:val="auto"/>
        </w:rPr>
      </w:pPr>
      <w:r>
        <w:rPr>
          <w:rFonts w:ascii="Arial" w:cs="Arial" w:eastAsia="Arial" w:hAnsi="Arial"/>
          <w:sz w:val="17"/>
          <w:szCs w:val="17"/>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55" w:lineRule="exact"/>
        <w:rPr>
          <w:sz w:val="20"/>
          <w:szCs w:val="20"/>
          <w:color w:val="auto"/>
        </w:rPr>
      </w:pPr>
    </w:p>
    <w:p>
      <w:pPr>
        <w:ind w:left="260" w:right="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25"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ind w:left="260" w:right="12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57" w:lineRule="exact"/>
        <w:rPr>
          <w:sz w:val="20"/>
          <w:szCs w:val="20"/>
          <w:color w:val="auto"/>
        </w:rPr>
      </w:pPr>
    </w:p>
    <w:p>
      <w:pPr>
        <w:ind w:right="80" w:firstLine="501"/>
        <w:spacing w:after="0" w:line="283"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5" w:lineRule="exact"/>
        <w:rPr>
          <w:sz w:val="20"/>
          <w:szCs w:val="20"/>
          <w:color w:val="auto"/>
        </w:rPr>
      </w:pPr>
    </w:p>
    <w:p>
      <w:pPr>
        <w:ind w:left="920" w:hanging="359"/>
        <w:spacing w:after="0" w:line="267" w:lineRule="auto"/>
        <w:tabs>
          <w:tab w:leader="none" w:pos="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On November 20, 2020,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43" w:lineRule="exact"/>
        <w:rPr>
          <w:rFonts w:ascii="Arial" w:cs="Arial" w:eastAsia="Arial" w:hAnsi="Arial"/>
          <w:sz w:val="17"/>
          <w:szCs w:val="17"/>
          <w:color w:val="auto"/>
        </w:rPr>
      </w:pPr>
    </w:p>
    <w:p>
      <w:pPr>
        <w:ind w:left="1000" w:right="40" w:hanging="493"/>
        <w:spacing w:after="0" w:line="25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on behalf of the federal government alleging violations of the FCA and to share in any monetary recovery;</w:t>
      </w:r>
    </w:p>
    <w:p>
      <w:pPr>
        <w:spacing w:after="0" w:line="153" w:lineRule="exact"/>
        <w:rPr>
          <w:rFonts w:ascii="Arial" w:cs="Arial" w:eastAsia="Arial" w:hAnsi="Arial"/>
          <w:sz w:val="18"/>
          <w:szCs w:val="18"/>
          <w:color w:val="auto"/>
        </w:rPr>
      </w:pPr>
    </w:p>
    <w:p>
      <w:pPr>
        <w:ind w:left="1000" w:right="20" w:hanging="493"/>
        <w:spacing w:after="0" w:line="272"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36" w:lineRule="exact"/>
        <w:rPr>
          <w:rFonts w:ascii="Arial" w:cs="Arial" w:eastAsia="Arial" w:hAnsi="Arial"/>
          <w:sz w:val="17"/>
          <w:szCs w:val="17"/>
          <w:color w:val="auto"/>
        </w:rPr>
      </w:pPr>
    </w:p>
    <w:p>
      <w:pPr>
        <w:ind w:left="1000" w:right="40" w:hanging="493"/>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46" w:lineRule="exact"/>
        <w:rPr>
          <w:rFonts w:ascii="Arial" w:cs="Arial" w:eastAsia="Arial" w:hAnsi="Arial"/>
          <w:sz w:val="18"/>
          <w:szCs w:val="18"/>
          <w:color w:val="auto"/>
        </w:rPr>
      </w:pPr>
    </w:p>
    <w:p>
      <w:pPr>
        <w:ind w:left="1000" w:right="140" w:hanging="493"/>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ind w:left="1000" w:right="20"/>
        <w:spacing w:after="0" w:line="257" w:lineRule="auto"/>
        <w:rPr>
          <w:sz w:val="20"/>
          <w:szCs w:val="20"/>
          <w:color w:val="auto"/>
        </w:rPr>
      </w:pPr>
      <w:r>
        <w:rPr>
          <w:rFonts w:ascii="Arial" w:cs="Arial" w:eastAsia="Arial" w:hAnsi="Arial"/>
          <w:sz w:val="18"/>
          <w:szCs w:val="18"/>
          <w:color w:val="auto"/>
        </w:rPr>
        <w:t>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47" w:lineRule="exact"/>
        <w:rPr>
          <w:sz w:val="20"/>
          <w:szCs w:val="20"/>
          <w:color w:val="auto"/>
        </w:rPr>
      </w:pPr>
    </w:p>
    <w:p>
      <w:pPr>
        <w:ind w:left="1000" w:right="160" w:hanging="493"/>
        <w:spacing w:after="0" w:line="25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5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r>
        <w:rPr>
          <w:rFonts w:ascii="Arial" w:cs="Arial" w:eastAsia="Arial" w:hAnsi="Arial"/>
          <w:sz w:val="18"/>
          <w:szCs w:val="18"/>
          <w:b w:val="1"/>
          <w:bCs w:val="1"/>
          <w:color w:val="0000FF"/>
        </w:rPr>
        <w:t>;</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that potentially harm consumers; and</w:t>
      </w:r>
    </w:p>
    <w:p>
      <w:pPr>
        <w:spacing w:after="0" w:line="207" w:lineRule="exact"/>
        <w:rPr>
          <w:rFonts w:ascii="Arial" w:cs="Arial" w:eastAsia="Arial" w:hAnsi="Arial"/>
          <w:sz w:val="16"/>
          <w:szCs w:val="16"/>
          <w:color w:val="auto"/>
        </w:rPr>
      </w:pPr>
    </w:p>
    <w:p>
      <w:pPr>
        <w:ind w:left="1000" w:hanging="493"/>
        <w:spacing w:after="0" w:line="289"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26" w:lineRule="exact"/>
        <w:rPr>
          <w:sz w:val="20"/>
          <w:szCs w:val="20"/>
          <w:color w:val="auto"/>
        </w:rPr>
      </w:pPr>
    </w:p>
    <w:p>
      <w:pPr>
        <w:ind w:right="120" w:firstLine="501"/>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43" w:lineRule="exact"/>
        <w:rPr>
          <w:sz w:val="20"/>
          <w:szCs w:val="20"/>
          <w:color w:val="auto"/>
        </w:rPr>
      </w:pPr>
    </w:p>
    <w:p>
      <w:pPr>
        <w:jc w:val="both"/>
        <w:ind w:right="20" w:firstLine="501"/>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08"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41" w:lineRule="exact"/>
        <w:rPr>
          <w:sz w:val="20"/>
          <w:szCs w:val="20"/>
          <w:color w:val="auto"/>
        </w:rPr>
      </w:pPr>
    </w:p>
    <w:p>
      <w:pPr>
        <w:ind w:left="260" w:right="2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sz w:val="20"/>
          <w:szCs w:val="20"/>
          <w:color w:val="auto"/>
        </w:rPr>
      </w:pPr>
    </w:p>
    <w:p>
      <w:pPr>
        <w:ind w:right="140" w:firstLine="501"/>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right="140" w:firstLine="501"/>
        <w:spacing w:after="0" w:line="275"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49"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37"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2" w:lineRule="exact"/>
        <w:rPr>
          <w:sz w:val="20"/>
          <w:szCs w:val="20"/>
          <w:color w:val="auto"/>
        </w:rPr>
      </w:pPr>
    </w:p>
    <w:p>
      <w:pPr>
        <w:ind w:left="1000" w:right="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40" w:firstLine="501"/>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208" w:lineRule="exact"/>
        <w:rPr>
          <w:sz w:val="20"/>
          <w:szCs w:val="20"/>
          <w:color w:val="auto"/>
        </w:rPr>
      </w:pPr>
    </w:p>
    <w:p>
      <w:pPr>
        <w:jc w:val="both"/>
        <w:ind w:right="260" w:firstLine="501"/>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08"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3" w:name="page74"/>
    <w:bookmarkEnd w:id="73"/>
    <w:p>
      <w:pPr>
        <w:ind w:right="20"/>
        <w:spacing w:after="0" w:line="301" w:lineRule="auto"/>
        <w:rPr>
          <w:sz w:val="20"/>
          <w:szCs w:val="20"/>
          <w:color w:val="auto"/>
        </w:rPr>
      </w:pPr>
      <w:r>
        <w:rPr>
          <w:rFonts w:ascii="Arial" w:cs="Arial" w:eastAsia="Arial" w:hAnsi="Arial"/>
          <w:sz w:val="16"/>
          <w:szCs w:val="16"/>
          <w:color w:val="auto"/>
        </w:rPr>
        <w:t>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30" w:lineRule="exact"/>
        <w:rPr>
          <w:sz w:val="20"/>
          <w:szCs w:val="20"/>
          <w:color w:val="auto"/>
        </w:rPr>
      </w:pPr>
    </w:p>
    <w:p>
      <w:pPr>
        <w:ind w:firstLine="494"/>
        <w:spacing w:after="0" w:line="288"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Additionally, the former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In December 2018, the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It is unclear whether the ACA will be overturned, repealed, replaced, or further amended. We cannot predict what affect further changes to the ACA would have on our business, especially given the new administration.</w:t>
      </w:r>
    </w:p>
    <w:p>
      <w:pPr>
        <w:spacing w:after="0" w:line="168" w:lineRule="exact"/>
        <w:rPr>
          <w:sz w:val="20"/>
          <w:szCs w:val="20"/>
          <w:color w:val="auto"/>
        </w:rPr>
      </w:pPr>
    </w:p>
    <w:p>
      <w:pPr>
        <w:ind w:right="60" w:firstLine="494"/>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March 31, 2021 due to the COVID-19 pandemic. Proposed legislation, if passed, would extend this suspension until the end of the pandemic.</w:t>
      </w:r>
    </w:p>
    <w:p>
      <w:pPr>
        <w:spacing w:after="0" w:line="192" w:lineRule="exact"/>
        <w:rPr>
          <w:sz w:val="20"/>
          <w:szCs w:val="20"/>
          <w:color w:val="auto"/>
        </w:rPr>
      </w:pPr>
    </w:p>
    <w:p>
      <w:pPr>
        <w:ind w:right="20" w:firstLine="494"/>
        <w:spacing w:after="0" w:line="257"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8" w:lineRule="exact"/>
        <w:rPr>
          <w:sz w:val="20"/>
          <w:szCs w:val="20"/>
          <w:color w:val="auto"/>
        </w:rPr>
      </w:pPr>
    </w:p>
    <w:p>
      <w:pPr>
        <w:ind w:right="60" w:firstLine="494"/>
        <w:spacing w:after="0" w:line="285"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former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out-of-pocket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after January 20, 2021.</w:t>
      </w:r>
    </w:p>
    <w:p>
      <w:pPr>
        <w:spacing w:after="0" w:line="133" w:lineRule="exact"/>
        <w:rPr>
          <w:sz w:val="20"/>
          <w:szCs w:val="20"/>
          <w:color w:val="auto"/>
        </w:rPr>
      </w:pPr>
    </w:p>
    <w:p>
      <w:pPr>
        <w:ind w:right="40" w:firstLine="494"/>
        <w:spacing w:after="0" w:line="257" w:lineRule="auto"/>
        <w:rPr>
          <w:sz w:val="20"/>
          <w:szCs w:val="20"/>
          <w:color w:val="auto"/>
        </w:rPr>
      </w:pPr>
      <w:r>
        <w:rPr>
          <w:rFonts w:ascii="Arial" w:cs="Arial" w:eastAsia="Arial" w:hAnsi="Arial"/>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(“SCODs”). The court ruled this change was not an “adjustment” which was within the Secretary’s discretion to make but was instead a fundamental change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ind w:right="20"/>
        <w:spacing w:after="0" w:line="301" w:lineRule="auto"/>
        <w:rPr>
          <w:sz w:val="20"/>
          <w:szCs w:val="20"/>
          <w:color w:val="auto"/>
        </w:rPr>
      </w:pPr>
      <w:r>
        <w:rPr>
          <w:rFonts w:ascii="Arial" w:cs="Arial" w:eastAsia="Arial" w:hAnsi="Arial"/>
          <w:sz w:val="16"/>
          <w:szCs w:val="16"/>
          <w:color w:val="auto"/>
        </w:rPr>
        <w:t>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30" w:lineRule="exact"/>
        <w:rPr>
          <w:sz w:val="20"/>
          <w:szCs w:val="20"/>
          <w:color w:val="auto"/>
        </w:rPr>
      </w:pPr>
    </w:p>
    <w:p>
      <w:pPr>
        <w:ind w:right="20" w:firstLine="494"/>
        <w:spacing w:after="0" w:line="268" w:lineRule="auto"/>
        <w:rPr>
          <w:sz w:val="20"/>
          <w:szCs w:val="20"/>
          <w:color w:val="auto"/>
        </w:rPr>
      </w:pPr>
      <w:r>
        <w:rPr>
          <w:rFonts w:ascii="Arial" w:cs="Arial" w:eastAsia="Arial" w:hAnsi="Arial"/>
          <w:sz w:val="17"/>
          <w:szCs w:val="17"/>
          <w:color w:val="auto"/>
        </w:rPr>
        <w:t>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44" w:lineRule="exact"/>
        <w:rPr>
          <w:sz w:val="20"/>
          <w:szCs w:val="20"/>
          <w:color w:val="auto"/>
        </w:rPr>
      </w:pPr>
    </w:p>
    <w:p>
      <w:pPr>
        <w:ind w:right="40" w:firstLine="501"/>
        <w:spacing w:after="0" w:line="279"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1" w:lineRule="exact"/>
        <w:rPr>
          <w:sz w:val="20"/>
          <w:szCs w:val="20"/>
          <w:color w:val="auto"/>
        </w:rPr>
      </w:pPr>
    </w:p>
    <w:p>
      <w:pPr>
        <w:ind w:right="80" w:firstLine="501"/>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8" w:lineRule="exact"/>
        <w:rPr>
          <w:sz w:val="20"/>
          <w:szCs w:val="20"/>
          <w:color w:val="auto"/>
        </w:rPr>
      </w:pPr>
    </w:p>
    <w:p>
      <w:pPr>
        <w:ind w:right="100" w:firstLine="501"/>
        <w:spacing w:after="0" w:line="275"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36" w:lineRule="exact"/>
        <w:rPr>
          <w:sz w:val="20"/>
          <w:szCs w:val="20"/>
          <w:color w:val="auto"/>
        </w:rPr>
      </w:pPr>
    </w:p>
    <w:p>
      <w:pPr>
        <w:ind w:left="260" w:right="4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firstLine="501"/>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30" w:lineRule="exact"/>
        <w:rPr>
          <w:sz w:val="20"/>
          <w:szCs w:val="20"/>
          <w:color w:val="auto"/>
        </w:rPr>
      </w:pPr>
    </w:p>
    <w:p>
      <w:pPr>
        <w:ind w:right="380" w:firstLine="501"/>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in response to the COVID-19 pandemic, on March 10, 2020 the FDA announced its intention to temporarily postpone most inspections of domestic and foreign manufacturing facilities and products and the effect of COVID-19 could result in further disruptions to regulatory processes necessary for the commercialization of pharmaceutical products.</w:t>
      </w:r>
    </w:p>
    <w:p>
      <w:pPr>
        <w:spacing w:after="0" w:line="152"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57" w:lineRule="exact"/>
        <w:rPr>
          <w:sz w:val="20"/>
          <w:szCs w:val="20"/>
          <w:color w:val="auto"/>
        </w:rPr>
      </w:pPr>
    </w:p>
    <w:p>
      <w:pPr>
        <w:ind w:left="260" w:right="62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130"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54" w:lineRule="exact"/>
        <w:rPr>
          <w:sz w:val="20"/>
          <w:szCs w:val="20"/>
          <w:color w:val="auto"/>
        </w:rPr>
      </w:pPr>
    </w:p>
    <w:p>
      <w:pPr>
        <w:ind w:firstLine="494"/>
        <w:spacing w:after="0" w:line="290"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38"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7"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98" w:lineRule="exact"/>
        <w:rPr>
          <w:sz w:val="20"/>
          <w:szCs w:val="20"/>
          <w:color w:val="auto"/>
        </w:rPr>
      </w:pPr>
    </w:p>
    <w:p>
      <w:pPr>
        <w:ind w:right="160" w:firstLine="501"/>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7"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76" w:name="page77"/>
    <w:bookmarkEnd w:id="76"/>
    <w:p>
      <w:pPr>
        <w:jc w:val="both"/>
        <w:ind w:right="500"/>
        <w:spacing w:after="0" w:line="263" w:lineRule="auto"/>
        <w:rPr>
          <w:sz w:val="20"/>
          <w:szCs w:val="20"/>
          <w:color w:val="auto"/>
        </w:rPr>
      </w:pPr>
      <w:r>
        <w:rPr>
          <w:rFonts w:ascii="Arial" w:cs="Arial" w:eastAsia="Arial" w:hAnsi="Arial"/>
          <w:sz w:val="18"/>
          <w:szCs w:val="18"/>
          <w:color w:val="auto"/>
        </w:rPr>
        <w:t>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7" w:lineRule="exact"/>
        <w:rPr>
          <w:sz w:val="20"/>
          <w:szCs w:val="20"/>
          <w:color w:val="auto"/>
        </w:rPr>
      </w:pPr>
    </w:p>
    <w:p>
      <w:pPr>
        <w:jc w:val="both"/>
        <w:ind w:right="220" w:firstLine="501"/>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84" w:lineRule="exact"/>
        <w:rPr>
          <w:sz w:val="20"/>
          <w:szCs w:val="20"/>
          <w:color w:val="auto"/>
        </w:rPr>
      </w:pPr>
    </w:p>
    <w:p>
      <w:pPr>
        <w:ind w:right="200" w:firstLine="501"/>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left="260" w:right="76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3"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51" w:lineRule="exact"/>
        <w:rPr>
          <w:sz w:val="20"/>
          <w:szCs w:val="20"/>
          <w:color w:val="auto"/>
        </w:rPr>
      </w:pPr>
    </w:p>
    <w:p>
      <w:pPr>
        <w:ind w:right="140" w:firstLine="501"/>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36"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ind w:right="60" w:firstLine="501"/>
        <w:spacing w:after="0" w:line="277"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43" w:lineRule="exact"/>
        <w:rPr>
          <w:sz w:val="20"/>
          <w:szCs w:val="20"/>
          <w:color w:val="auto"/>
        </w:rPr>
      </w:pPr>
    </w:p>
    <w:p>
      <w:pPr>
        <w:ind w:right="80" w:firstLine="501"/>
        <w:spacing w:after="0" w:line="255"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52"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45"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45"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30" w:lineRule="exact"/>
        <w:rPr>
          <w:sz w:val="20"/>
          <w:szCs w:val="20"/>
          <w:color w:val="auto"/>
        </w:rPr>
      </w:pPr>
    </w:p>
    <w:p>
      <w:pPr>
        <w:ind w:left="1000" w:right="2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129"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8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8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29"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96"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29" w:lineRule="exact"/>
        <w:rPr>
          <w:rFonts w:ascii="Arial" w:cs="Arial" w:eastAsia="Arial" w:hAnsi="Arial"/>
          <w:sz w:val="18"/>
          <w:szCs w:val="18"/>
          <w:color w:val="auto"/>
        </w:rPr>
      </w:pPr>
    </w:p>
    <w:p>
      <w:pPr>
        <w:jc w:val="both"/>
        <w:ind w:left="1000" w:right="7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3"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43"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96"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left="260" w:right="20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97" w:lineRule="exact"/>
        <w:rPr>
          <w:sz w:val="20"/>
          <w:szCs w:val="20"/>
          <w:color w:val="auto"/>
        </w:rPr>
      </w:pPr>
    </w:p>
    <w:p>
      <w:pPr>
        <w:ind w:right="120" w:firstLine="501"/>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85"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5"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50" w:lineRule="exact"/>
        <w:rPr>
          <w:sz w:val="20"/>
          <w:szCs w:val="20"/>
          <w:color w:val="auto"/>
        </w:rPr>
      </w:pPr>
    </w:p>
    <w:p>
      <w:pPr>
        <w:ind w:right="340" w:firstLine="501"/>
        <w:spacing w:after="0" w:line="259" w:lineRule="auto"/>
        <w:rPr>
          <w:sz w:val="20"/>
          <w:szCs w:val="20"/>
          <w:color w:val="auto"/>
        </w:rPr>
      </w:pPr>
      <w:r>
        <w:rPr>
          <w:rFonts w:ascii="Arial" w:cs="Arial" w:eastAsia="Arial" w:hAnsi="Arial"/>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ind w:right="180"/>
        <w:spacing w:after="0" w:line="263" w:lineRule="auto"/>
        <w:rPr>
          <w:sz w:val="20"/>
          <w:szCs w:val="20"/>
          <w:color w:val="auto"/>
        </w:rPr>
      </w:pPr>
      <w:r>
        <w:rPr>
          <w:rFonts w:ascii="Arial" w:cs="Arial" w:eastAsia="Arial" w:hAnsi="Arial"/>
          <w:sz w:val="18"/>
          <w:szCs w:val="18"/>
          <w:color w:val="auto"/>
        </w:rPr>
        <w:t>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85" w:lineRule="exact"/>
        <w:rPr>
          <w:sz w:val="20"/>
          <w:szCs w:val="20"/>
          <w:color w:val="auto"/>
        </w:rPr>
      </w:pPr>
    </w:p>
    <w:p>
      <w:pPr>
        <w:ind w:firstLine="501"/>
        <w:spacing w:after="0" w:line="268"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were independently developed by a competitor, our competitive position could be harmed.</w:t>
      </w:r>
    </w:p>
    <w:p>
      <w:pPr>
        <w:spacing w:after="0" w:line="146"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61" w:lineRule="exact"/>
        <w:rPr>
          <w:sz w:val="20"/>
          <w:szCs w:val="20"/>
          <w:color w:val="auto"/>
        </w:rPr>
      </w:pPr>
    </w:p>
    <w:p>
      <w:pPr>
        <w:ind w:right="140" w:firstLine="494"/>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85" w:lineRule="exact"/>
        <w:rPr>
          <w:sz w:val="20"/>
          <w:szCs w:val="20"/>
          <w:color w:val="auto"/>
        </w:rPr>
      </w:pPr>
    </w:p>
    <w:p>
      <w:pPr>
        <w:ind w:right="20" w:firstLine="494"/>
        <w:spacing w:after="0" w:line="287"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ind w:left="500"/>
        <w:spacing w:after="0"/>
        <w:rPr>
          <w:sz w:val="20"/>
          <w:szCs w:val="20"/>
          <w:color w:val="auto"/>
        </w:rPr>
      </w:pPr>
      <w:r>
        <w:rPr>
          <w:rFonts w:ascii="Arial" w:cs="Arial" w:eastAsia="Arial" w:hAnsi="Arial"/>
          <w:sz w:val="18"/>
          <w:szCs w:val="18"/>
          <w:color w:val="auto"/>
        </w:rPr>
        <w:t>If a third-party claim that we infringe its intellectual property rights, we may face a number of issues, including, but not limited to:</w:t>
      </w:r>
    </w:p>
    <w:p>
      <w:pPr>
        <w:spacing w:after="0" w:line="198" w:lineRule="exact"/>
        <w:rPr>
          <w:sz w:val="20"/>
          <w:szCs w:val="20"/>
          <w:color w:val="auto"/>
        </w:rPr>
      </w:pPr>
    </w:p>
    <w:p>
      <w:pPr>
        <w:ind w:left="1000" w:right="3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29"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43"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29" w:lineRule="exact"/>
        <w:rPr>
          <w:rFonts w:ascii="Arial" w:cs="Arial" w:eastAsia="Arial" w:hAnsi="Arial"/>
          <w:sz w:val="18"/>
          <w:szCs w:val="18"/>
          <w:color w:val="auto"/>
        </w:rPr>
      </w:pPr>
    </w:p>
    <w:p>
      <w:pPr>
        <w:jc w:val="both"/>
        <w:ind w:left="1000" w:right="50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43"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30" w:lineRule="exact"/>
        <w:rPr>
          <w:sz w:val="20"/>
          <w:szCs w:val="20"/>
          <w:color w:val="auto"/>
        </w:rPr>
      </w:pPr>
    </w:p>
    <w:p>
      <w:pPr>
        <w:ind w:right="140" w:firstLine="501"/>
        <w:spacing w:after="0" w:line="296"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121" w:lineRule="exact"/>
        <w:rPr>
          <w:sz w:val="20"/>
          <w:szCs w:val="20"/>
          <w:color w:val="auto"/>
        </w:rPr>
      </w:pPr>
    </w:p>
    <w:p>
      <w:pPr>
        <w:ind w:left="260" w:right="120"/>
        <w:spacing w:after="0" w:line="308"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06"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85" w:lineRule="exact"/>
        <w:rPr>
          <w:sz w:val="20"/>
          <w:szCs w:val="20"/>
          <w:color w:val="auto"/>
        </w:rPr>
      </w:pPr>
    </w:p>
    <w:p>
      <w:pPr>
        <w:ind w:right="20" w:firstLine="501"/>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7"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jc w:val="both"/>
        <w:ind w:right="20"/>
        <w:spacing w:after="0" w:line="263" w:lineRule="auto"/>
        <w:rPr>
          <w:sz w:val="20"/>
          <w:szCs w:val="20"/>
          <w:color w:val="auto"/>
        </w:rPr>
      </w:pPr>
      <w:r>
        <w:rPr>
          <w:rFonts w:ascii="Arial" w:cs="Arial" w:eastAsia="Arial" w:hAnsi="Arial"/>
          <w:sz w:val="18"/>
          <w:szCs w:val="18"/>
          <w:color w:val="auto"/>
        </w:rPr>
        <w:t>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57"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210" w:lineRule="exact"/>
        <w:rPr>
          <w:sz w:val="20"/>
          <w:szCs w:val="20"/>
          <w:color w:val="auto"/>
        </w:rPr>
      </w:pPr>
    </w:p>
    <w:p>
      <w:pPr>
        <w:ind w:right="160" w:firstLine="514"/>
        <w:spacing w:after="0" w:line="277"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30" w:lineRule="exact"/>
        <w:rPr>
          <w:sz w:val="20"/>
          <w:szCs w:val="20"/>
          <w:color w:val="auto"/>
        </w:rPr>
      </w:pPr>
    </w:p>
    <w:p>
      <w:pPr>
        <w:ind w:firstLine="514"/>
        <w:spacing w:after="0" w:line="290"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25" w:lineRule="exact"/>
        <w:rPr>
          <w:sz w:val="20"/>
          <w:szCs w:val="20"/>
          <w:color w:val="auto"/>
        </w:rPr>
      </w:pPr>
    </w:p>
    <w:p>
      <w:pPr>
        <w:ind w:firstLine="514"/>
        <w:spacing w:after="0" w:line="273"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51" w:lineRule="exact"/>
        <w:rPr>
          <w:sz w:val="20"/>
          <w:szCs w:val="20"/>
          <w:color w:val="auto"/>
        </w:rPr>
      </w:pPr>
    </w:p>
    <w:p>
      <w:pPr>
        <w:ind w:right="100" w:firstLine="501"/>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52"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30"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2" w:name="page83"/>
    <w:bookmarkEnd w:id="82"/>
    <w:p>
      <w:pPr>
        <w:ind w:right="80"/>
        <w:spacing w:after="0" w:line="277" w:lineRule="auto"/>
        <w:rPr>
          <w:sz w:val="20"/>
          <w:szCs w:val="20"/>
          <w:color w:val="auto"/>
        </w:rPr>
      </w:pPr>
      <w:r>
        <w:rPr>
          <w:rFonts w:ascii="Arial" w:cs="Arial" w:eastAsia="Arial" w:hAnsi="Arial"/>
          <w:sz w:val="18"/>
          <w:szCs w:val="18"/>
          <w:color w:val="auto"/>
        </w:rPr>
        <w:t>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43" w:lineRule="exact"/>
        <w:rPr>
          <w:sz w:val="20"/>
          <w:szCs w:val="20"/>
          <w:color w:val="auto"/>
        </w:rPr>
      </w:pPr>
    </w:p>
    <w:p>
      <w:pPr>
        <w:ind w:right="260" w:firstLine="501"/>
        <w:spacing w:after="0" w:line="259"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w:t>
      </w:r>
      <w:r>
        <w:rPr>
          <w:rFonts w:ascii="Arial" w:cs="Arial" w:eastAsia="Arial" w:hAnsi="Arial"/>
          <w:sz w:val="18"/>
          <w:szCs w:val="18"/>
          <w:i w:val="1"/>
          <w:iCs w:val="1"/>
          <w:color w:val="auto"/>
        </w:rPr>
        <w:t xml:space="preserve">ex-parte </w:t>
      </w:r>
      <w:r>
        <w:rPr>
          <w:rFonts w:ascii="Arial" w:cs="Arial" w:eastAsia="Arial" w:hAnsi="Arial"/>
          <w:sz w:val="18"/>
          <w:szCs w:val="18"/>
          <w:color w:val="auto"/>
        </w:rPr>
        <w:t>re-examination,</w:t>
      </w:r>
      <w:r>
        <w:rPr>
          <w:rFonts w:ascii="Arial" w:cs="Arial" w:eastAsia="Arial" w:hAnsi="Arial"/>
          <w:sz w:val="18"/>
          <w:szCs w:val="18"/>
          <w:i w:val="1"/>
          <w:iCs w:val="1"/>
          <w:color w:val="auto"/>
        </w:rPr>
        <w:t xml:space="preserve"> inter partes </w:t>
      </w:r>
      <w:r>
        <w:rPr>
          <w:rFonts w:ascii="Arial" w:cs="Arial" w:eastAsia="Arial" w:hAnsi="Arial"/>
          <w:sz w:val="18"/>
          <w:szCs w:val="18"/>
          <w:color w:val="auto"/>
        </w:rPr>
        <w:t>review or post-grant review proceedings. These proceedings are expensive and may consume our time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We may choose to challenge a third-party’s patent in patent opposition proceedings in the European Patent Office, or EPO, or other foreign patent office.</w:t>
      </w:r>
    </w:p>
    <w:p>
      <w:pPr>
        <w:spacing w:after="0" w:line="146"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43"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41"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51" w:lineRule="exact"/>
        <w:rPr>
          <w:sz w:val="20"/>
          <w:szCs w:val="20"/>
          <w:color w:val="auto"/>
        </w:rPr>
      </w:pPr>
    </w:p>
    <w:p>
      <w:pPr>
        <w:ind w:right="160" w:firstLine="50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left="26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7" w:lineRule="exact"/>
        <w:rPr>
          <w:sz w:val="20"/>
          <w:szCs w:val="20"/>
          <w:color w:val="auto"/>
        </w:rPr>
      </w:pPr>
    </w:p>
    <w:p>
      <w:pPr>
        <w:ind w:right="20" w:firstLine="501"/>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Any patents, if issued patents covering our product candidates could be found invalid or unenforceable if challenged in court or the USPTO.</w:t>
      </w:r>
    </w:p>
    <w:p>
      <w:pPr>
        <w:spacing w:after="0" w:line="208"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ind w:right="20"/>
        <w:spacing w:after="0" w:line="272" w:lineRule="auto"/>
        <w:rPr>
          <w:sz w:val="20"/>
          <w:szCs w:val="20"/>
          <w:color w:val="auto"/>
        </w:rPr>
      </w:pPr>
      <w:r>
        <w:rPr>
          <w:rFonts w:ascii="Arial" w:cs="Arial" w:eastAsia="Arial" w:hAnsi="Arial"/>
          <w:sz w:val="17"/>
          <w:szCs w:val="17"/>
          <w:color w:val="auto"/>
        </w:rPr>
        <w:t>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50"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152"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130" w:lineRule="exact"/>
        <w:rPr>
          <w:sz w:val="20"/>
          <w:szCs w:val="20"/>
          <w:color w:val="auto"/>
        </w:rPr>
      </w:pPr>
    </w:p>
    <w:p>
      <w:pPr>
        <w:ind w:right="40" w:firstLine="501"/>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45"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45" w:lineRule="exact"/>
        <w:rPr>
          <w:sz w:val="20"/>
          <w:szCs w:val="20"/>
          <w:color w:val="auto"/>
        </w:rPr>
      </w:pPr>
    </w:p>
    <w:p>
      <w:pPr>
        <w:ind w:right="100" w:firstLine="501"/>
        <w:spacing w:after="0" w:line="296"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10" w:lineRule="exact"/>
        <w:rPr>
          <w:sz w:val="20"/>
          <w:szCs w:val="20"/>
          <w:color w:val="auto"/>
        </w:rPr>
      </w:pPr>
    </w:p>
    <w:p>
      <w:pPr>
        <w:ind w:firstLine="501"/>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ind w:firstLine="501"/>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85"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233"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28"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right="60" w:firstLine="501"/>
        <w:spacing w:after="0" w:line="27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89" w:lineRule="exact"/>
        <w:rPr>
          <w:sz w:val="20"/>
          <w:szCs w:val="20"/>
          <w:color w:val="auto"/>
        </w:rPr>
      </w:pPr>
    </w:p>
    <w:p>
      <w:pPr>
        <w:ind w:left="260"/>
        <w:spacing w:after="0" w:line="301" w:lineRule="auto"/>
        <w:rPr>
          <w:sz w:val="20"/>
          <w:szCs w:val="20"/>
          <w:color w:val="auto"/>
        </w:rPr>
      </w:pPr>
      <w:r>
        <w:rPr>
          <w:rFonts w:ascii="Arial" w:cs="Arial" w:eastAsia="Arial" w:hAnsi="Arial"/>
          <w:sz w:val="16"/>
          <w:szCs w:val="16"/>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117"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upon achievement of the first patient dosing milestone, received a payment of $25.0 million in the second quarter of 2020. Pursuant to the Novartis Agreement, we expect to receive research and development funding totaling $19.6 million for PLN-1474 development services and funding of up to $13.4 million for option research and development services on the integrin research targets. Additionally, we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5" w:name="page86"/>
    <w:bookmarkEnd w:id="85"/>
    <w:p>
      <w:pPr>
        <w:ind w:right="120"/>
        <w:spacing w:after="0" w:line="275" w:lineRule="auto"/>
        <w:rPr>
          <w:sz w:val="20"/>
          <w:szCs w:val="20"/>
          <w:color w:val="auto"/>
        </w:rPr>
      </w:pPr>
      <w:r>
        <w:rPr>
          <w:rFonts w:ascii="Arial" w:cs="Arial" w:eastAsia="Arial" w:hAnsi="Arial"/>
          <w:sz w:val="17"/>
          <w:szCs w:val="17"/>
          <w:color w:val="auto"/>
        </w:rPr>
        <w:t>eligible to receive developmental, regulatory and commercial milestone payments of up to $416.0 million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 If we are unable to successfully advance the development of our product candidates or achieve milestones, revenue and cash resources from milestone payments under our collaboration agreements will be substantially less than expected.</w:t>
      </w:r>
    </w:p>
    <w:p>
      <w:pPr>
        <w:spacing w:after="0" w:line="149"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146" w:lineRule="exact"/>
        <w:rPr>
          <w:sz w:val="20"/>
          <w:szCs w:val="20"/>
          <w:color w:val="auto"/>
        </w:rPr>
      </w:pPr>
    </w:p>
    <w:p>
      <w:pPr>
        <w:jc w:val="both"/>
        <w:ind w:left="260" w:right="22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43" w:lineRule="exact"/>
        <w:rPr>
          <w:sz w:val="20"/>
          <w:szCs w:val="20"/>
          <w:color w:val="auto"/>
        </w:rPr>
      </w:pPr>
    </w:p>
    <w:p>
      <w:pPr>
        <w:jc w:val="both"/>
        <w:ind w:right="280" w:firstLine="501"/>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57" w:lineRule="exact"/>
        <w:rPr>
          <w:sz w:val="20"/>
          <w:szCs w:val="20"/>
          <w:color w:val="auto"/>
        </w:rPr>
      </w:pPr>
    </w:p>
    <w:p>
      <w:pPr>
        <w:ind w:right="100" w:firstLine="501"/>
        <w:spacing w:after="0" w:line="269" w:lineRule="auto"/>
        <w:rPr>
          <w:sz w:val="20"/>
          <w:szCs w:val="20"/>
          <w:color w:val="auto"/>
        </w:rPr>
      </w:pPr>
      <w:r>
        <w:rPr>
          <w:rFonts w:ascii="Arial" w:cs="Arial" w:eastAsia="Arial" w:hAnsi="Arial"/>
          <w:sz w:val="17"/>
          <w:szCs w:val="17"/>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45"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43" w:lineRule="exact"/>
        <w:rPr>
          <w:sz w:val="20"/>
          <w:szCs w:val="20"/>
          <w:color w:val="auto"/>
        </w:rPr>
      </w:pPr>
    </w:p>
    <w:p>
      <w:pPr>
        <w:ind w:right="40" w:firstLine="501"/>
        <w:spacing w:after="0" w:line="288"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41"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30" w:lineRule="exact"/>
        <w:rPr>
          <w:sz w:val="20"/>
          <w:szCs w:val="20"/>
          <w:color w:val="auto"/>
        </w:rPr>
      </w:pPr>
    </w:p>
    <w:p>
      <w:pPr>
        <w:ind w:right="180" w:firstLine="50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86" w:name="page87"/>
    <w:bookmarkEnd w:id="86"/>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143" w:lineRule="exact"/>
        <w:rPr>
          <w:sz w:val="20"/>
          <w:szCs w:val="20"/>
          <w:color w:val="auto"/>
        </w:rPr>
      </w:pPr>
    </w:p>
    <w:p>
      <w:pPr>
        <w:ind w:right="20" w:firstLine="501"/>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38"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30" w:lineRule="exact"/>
        <w:rPr>
          <w:sz w:val="20"/>
          <w:szCs w:val="20"/>
          <w:color w:val="auto"/>
        </w:rPr>
      </w:pPr>
    </w:p>
    <w:p>
      <w:pPr>
        <w:ind w:right="120" w:firstLine="501"/>
        <w:spacing w:after="0" w:line="273" w:lineRule="auto"/>
        <w:rPr>
          <w:sz w:val="20"/>
          <w:szCs w:val="20"/>
          <w:color w:val="auto"/>
        </w:rPr>
      </w:pPr>
      <w:r>
        <w:rPr>
          <w:rFonts w:ascii="Arial" w:cs="Arial" w:eastAsia="Arial" w:hAnsi="Arial"/>
          <w:sz w:val="17"/>
          <w:szCs w:val="17"/>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w:t>
      </w:r>
    </w:p>
    <w:p>
      <w:pPr>
        <w:spacing w:after="0" w:line="151" w:lineRule="exact"/>
        <w:rPr>
          <w:sz w:val="20"/>
          <w:szCs w:val="20"/>
          <w:color w:val="auto"/>
        </w:rPr>
      </w:pPr>
    </w:p>
    <w:p>
      <w:pPr>
        <w:ind w:firstLine="514"/>
        <w:spacing w:after="0" w:line="269"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38" w:lineRule="exact"/>
        <w:rPr>
          <w:sz w:val="20"/>
          <w:szCs w:val="20"/>
          <w:color w:val="auto"/>
        </w:rPr>
      </w:pPr>
    </w:p>
    <w:p>
      <w:pPr>
        <w:ind w:right="100" w:firstLine="514"/>
        <w:spacing w:after="0" w:line="273"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37"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96"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7" w:name="page88"/>
    <w:bookmarkEnd w:id="87"/>
    <w:p>
      <w:pPr>
        <w:ind w:right="380"/>
        <w:spacing w:after="0" w:line="277" w:lineRule="auto"/>
        <w:rPr>
          <w:sz w:val="20"/>
          <w:szCs w:val="20"/>
          <w:color w:val="auto"/>
        </w:rPr>
      </w:pPr>
      <w:r>
        <w:rPr>
          <w:rFonts w:ascii="Arial" w:cs="Arial" w:eastAsia="Arial" w:hAnsi="Arial"/>
          <w:sz w:val="18"/>
          <w:szCs w:val="18"/>
          <w:color w:val="auto"/>
        </w:rPr>
        <w:t>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43"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37"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130" w:lineRule="exact"/>
        <w:rPr>
          <w:sz w:val="20"/>
          <w:szCs w:val="20"/>
          <w:color w:val="auto"/>
        </w:rPr>
      </w:pPr>
    </w:p>
    <w:p>
      <w:pPr>
        <w:ind w:right="200" w:firstLine="501"/>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85"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46"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5" w:lineRule="exact"/>
        <w:rPr>
          <w:rFonts w:ascii="Arial" w:cs="Arial" w:eastAsia="Arial" w:hAnsi="Arial"/>
          <w:sz w:val="17"/>
          <w:szCs w:val="17"/>
          <w:color w:val="auto"/>
        </w:rPr>
      </w:pPr>
    </w:p>
    <w:p>
      <w:pPr>
        <w:ind w:left="1000" w:right="2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43" w:lineRule="exact"/>
        <w:rPr>
          <w:rFonts w:ascii="Arial" w:cs="Arial" w:eastAsia="Arial" w:hAnsi="Arial"/>
          <w:sz w:val="18"/>
          <w:szCs w:val="18"/>
          <w:color w:val="auto"/>
        </w:rPr>
      </w:pPr>
    </w:p>
    <w:p>
      <w:pPr>
        <w:ind w:left="1000" w:right="80" w:hanging="493"/>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83"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129"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43" w:lineRule="exact"/>
        <w:rPr>
          <w:rFonts w:ascii="Arial" w:cs="Arial" w:eastAsia="Arial" w:hAnsi="Arial"/>
          <w:sz w:val="18"/>
          <w:szCs w:val="18"/>
          <w:color w:val="auto"/>
        </w:rPr>
      </w:pPr>
    </w:p>
    <w:p>
      <w:pPr>
        <w:ind w:left="1000" w:right="22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46"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3" w:lineRule="exact"/>
        <w:rPr>
          <w:rFonts w:ascii="Arial" w:cs="Arial" w:eastAsia="Arial" w:hAnsi="Arial"/>
          <w:sz w:val="16"/>
          <w:szCs w:val="16"/>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8" w:name="page89"/>
    <w:bookmarkEnd w:id="88"/>
    <w:p>
      <w:pPr>
        <w:ind w:left="1000" w:right="7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29"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30" w:lineRule="exact"/>
        <w:rPr>
          <w:sz w:val="20"/>
          <w:szCs w:val="20"/>
          <w:color w:val="auto"/>
        </w:rPr>
      </w:pPr>
    </w:p>
    <w:p>
      <w:pPr>
        <w:ind w:right="100" w:firstLine="501"/>
        <w:spacing w:after="0" w:line="259" w:lineRule="auto"/>
        <w:rPr>
          <w:sz w:val="20"/>
          <w:szCs w:val="20"/>
          <w:color w:val="auto"/>
        </w:rPr>
      </w:pPr>
      <w:r>
        <w:rPr>
          <w:rFonts w:ascii="Arial" w:cs="Arial" w:eastAsia="Arial" w:hAnsi="Arial"/>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60"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30" w:lineRule="exact"/>
        <w:rPr>
          <w:sz w:val="20"/>
          <w:szCs w:val="20"/>
          <w:color w:val="auto"/>
        </w:rPr>
      </w:pPr>
    </w:p>
    <w:p>
      <w:pPr>
        <w:ind w:firstLine="501"/>
        <w:spacing w:after="0" w:line="285" w:lineRule="auto"/>
        <w:rPr>
          <w:sz w:val="20"/>
          <w:szCs w:val="20"/>
          <w:color w:val="auto"/>
        </w:rPr>
      </w:pPr>
      <w:r>
        <w:rPr>
          <w:rFonts w:ascii="Arial" w:cs="Arial" w:eastAsia="Arial" w:hAnsi="Arial"/>
          <w:sz w:val="16"/>
          <w:szCs w:val="16"/>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preclinical studies and clinical trials.</w:t>
      </w:r>
    </w:p>
    <w:p>
      <w:pPr>
        <w:spacing w:after="0" w:line="219"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In December 2019, a novel strain of the coronavirus disease, COVID-19, was identified in Wuhan, China. This virus continues to spread globally and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125" w:lineRule="exact"/>
        <w:rPr>
          <w:sz w:val="20"/>
          <w:szCs w:val="20"/>
          <w:color w:val="auto"/>
        </w:rPr>
      </w:pPr>
    </w:p>
    <w:p>
      <w:pPr>
        <w:ind w:left="1000" w:right="160" w:hanging="493"/>
        <w:spacing w:after="0" w:line="25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in our clinical trials, including our Phase 2a clinical trials of PLN-74809 in IPF and PSC and our Phase 1 clinical trial of PLN-1474. With respect to the ongoing Phase 2a trials of PLN-74809 in IPF and PSC, following delays in site initiation due to the impacts of COVID-19, both trials have resumed active enrollment of patients. With respect to the ongoing Phase 1 trial of PLN-1474, the Phase 1 trial site experienced delays due to its location in an area heavily impacted by COVID-19; however, the trial site reopened and completed dosing the remaining cohorts;</w:t>
      </w:r>
    </w:p>
    <w:p>
      <w:pPr>
        <w:spacing w:after="0" w:line="14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from potential delays, including potential difficulties in clinical site initiation, including difficulties in recruiting clinical site investigators and clinical site staff;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29"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96" w:lineRule="exact"/>
        <w:rPr>
          <w:rFonts w:ascii="Arial" w:cs="Arial" w:eastAsia="Arial" w:hAnsi="Arial"/>
          <w:sz w:val="17"/>
          <w:szCs w:val="17"/>
          <w:color w:val="auto"/>
        </w:rPr>
      </w:pPr>
    </w:p>
    <w:p>
      <w:pPr>
        <w:ind w:left="1000" w:right="4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84" w:lineRule="exact"/>
        <w:rPr>
          <w:rFonts w:ascii="Arial" w:cs="Arial" w:eastAsia="Arial" w:hAnsi="Arial"/>
          <w:sz w:val="18"/>
          <w:szCs w:val="18"/>
          <w:color w:val="auto"/>
        </w:rPr>
      </w:pPr>
    </w:p>
    <w:p>
      <w:pPr>
        <w:ind w:left="1000" w:right="380" w:hanging="493"/>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83" w:lineRule="exact"/>
        <w:rPr>
          <w:rFonts w:ascii="Arial" w:cs="Arial" w:eastAsia="Arial" w:hAnsi="Arial"/>
          <w:sz w:val="16"/>
          <w:szCs w:val="16"/>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85" w:lineRule="exact"/>
        <w:rPr>
          <w:sz w:val="20"/>
          <w:szCs w:val="20"/>
          <w:color w:val="auto"/>
        </w:rPr>
      </w:pPr>
    </w:p>
    <w:p>
      <w:pPr>
        <w:ind w:right="120" w:firstLine="501"/>
        <w:spacing w:after="0" w:line="279"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85" w:lineRule="exact"/>
        <w:rPr>
          <w:sz w:val="20"/>
          <w:szCs w:val="20"/>
          <w:color w:val="auto"/>
        </w:rPr>
      </w:pPr>
    </w:p>
    <w:p>
      <w:pPr>
        <w:ind w:right="100" w:firstLine="501"/>
        <w:spacing w:after="0" w:line="257" w:lineRule="auto"/>
        <w:rPr>
          <w:sz w:val="20"/>
          <w:szCs w:val="20"/>
          <w:color w:val="auto"/>
        </w:rPr>
      </w:pPr>
      <w:r>
        <w:rPr>
          <w:rFonts w:ascii="Arial" w:cs="Arial" w:eastAsia="Arial" w:hAnsi="Arial"/>
          <w:sz w:val="18"/>
          <w:szCs w:val="18"/>
          <w:color w:val="auto"/>
        </w:rPr>
        <w:t>As of December 31, 2020, we had 78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4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84"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105"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5" w:lineRule="exact"/>
        <w:rPr>
          <w:sz w:val="20"/>
          <w:szCs w:val="20"/>
          <w:color w:val="auto"/>
        </w:rPr>
      </w:pPr>
    </w:p>
    <w:p>
      <w:pPr>
        <w:jc w:val="both"/>
        <w:ind w:right="40" w:firstLine="501"/>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51"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ind w:right="80" w:firstLine="501"/>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60" w:lineRule="exact"/>
        <w:rPr>
          <w:sz w:val="20"/>
          <w:szCs w:val="20"/>
          <w:color w:val="auto"/>
        </w:rPr>
      </w:pPr>
    </w:p>
    <w:p>
      <w:pPr>
        <w:ind w:left="260"/>
        <w:spacing w:after="0" w:line="381"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60" w:lineRule="exact"/>
        <w:rPr>
          <w:sz w:val="20"/>
          <w:szCs w:val="20"/>
          <w:color w:val="auto"/>
        </w:rPr>
      </w:pPr>
    </w:p>
    <w:p>
      <w:pPr>
        <w:ind w:right="200" w:firstLine="501"/>
        <w:spacing w:after="0" w:line="273" w:lineRule="auto"/>
        <w:rPr>
          <w:sz w:val="20"/>
          <w:szCs w:val="20"/>
          <w:color w:val="auto"/>
        </w:rPr>
      </w:pPr>
      <w:r>
        <w:rPr>
          <w:rFonts w:ascii="Arial" w:cs="Arial" w:eastAsia="Arial" w:hAnsi="Arial"/>
          <w:sz w:val="17"/>
          <w:szCs w:val="17"/>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Chief Executive Officer and President, Keith Cummings, M.D., our Chief Financial Officer, Barbara Howes, our Chief Human Resources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37"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57"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137" w:lineRule="exact"/>
        <w:rPr>
          <w:sz w:val="20"/>
          <w:szCs w:val="20"/>
          <w:color w:val="auto"/>
        </w:rPr>
      </w:pPr>
    </w:p>
    <w:p>
      <w:pPr>
        <w:ind w:left="260" w:right="600"/>
        <w:spacing w:after="0" w:line="286"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125"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58"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1" w:name="page92"/>
    <w:bookmarkEnd w:id="91"/>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143" w:lineRule="exact"/>
        <w:rPr>
          <w:sz w:val="20"/>
          <w:szCs w:val="20"/>
          <w:color w:val="auto"/>
        </w:rPr>
      </w:pPr>
    </w:p>
    <w:p>
      <w:pPr>
        <w:ind w:firstLine="501"/>
        <w:spacing w:after="0" w:line="268"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85" w:lineRule="exact"/>
        <w:rPr>
          <w:sz w:val="20"/>
          <w:szCs w:val="20"/>
          <w:color w:val="auto"/>
        </w:rPr>
      </w:pPr>
    </w:p>
    <w:p>
      <w:pPr>
        <w:ind w:right="80" w:firstLine="501"/>
        <w:spacing w:after="0" w:line="271"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51"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0" w:lineRule="exact"/>
        <w:rPr>
          <w:sz w:val="20"/>
          <w:szCs w:val="20"/>
          <w:color w:val="auto"/>
        </w:rPr>
      </w:pPr>
    </w:p>
    <w:p>
      <w:pPr>
        <w:ind w:right="60" w:firstLine="501"/>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4" w:lineRule="exact"/>
        <w:rPr>
          <w:sz w:val="20"/>
          <w:szCs w:val="20"/>
          <w:color w:val="auto"/>
        </w:rPr>
      </w:pPr>
    </w:p>
    <w:p>
      <w:pPr>
        <w:ind w:right="40" w:firstLine="501"/>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ind w:left="260" w:right="26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143"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85"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As of December 31, 2020, we had net operating loss carryforwards for U.S. federal and state income tax purposes of $96.5 million and $97.3 million, respectively, some of which will begin to expire in 2035. As of December 31, 2020, we also had available tax credit carryforwards for U.S. federal income tax purposes of $7.5 million, which begin to expire in 2036, and state income tax purposes of $2.5 million.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2020 and concluded that we have experienced ownership changes since inception and our utilization of pre-change net operating loss and credit carryforwards will be subject to the limitation. In addition, we may experience subsequent ownership changes as a result of future equity offerings or other changes in our stock ownership. Any such limitation, whether as the result of the IPO, the Concurrent Private Placement, prior private placements, sales of our common stock by our existing stockholders or additional sales of our common stock by us,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 regardless of our operating performance.</w:t>
      </w:r>
    </w:p>
    <w:p>
      <w:pPr>
        <w:spacing w:after="0" w:line="185"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develop, and if it does develop, it may not be sustainable.</w:t>
      </w:r>
    </w:p>
    <w:p>
      <w:pPr>
        <w:spacing w:after="0" w:line="157"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85" w:lineRule="exact"/>
        <w:rPr>
          <w:sz w:val="20"/>
          <w:szCs w:val="20"/>
          <w:color w:val="auto"/>
        </w:rPr>
      </w:pPr>
    </w:p>
    <w:p>
      <w:pPr>
        <w:jc w:val="both"/>
        <w:ind w:right="140" w:firstLine="501"/>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57"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Phase 2a clinical trials of PLN-74809 and our Phase 1 clinical trial of PLN-1474;</w:t>
      </w:r>
    </w:p>
    <w:p>
      <w:pPr>
        <w:spacing w:after="0" w:line="196"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84"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84"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129"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96" w:lineRule="exact"/>
        <w:rPr>
          <w:rFonts w:ascii="Arial" w:cs="Arial" w:eastAsia="Arial" w:hAnsi="Arial"/>
          <w:sz w:val="17"/>
          <w:szCs w:val="17"/>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84" w:lineRule="exact"/>
        <w:rPr>
          <w:rFonts w:ascii="Arial" w:cs="Arial" w:eastAsia="Arial" w:hAnsi="Arial"/>
          <w:sz w:val="18"/>
          <w:szCs w:val="18"/>
          <w:color w:val="auto"/>
        </w:rPr>
      </w:pPr>
    </w:p>
    <w:p>
      <w:pPr>
        <w:ind w:left="500" w:right="520" w:hanging="493"/>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129"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84" w:lineRule="exact"/>
        <w:rPr>
          <w:rFonts w:ascii="Arial" w:cs="Arial" w:eastAsia="Arial" w:hAnsi="Arial"/>
          <w:sz w:val="18"/>
          <w:szCs w:val="18"/>
          <w:color w:val="auto"/>
        </w:rPr>
      </w:pPr>
    </w:p>
    <w:p>
      <w:pPr>
        <w:ind w:left="500" w:right="260" w:hanging="493"/>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84" w:lineRule="exact"/>
        <w:rPr>
          <w:rFonts w:ascii="Arial" w:cs="Arial" w:eastAsia="Arial" w:hAnsi="Arial"/>
          <w:sz w:val="18"/>
          <w:szCs w:val="18"/>
          <w:color w:val="auto"/>
        </w:rPr>
      </w:pPr>
    </w:p>
    <w:p>
      <w:pPr>
        <w:ind w:left="500" w:hanging="493"/>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517" w:right="339" w:bottom="1440" w:gutter="0" w:footer="0" w:header="0"/>
        </w:sectPr>
      </w:pPr>
    </w:p>
    <w:bookmarkStart w:id="94" w:name="page95"/>
    <w:bookmarkEnd w:id="94"/>
    <w:p>
      <w:pPr>
        <w:ind w:firstLine="501"/>
        <w:spacing w:after="0" w:line="254"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If the market price of our common stock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85" w:lineRule="exact"/>
        <w:rPr>
          <w:sz w:val="20"/>
          <w:szCs w:val="20"/>
          <w:color w:val="auto"/>
        </w:rPr>
      </w:pPr>
    </w:p>
    <w:p>
      <w:pPr>
        <w:ind w:right="140" w:firstLine="501"/>
        <w:spacing w:after="0" w:line="259"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46"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143"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Based on shares outstanding as of December 31, 2020,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1" w:lineRule="exact"/>
        <w:rPr>
          <w:sz w:val="20"/>
          <w:szCs w:val="20"/>
          <w:color w:val="auto"/>
        </w:rPr>
      </w:pPr>
    </w:p>
    <w:p>
      <w:pPr>
        <w:ind w:left="260" w:right="300"/>
        <w:spacing w:after="0" w:line="25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and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 in which we completed the IPO, although circumstances could cause us to lose that status earlier. We will remain an EGC until the earlier of (i) the last day of the fiscal year (a) following the fifth anniversary of the completion of the IPO, (b) in which we have total annual gross revenue of at least $1.07 billion or (c) in which we are deemed to be a large accelerated filer, which requires the market value of our common stock that is held by non-affiliates to exceed $700.0 million as of the prior June 30th during a time after which we have been subject to the Exchange Act for at least twelve calendar months and we have filed at least one annual report on Form 10-K, and (ii) the date on which we have issued more than $1.0 billion in non-convertible debt during the prior three-year period.</w:t>
      </w:r>
    </w:p>
    <w:p>
      <w:pPr>
        <w:spacing w:after="0" w:line="134" w:lineRule="exact"/>
        <w:rPr>
          <w:sz w:val="20"/>
          <w:szCs w:val="20"/>
          <w:color w:val="auto"/>
        </w:rPr>
      </w:pPr>
    </w:p>
    <w:p>
      <w:pPr>
        <w:jc w:val="both"/>
        <w:ind w:right="20" w:firstLine="501"/>
        <w:spacing w:after="0" w:line="263"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7" w:lineRule="exact"/>
        <w:rPr>
          <w:sz w:val="20"/>
          <w:szCs w:val="20"/>
          <w:color w:val="auto"/>
        </w:rPr>
      </w:pPr>
    </w:p>
    <w:p>
      <w:pPr>
        <w:ind w:right="360" w:firstLine="501"/>
        <w:spacing w:after="0" w:line="263" w:lineRule="auto"/>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143"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30"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As a public company, we incur significant legal, accounting, and other expenses. We are subject to the reporting requirements of the Securities Exchange Act of 1934, as amended, which requires,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pricing of an IPO. Stockholder activism, the current political environment and the current high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5" w:name="page96"/>
    <w:bookmarkEnd w:id="95"/>
    <w:p>
      <w:pPr>
        <w:ind w:right="260"/>
        <w:spacing w:after="0" w:line="277" w:lineRule="auto"/>
        <w:rPr>
          <w:sz w:val="20"/>
          <w:szCs w:val="20"/>
          <w:color w:val="auto"/>
        </w:rPr>
      </w:pPr>
      <w:r>
        <w:rPr>
          <w:rFonts w:ascii="Arial" w:cs="Arial" w:eastAsia="Arial" w:hAnsi="Arial"/>
          <w:sz w:val="18"/>
          <w:szCs w:val="18"/>
          <w:color w:val="auto"/>
        </w:rPr>
        <w:t>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3"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1" w:lineRule="exact"/>
        <w:rPr>
          <w:sz w:val="20"/>
          <w:szCs w:val="20"/>
          <w:color w:val="auto"/>
        </w:rPr>
      </w:pPr>
    </w:p>
    <w:p>
      <w:pPr>
        <w:ind w:lef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3" w:lineRule="exact"/>
        <w:rPr>
          <w:sz w:val="20"/>
          <w:szCs w:val="20"/>
          <w:color w:val="auto"/>
        </w:rPr>
      </w:pPr>
    </w:p>
    <w:p>
      <w:pPr>
        <w:ind w:right="100" w:firstLine="50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50"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ind w:right="260" w:firstLine="501"/>
        <w:spacing w:after="0" w:line="290"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there are substantial sales of shares of our common stock, the price of our common stock could decline.</w:t>
      </w:r>
    </w:p>
    <w:p>
      <w:pPr>
        <w:spacing w:after="0" w:line="185"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beginning on January 1, 2021,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beginning on January 1, 2021,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45"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The holders of over 20 million shares of our common stock are entitled to rights with respect to the registration of their shares under the Securities Act as provided under the terms of an investors’ rights agreement between us and the holders of our redeemable convertible preferred stock.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6" w:name="page97"/>
    <w:bookmarkEnd w:id="96"/>
    <w:p>
      <w:pPr>
        <w:ind w:left="260"/>
        <w:spacing w:after="0"/>
        <w:rPr>
          <w:sz w:val="20"/>
          <w:szCs w:val="20"/>
          <w:color w:val="auto"/>
        </w:rPr>
      </w:pPr>
      <w:r>
        <w:rPr>
          <w:rFonts w:ascii="Arial" w:cs="Arial" w:eastAsia="Arial" w:hAnsi="Arial"/>
          <w:sz w:val="16"/>
          <w:szCs w:val="16"/>
          <w:b w:val="1"/>
          <w:bCs w:val="1"/>
          <w:i w:val="1"/>
          <w:iCs w:val="1"/>
          <w:color w:val="auto"/>
        </w:rPr>
        <w:t>We have broad discretion in the use of our existing cash, cash equivalents and short-term investments and may not use them effectively.</w:t>
      </w:r>
    </w:p>
    <w:p>
      <w:pPr>
        <w:spacing w:after="0" w:line="221" w:lineRule="exact"/>
        <w:rPr>
          <w:sz w:val="20"/>
          <w:szCs w:val="20"/>
          <w:color w:val="auto"/>
        </w:rPr>
      </w:pPr>
    </w:p>
    <w:p>
      <w:pPr>
        <w:ind w:right="80" w:firstLine="501"/>
        <w:spacing w:after="0" w:line="272" w:lineRule="auto"/>
        <w:rPr>
          <w:sz w:val="20"/>
          <w:szCs w:val="20"/>
          <w:color w:val="auto"/>
        </w:rPr>
      </w:pPr>
      <w:r>
        <w:rPr>
          <w:rFonts w:ascii="Arial" w:cs="Arial" w:eastAsia="Arial" w:hAnsi="Arial"/>
          <w:sz w:val="17"/>
          <w:szCs w:val="17"/>
          <w:color w:val="auto"/>
        </w:rPr>
        <w:t>Our management will have broad discretion in the application of our existing cash, cash equivalents and short-term investments. Because of the number and variability of factors that will determine our use of our existing cash, cash equivalents and short-term investments, their ultimate use may vary substantially from their currently intended use. Our management might not apply our existing cash, cash equivalents and short-term investments in ways that ultimately increase the value of your investment. The failure by our management to apply these funds effectively could harm our business. Pending their use, we may invest in short-term, investment-grade, interest-bearing securities. These investments may not yield a favorable return to our stockholders. If we do not invest or apply our existing cash, cash equivalents and short-term investments in ways that enhance stockholder value, we may fail to achieve expected financial results, which could cause our stock price to decline.</w:t>
      </w:r>
    </w:p>
    <w:p>
      <w:pPr>
        <w:spacing w:after="0" w:line="137" w:lineRule="exact"/>
        <w:rPr>
          <w:sz w:val="20"/>
          <w:szCs w:val="20"/>
          <w:color w:val="auto"/>
        </w:rPr>
      </w:pPr>
    </w:p>
    <w:p>
      <w:pPr>
        <w:ind w:left="260" w:right="18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83"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which became effective upon the completion of our IPO, contain provisions that could delay or prevent a change of control of our company or changes in our board of directors that our stockholders might consider favorable. Some of these provisions include:</w:t>
      </w:r>
    </w:p>
    <w:p>
      <w:pPr>
        <w:spacing w:after="0" w:line="157" w:lineRule="exact"/>
        <w:rPr>
          <w:sz w:val="20"/>
          <w:szCs w:val="20"/>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29"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29"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84"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43"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29"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06"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0" w:lineRule="exact"/>
        <w:rPr>
          <w:sz w:val="20"/>
          <w:szCs w:val="20"/>
          <w:color w:val="auto"/>
        </w:rPr>
      </w:pPr>
    </w:p>
    <w:p>
      <w:pPr>
        <w:jc w:val="both"/>
        <w:ind w:right="100" w:firstLine="501"/>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7" w:name="page98"/>
    <w:bookmarkEnd w:id="97"/>
    <w:p>
      <w:pPr>
        <w:ind w:left="260" w:right="2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certain courts as the exclusive forum for certain litigation that may be initiated by our stockholders, which could limit our stockholders’ ability to litigate disputes with us in a different judicial forum.</w:t>
      </w:r>
    </w:p>
    <w:p>
      <w:pPr>
        <w:spacing w:after="0" w:line="143" w:lineRule="exact"/>
        <w:rPr>
          <w:sz w:val="20"/>
          <w:szCs w:val="20"/>
          <w:color w:val="auto"/>
        </w:rPr>
      </w:pPr>
    </w:p>
    <w:p>
      <w:pPr>
        <w:ind w:right="40" w:firstLine="501"/>
        <w:spacing w:after="0" w:line="286" w:lineRule="auto"/>
        <w:rPr>
          <w:sz w:val="20"/>
          <w:szCs w:val="20"/>
          <w:color w:val="auto"/>
        </w:rPr>
      </w:pPr>
      <w:r>
        <w:rPr>
          <w:rFonts w:ascii="Arial" w:cs="Arial" w:eastAsia="Arial" w:hAnsi="Arial"/>
          <w:sz w:val="16"/>
          <w:szCs w:val="16"/>
          <w:color w:val="auto"/>
        </w:rPr>
        <w:t>Pursuant to our amended and restated by-laws, that became effective upon the completion of our IPO,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our amended and restated certificate of incorporation or our amended and restated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33"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30"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47"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143" w:lineRule="exact"/>
        <w:rPr>
          <w:sz w:val="20"/>
          <w:szCs w:val="20"/>
          <w:color w:val="auto"/>
        </w:rPr>
      </w:pPr>
    </w:p>
    <w:p>
      <w:pPr>
        <w:ind w:right="100" w:firstLine="501"/>
        <w:spacing w:after="0" w:line="269"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8" w:name="page99"/>
    <w:bookmarkEnd w:id="98"/>
    <w:p>
      <w:pPr>
        <w:jc w:val="both"/>
        <w:ind w:right="200"/>
        <w:spacing w:after="0" w:line="263" w:lineRule="auto"/>
        <w:rPr>
          <w:sz w:val="20"/>
          <w:szCs w:val="20"/>
          <w:color w:val="auto"/>
        </w:rPr>
      </w:pPr>
      <w:r>
        <w:rPr>
          <w:rFonts w:ascii="Arial" w:cs="Arial" w:eastAsia="Arial" w:hAnsi="Arial"/>
          <w:sz w:val="18"/>
          <w:szCs w:val="18"/>
          <w:color w:val="auto"/>
        </w:rPr>
        <w:t>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w:t>
      </w:r>
    </w:p>
    <w:p>
      <w:pPr>
        <w:spacing w:after="0" w:line="157"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information, we may seek to conduct clinical trials in the EEA and UK and may become subject to additional European or UK data privacy laws, regulations, and guidelines. The General Data Protection Regulation, (EU) 2016/679, or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data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127"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Further,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54" w:lineRule="exact"/>
        <w:rPr>
          <w:sz w:val="20"/>
          <w:szCs w:val="20"/>
          <w:color w:val="auto"/>
        </w:rPr>
      </w:pPr>
    </w:p>
    <w:p>
      <w:pPr>
        <w:ind w:right="40" w:firstLine="501"/>
        <w:spacing w:after="0" w:line="268" w:lineRule="auto"/>
        <w:rPr>
          <w:sz w:val="20"/>
          <w:szCs w:val="20"/>
          <w:color w:val="auto"/>
        </w:rPr>
      </w:pPr>
      <w:r>
        <w:rPr>
          <w:rFonts w:ascii="Arial" w:cs="Arial" w:eastAsia="Arial" w:hAnsi="Arial"/>
          <w:sz w:val="17"/>
          <w:szCs w:val="17"/>
          <w:color w:val="auto"/>
        </w:rPr>
        <w:t>In the event we commence clinical trials in the EEA, the GDPR may increase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59" w:lineRule="exact"/>
        <w:rPr>
          <w:sz w:val="20"/>
          <w:szCs w:val="20"/>
          <w:color w:val="auto"/>
        </w:rPr>
      </w:pPr>
    </w:p>
    <w:p>
      <w:pPr>
        <w:jc w:val="both"/>
        <w:ind w:left="260" w:right="34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43" w:lineRule="exact"/>
        <w:rPr>
          <w:sz w:val="20"/>
          <w:szCs w:val="20"/>
          <w:color w:val="auto"/>
        </w:rPr>
      </w:pPr>
    </w:p>
    <w:p>
      <w:pPr>
        <w:ind w:right="40" w:firstLine="494"/>
        <w:spacing w:after="0" w:line="290"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A transition period began February 1, 2020 and continued until December 31, 2020. During the transition period most laws, including medicinal products laws, of the EU continued to apply to the U.K. while the future relationship between the U.K. and the EU was formally negotiated. The U.K. and the EU have signed a EU-UK Trade and Cooperation Agreement, or TCA, which became provisionally applicable on January 1, 2021 and will become formally applicable once ratified by both the U.K. and the EU. This agreement provides details on how some aspects of the U.K. and EU’s relationship will operate going forwards however there are still many uncertainties.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9" w:name="page100"/>
    <w:bookmarkEnd w:id="99"/>
    <w:p>
      <w:pPr>
        <w:ind w:right="280" w:firstLine="501"/>
        <w:spacing w:after="0" w:line="255"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3"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91"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If other EU and Member States pursue withdrawal, barrier-free access between the U.K. and other EU Member States or among the European Economic Area overall could be diminished or eliminated. The long-term effects of Brexit will depend on how the terms of the TCA take effect in practice and any further agreements (or lack thereof) between the U.K. and the EU.</w:t>
      </w:r>
    </w:p>
    <w:p>
      <w:pPr>
        <w:spacing w:after="0" w:line="157" w:lineRule="exact"/>
        <w:rPr>
          <w:sz w:val="20"/>
          <w:szCs w:val="20"/>
          <w:color w:val="auto"/>
        </w:rPr>
      </w:pPr>
    </w:p>
    <w:p>
      <w:pPr>
        <w:jc w:val="both"/>
        <w:ind w:firstLine="501"/>
        <w:spacing w:after="0" w:line="311" w:lineRule="auto"/>
        <w:rPr>
          <w:sz w:val="20"/>
          <w:szCs w:val="20"/>
          <w:color w:val="auto"/>
        </w:rPr>
      </w:pPr>
      <w:r>
        <w:rPr>
          <w:rFonts w:ascii="Arial" w:cs="Arial" w:eastAsia="Arial" w:hAnsi="Arial"/>
          <w:sz w:val="16"/>
          <w:szCs w:val="16"/>
          <w:color w:val="auto"/>
        </w:rPr>
        <w:t>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108" w:lineRule="exact"/>
        <w:rPr>
          <w:sz w:val="20"/>
          <w:szCs w:val="20"/>
          <w:color w:val="auto"/>
        </w:rPr>
      </w:pPr>
    </w:p>
    <w:p>
      <w:pPr>
        <w:ind w:right="40" w:firstLine="494"/>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U.K. will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U.S. tax law could adversely affect our financial condition and results of operations.</w:t>
      </w:r>
    </w:p>
    <w:p>
      <w:pPr>
        <w:spacing w:after="0" w:line="198" w:lineRule="exact"/>
        <w:rPr>
          <w:sz w:val="20"/>
          <w:szCs w:val="20"/>
          <w:color w:val="auto"/>
        </w:rPr>
      </w:pPr>
    </w:p>
    <w:p>
      <w:pPr>
        <w:ind w:right="80" w:firstLine="501"/>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52"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30" w:lineRule="exact"/>
        <w:rPr>
          <w:sz w:val="20"/>
          <w:szCs w:val="20"/>
          <w:color w:val="auto"/>
        </w:rPr>
      </w:pPr>
    </w:p>
    <w:p>
      <w:pPr>
        <w:ind w:firstLine="514"/>
        <w:spacing w:after="0" w:line="290"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38" w:lineRule="exact"/>
        <w:rPr>
          <w:sz w:val="20"/>
          <w:szCs w:val="20"/>
          <w:color w:val="auto"/>
        </w:rPr>
      </w:pPr>
    </w:p>
    <w:p>
      <w:pPr>
        <w:ind w:right="60" w:firstLine="514"/>
        <w:spacing w:after="0" w:line="263" w:lineRule="auto"/>
        <w:rPr>
          <w:sz w:val="20"/>
          <w:szCs w:val="20"/>
          <w:color w:val="auto"/>
        </w:rPr>
      </w:pPr>
      <w:r>
        <w:rPr>
          <w:rFonts w:ascii="Arial" w:cs="Arial" w:eastAsia="Arial" w:hAnsi="Arial"/>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ind w:right="20"/>
        <w:spacing w:after="0" w:line="285" w:lineRule="auto"/>
        <w:rPr>
          <w:sz w:val="20"/>
          <w:szCs w:val="20"/>
          <w:color w:val="auto"/>
        </w:rPr>
      </w:pPr>
      <w:r>
        <w:rPr>
          <w:rFonts w:ascii="Arial" w:cs="Arial" w:eastAsia="Arial" w:hAnsi="Arial"/>
          <w:sz w:val="16"/>
          <w:szCs w:val="16"/>
          <w:color w:val="auto"/>
        </w:rPr>
        <w:t>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85"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98"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31"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30" w:lineRule="exact"/>
        <w:rPr>
          <w:sz w:val="20"/>
          <w:szCs w:val="20"/>
          <w:color w:val="auto"/>
        </w:rPr>
      </w:pPr>
    </w:p>
    <w:p>
      <w:pPr>
        <w:ind w:right="60" w:firstLine="501"/>
        <w:spacing w:after="0" w:line="301"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We lease a facility containing 32,974 square feet of laboratory and office space, which is located at 260 Littlefield Avenue, South San Francisco, California 94080. The lease expires on February 28, 2025. We believe that our current facilities are sufficient to meet our current and near-term needs and that, should it be needed, suitable additional space will be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220" w:firstLine="501"/>
        <w:spacing w:after="0" w:line="311" w:lineRule="auto"/>
        <w:rPr>
          <w:sz w:val="20"/>
          <w:szCs w:val="20"/>
          <w:color w:val="auto"/>
        </w:rPr>
      </w:pPr>
      <w:r>
        <w:rPr>
          <w:rFonts w:ascii="Arial" w:cs="Arial" w:eastAsia="Arial" w:hAnsi="Arial"/>
          <w:sz w:val="16"/>
          <w:szCs w:val="16"/>
          <w:color w:val="auto"/>
        </w:rPr>
        <w:t>As of the date of this Annual Report,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297" w:right="499" w:bottom="1440" w:gutter="0" w:footer="0" w:header="0"/>
        </w:sectPr>
      </w:pPr>
    </w:p>
    <w:bookmarkStart w:id="102" w:name="page103"/>
    <w:bookmarkEnd w:id="102"/>
    <w:p>
      <w:pPr>
        <w:ind w:left="556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“PLRX” since June 3, 2020. Prior to that date, there was no public trading market for our common stock.</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As of the close of business on March 9, 2021, there were 85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for the development, operation and expansion of our business and do not anticipate declaring or paying any cash dividends for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about our equity compensation plans is incorporated herein by reference to Item 12 of Part III of this Annual Report on Form 10-K.</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02"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Our initial public offering of common stock was effected under a Registration Statement on Form S-1 (File No. 333-238146), which was declared effective by the SEC on May 11, 2020. There has been no material change in the use of proceeds from our initial public offering as described in our final prospectus filed with the SEC pursuant to Rule 424(b) and other periodic reports previously filed with the SEC</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On June 5, 2020, we consummated a concurrent private placement for shares of our common stock in connection with the consummation of our initial public offering. Novartis Institutes for Biomedical Research, Inc., our strategic partner and one of our existing stockholders has purchased $10.0 million in shares of our common stock at $16.00 per share.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0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June 2020, our Registration Statement on Form S-1 (No. 333-2381146) was declared effective by the SEC pursuant to which we issued and sold an aggregate of 10,350,000 shares of common stock (inclusive of 9,000,000 shares of common stock and 1,350,000 shares of common stock pursuant to the underwriters’ exercise of their over-allotment option) at a public offering price of $16.00 per share for aggregate net cash proceeds of $148.3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sale and issuance of 10,350,000 shares closed on June 5, 2020. Citigroup Global Markets Inc., Cowen and Company, LLC and Piper Sandler &amp; Co. acted as joint book-running managers for the offering.</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has been no material change in the planned use of proceeds from our initial public offering from that described in the Prospectus.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120" w:firstLine="501"/>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 Item 1A and elsewhere in this Annual Report. See “Special Note Regarding Forward-Looking Statements” in this Annual Report. In some cases, you can identify forward-looking statements by terminology such as “anticipate,” “believe,” “continue,” “could,” “estimate,” “expect,” “intend,” “may,” “plan,” “potentially,” “predict,” “should,” “will” or the negative of these terms or other similar expressions.</w:t>
      </w:r>
    </w:p>
    <w:p>
      <w:pPr>
        <w:spacing w:after="0" w:line="151"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494"/>
        <w:spacing w:after="0" w:line="287" w:lineRule="auto"/>
        <w:rPr>
          <w:sz w:val="20"/>
          <w:szCs w:val="20"/>
          <w:color w:val="auto"/>
        </w:rPr>
      </w:pPr>
      <w:r>
        <w:rPr>
          <w:rFonts w:ascii="Arial" w:cs="Arial" w:eastAsia="Arial" w:hAnsi="Arial"/>
          <w:sz w:val="16"/>
          <w:szCs w:val="16"/>
          <w:color w:val="auto"/>
        </w:rPr>
        <w:t>We are a clinical stage biopharmaceutical company focused on discovering and developing novel therapies for the treatment of fibrosis and related diseases.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integrins that we are developing for the treatment of idiopathic pulmonary fibrosis, or IPF, and primary sclerosing cholangitis, or PSC. We have completed a Phase 1a SAD/MAD trial and a Phase 1b proof-of-mechanism trial of PLN-74809 in IPF and are currently recruiting three Phase 2a trials in our lead indications; two in IPF and one in PSC. We expect to announce preliminary data from our first Phase 2a IPF trial in the first half of 2021. Our second product candidate, PLN-1474, is a small-molecule selective inhibitor of α</w:t>
      </w:r>
      <w:r>
        <w:rPr>
          <w:rFonts w:ascii="Arial" w:cs="Arial" w:eastAsia="Arial" w:hAnsi="Arial"/>
          <w:sz w:val="13"/>
          <w:szCs w:val="13"/>
          <w:color w:val="auto"/>
        </w:rPr>
        <w:t>v</w:t>
      </w:r>
      <w:r>
        <w:rPr>
          <w:rFonts w:ascii="Arial" w:cs="Arial" w:eastAsia="Arial" w:hAnsi="Arial"/>
          <w:sz w:val="16"/>
          <w:szCs w:val="16"/>
          <w:color w:val="auto"/>
        </w:rPr>
        <w:t>β</w:t>
      </w:r>
      <w:r>
        <w:rPr>
          <w:rFonts w:ascii="Arial" w:cs="Arial" w:eastAsia="Arial" w:hAnsi="Arial"/>
          <w:sz w:val="13"/>
          <w:szCs w:val="13"/>
          <w:color w:val="auto"/>
        </w:rPr>
        <w:t>1</w:t>
      </w:r>
      <w:r>
        <w:rPr>
          <w:rFonts w:ascii="Arial" w:cs="Arial" w:eastAsia="Arial" w:hAnsi="Arial"/>
          <w:sz w:val="16"/>
          <w:szCs w:val="16"/>
          <w:color w:val="auto"/>
        </w:rPr>
        <w:t xml:space="preserve"> for the treatment of liver fibrosis associated with nonalcoholic steatohepatitis, or NASH, which we have partnered with Novartis. PLN-1474 has successfully completed Phase 1 SAD/MAD trials and was transferred to Novartis, in the first quarter of 2021, who will be responsible for all future development, manufacturing, and commercialization activities. In addition to our clinical programs, we currently have preclinical integrin-based programs targeting oncology and muscular dystrophies.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5" w:lineRule="exact"/>
        <w:rPr>
          <w:sz w:val="20"/>
          <w:szCs w:val="20"/>
          <w:color w:val="auto"/>
        </w:rPr>
      </w:pPr>
    </w:p>
    <w:p>
      <w:pPr>
        <w:ind w:left="840" w:right="20" w:hanging="373"/>
        <w:spacing w:after="0" w:line="288" w:lineRule="auto"/>
        <w:tabs>
          <w:tab w:leader="none" w:pos="840" w:val="left"/>
        </w:tabs>
        <w:numPr>
          <w:ilvl w:val="0"/>
          <w:numId w:val="45"/>
        </w:numPr>
        <w:rPr>
          <w:rFonts w:ascii="Arial" w:cs="Arial" w:eastAsia="Arial" w:hAnsi="Arial"/>
          <w:sz w:val="17"/>
          <w:szCs w:val="17"/>
          <w:color w:val="000D1B"/>
        </w:rPr>
      </w:pPr>
      <w:r>
        <w:rPr>
          <w:rFonts w:ascii="Arial" w:cs="Arial" w:eastAsia="Arial" w:hAnsi="Arial"/>
          <w:sz w:val="17"/>
          <w:szCs w:val="17"/>
          <w:b w:val="1"/>
          <w:bCs w:val="1"/>
          <w:color w:val="000D1B"/>
        </w:rPr>
        <w:t xml:space="preserve">PLN-74809 Phase 2a positron emission tomography (PET) imaging trial resumed, with preliminary data expected in the first half 2021. </w:t>
      </w:r>
      <w:r>
        <w:rPr>
          <w:rFonts w:ascii="Arial" w:cs="Arial" w:eastAsia="Arial" w:hAnsi="Arial"/>
          <w:sz w:val="17"/>
          <w:szCs w:val="17"/>
          <w:color w:val="000000"/>
        </w:rPr>
        <w:t>With the reopening of the trial site in November, we were able to resume the Phase 2a PET trial. This open-label dose ranging trial will evaluate target engagement of PLN-74809 in IPF patients utilizing a PET tracer of the integrin α</w:t>
      </w:r>
      <w:r>
        <w:rPr>
          <w:rFonts w:ascii="Arial" w:cs="Arial" w:eastAsia="Arial" w:hAnsi="Arial"/>
          <w:sz w:val="14"/>
          <w:szCs w:val="14"/>
          <w:color w:val="000000"/>
        </w:rPr>
        <w:t>v</w:t>
      </w:r>
      <w:r>
        <w:rPr>
          <w:rFonts w:ascii="Arial" w:cs="Arial" w:eastAsia="Arial" w:hAnsi="Arial"/>
          <w:sz w:val="17"/>
          <w:szCs w:val="17"/>
          <w:color w:val="000000"/>
        </w:rPr>
        <w:t>β</w:t>
      </w:r>
      <w:r>
        <w:rPr>
          <w:rFonts w:ascii="Arial" w:cs="Arial" w:eastAsia="Arial" w:hAnsi="Arial"/>
          <w:sz w:val="14"/>
          <w:szCs w:val="14"/>
          <w:color w:val="000000"/>
        </w:rPr>
        <w:t>6</w:t>
      </w:r>
      <w:r>
        <w:rPr>
          <w:rFonts w:ascii="Arial" w:cs="Arial" w:eastAsia="Arial" w:hAnsi="Arial"/>
          <w:sz w:val="17"/>
          <w:szCs w:val="17"/>
          <w:color w:val="000000"/>
        </w:rPr>
        <w:t>. We will assess receptor occupancy levels achieved by PLN-74809, a dual selective inhibitor of α</w:t>
      </w:r>
      <w:r>
        <w:rPr>
          <w:rFonts w:ascii="Arial" w:cs="Arial" w:eastAsia="Arial" w:hAnsi="Arial"/>
          <w:sz w:val="14"/>
          <w:szCs w:val="14"/>
          <w:color w:val="000000"/>
        </w:rPr>
        <w:t>v</w:t>
      </w:r>
      <w:r>
        <w:rPr>
          <w:rFonts w:ascii="Arial" w:cs="Arial" w:eastAsia="Arial" w:hAnsi="Arial"/>
          <w:sz w:val="17"/>
          <w:szCs w:val="17"/>
          <w:color w:val="000000"/>
        </w:rPr>
        <w:t>β</w:t>
      </w:r>
      <w:r>
        <w:rPr>
          <w:rFonts w:ascii="Arial" w:cs="Arial" w:eastAsia="Arial" w:hAnsi="Arial"/>
          <w:sz w:val="14"/>
          <w:szCs w:val="14"/>
          <w:color w:val="000000"/>
        </w:rPr>
        <w:t>6</w:t>
      </w:r>
      <w:r>
        <w:rPr>
          <w:rFonts w:ascii="Arial" w:cs="Arial" w:eastAsia="Arial" w:hAnsi="Arial"/>
          <w:sz w:val="17"/>
          <w:szCs w:val="17"/>
          <w:color w:val="000000"/>
        </w:rPr>
        <w:t>/ α</w:t>
      </w:r>
      <w:r>
        <w:rPr>
          <w:rFonts w:ascii="Arial" w:cs="Arial" w:eastAsia="Arial" w:hAnsi="Arial"/>
          <w:sz w:val="14"/>
          <w:szCs w:val="14"/>
          <w:color w:val="000000"/>
        </w:rPr>
        <w:t>v</w:t>
      </w:r>
      <w:r>
        <w:rPr>
          <w:rFonts w:ascii="Arial" w:cs="Arial" w:eastAsia="Arial" w:hAnsi="Arial"/>
          <w:sz w:val="17"/>
          <w:szCs w:val="17"/>
          <w:color w:val="000000"/>
        </w:rPr>
        <w:t>β</w:t>
      </w:r>
      <w:r>
        <w:rPr>
          <w:rFonts w:ascii="Arial" w:cs="Arial" w:eastAsia="Arial" w:hAnsi="Arial"/>
          <w:sz w:val="14"/>
          <w:szCs w:val="14"/>
          <w:color w:val="000000"/>
        </w:rPr>
        <w:t>1</w:t>
      </w:r>
      <w:r>
        <w:rPr>
          <w:rFonts w:ascii="Arial" w:cs="Arial" w:eastAsia="Arial" w:hAnsi="Arial"/>
          <w:sz w:val="17"/>
          <w:szCs w:val="17"/>
          <w:color w:val="000000"/>
        </w:rPr>
        <w:t>, across multiple single-dose cohorts.</w:t>
      </w:r>
    </w:p>
    <w:p>
      <w:pPr>
        <w:spacing w:after="0" w:line="141" w:lineRule="exact"/>
        <w:rPr>
          <w:rFonts w:ascii="Arial" w:cs="Arial" w:eastAsia="Arial" w:hAnsi="Arial"/>
          <w:sz w:val="17"/>
          <w:szCs w:val="17"/>
          <w:color w:val="000D1B"/>
        </w:rPr>
      </w:pPr>
    </w:p>
    <w:p>
      <w:pPr>
        <w:ind w:left="840" w:right="560" w:hanging="373"/>
        <w:spacing w:after="0" w:line="281" w:lineRule="auto"/>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000D1B"/>
        </w:rPr>
        <w:t xml:space="preserve">PLN-74809 Phase 2a INTEGRIS trials in idiopathic pulmonary fibrosis (IPF) and primary sclerosing cholangitis (PSC) gained momentum in the fourth quarter and are currently on track to complete enrollment by the end of 2021 and the first half of 2022, respectively. </w:t>
      </w:r>
      <w:r>
        <w:rPr>
          <w:rFonts w:ascii="Arial" w:cs="Arial" w:eastAsia="Arial" w:hAnsi="Arial"/>
          <w:sz w:val="17"/>
          <w:szCs w:val="17"/>
          <w:color w:val="000000"/>
        </w:rPr>
        <w:t>These 12-week randomized, dose-ranging, double-blind, placebo-controlled trials will evaluate safety, tolerability, and</w:t>
      </w:r>
      <w:r>
        <w:rPr>
          <w:rFonts w:ascii="Arial" w:cs="Arial" w:eastAsia="Arial" w:hAnsi="Arial"/>
          <w:sz w:val="17"/>
          <w:szCs w:val="17"/>
          <w:b w:val="1"/>
          <w:bCs w:val="1"/>
          <w:color w:val="000D1B"/>
        </w:rPr>
        <w:t xml:space="preserve"> </w:t>
      </w:r>
      <w:r>
        <w:rPr>
          <w:rFonts w:ascii="Arial" w:cs="Arial" w:eastAsia="Arial" w:hAnsi="Arial"/>
          <w:sz w:val="17"/>
          <w:szCs w:val="17"/>
          <w:color w:val="000000"/>
        </w:rPr>
        <w:t>pharmacokinetics, as well as exploratory efficacy endpoints in patients with IPF and PSC.</w:t>
      </w:r>
    </w:p>
    <w:p>
      <w:pPr>
        <w:spacing w:after="0" w:line="164" w:lineRule="exact"/>
        <w:rPr>
          <w:rFonts w:ascii="Arial" w:cs="Arial" w:eastAsia="Arial" w:hAnsi="Arial"/>
          <w:sz w:val="17"/>
          <w:szCs w:val="17"/>
          <w:color w:val="auto"/>
        </w:rPr>
      </w:pPr>
    </w:p>
    <w:p>
      <w:pPr>
        <w:ind w:left="840" w:hanging="373"/>
        <w:spacing w:after="0" w:line="277"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IND open for development of a PET tracer of the protein integrin α</w:t>
      </w:r>
      <w:r>
        <w:rPr>
          <w:rFonts w:ascii="Arial" w:cs="Arial" w:eastAsia="Arial" w:hAnsi="Arial"/>
          <w:sz w:val="15"/>
          <w:szCs w:val="15"/>
          <w:b w:val="1"/>
          <w:bCs w:val="1"/>
          <w:color w:val="auto"/>
        </w:rPr>
        <w:t>v</w:t>
      </w:r>
      <w:r>
        <w:rPr>
          <w:rFonts w:ascii="Arial" w:cs="Arial" w:eastAsia="Arial" w:hAnsi="Arial"/>
          <w:sz w:val="18"/>
          <w:szCs w:val="18"/>
          <w:b w:val="1"/>
          <w:bCs w:val="1"/>
          <w:color w:val="auto"/>
        </w:rPr>
        <w:t>β</w:t>
      </w:r>
      <w:r>
        <w:rPr>
          <w:rFonts w:ascii="Arial" w:cs="Arial" w:eastAsia="Arial" w:hAnsi="Arial"/>
          <w:sz w:val="15"/>
          <w:szCs w:val="15"/>
          <w:b w:val="1"/>
          <w:bCs w:val="1"/>
          <w:color w:val="auto"/>
        </w:rPr>
        <w:t>1</w:t>
      </w:r>
      <w:r>
        <w:rPr>
          <w:rFonts w:ascii="Arial" w:cs="Arial" w:eastAsia="Arial" w:hAnsi="Arial"/>
          <w:sz w:val="18"/>
          <w:szCs w:val="18"/>
          <w:color w:val="auto"/>
        </w:rPr>
        <w:t>. Following a December 2020 Investigational New Drug (IND) filing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recently issued a “Safe to Proceed Letter”, Pliant expects to rapidly advance into clinical trials a study of a wholly owned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PET tracer to evaluate expression levels of α</w:t>
      </w:r>
      <w:r>
        <w:rPr>
          <w:rFonts w:ascii="Arial" w:cs="Arial" w:eastAsia="Arial" w:hAnsi="Arial"/>
          <w:sz w:val="15"/>
          <w:szCs w:val="15"/>
          <w:color w:val="auto"/>
        </w:rPr>
        <w:t>v</w:t>
      </w:r>
      <w:r>
        <w:rPr>
          <w:rFonts w:ascii="Arial" w:cs="Arial" w:eastAsia="Arial" w:hAnsi="Arial"/>
          <w:sz w:val="18"/>
          <w:szCs w:val="18"/>
          <w:color w:val="auto"/>
        </w:rPr>
        <w:t>β</w:t>
      </w:r>
      <w:r>
        <w:rPr>
          <w:rFonts w:ascii="Arial" w:cs="Arial" w:eastAsia="Arial" w:hAnsi="Arial"/>
          <w:sz w:val="15"/>
          <w:szCs w:val="15"/>
          <w:color w:val="auto"/>
        </w:rPr>
        <w:t>1</w:t>
      </w:r>
      <w:r>
        <w:rPr>
          <w:rFonts w:ascii="Arial" w:cs="Arial" w:eastAsia="Arial" w:hAnsi="Arial"/>
          <w:sz w:val="18"/>
          <w:szCs w:val="18"/>
          <w:color w:val="auto"/>
        </w:rPr>
        <w:t xml:space="preserve"> in various fibrotic tissues. This marks the Company’s fifth IND.</w:t>
      </w:r>
    </w:p>
    <w:p>
      <w:pPr>
        <w:spacing w:after="0" w:line="147" w:lineRule="exact"/>
        <w:rPr>
          <w:rFonts w:ascii="Arial" w:cs="Arial" w:eastAsia="Arial" w:hAnsi="Arial"/>
          <w:sz w:val="18"/>
          <w:szCs w:val="18"/>
          <w:color w:val="auto"/>
        </w:rPr>
      </w:pPr>
    </w:p>
    <w:p>
      <w:pPr>
        <w:ind w:left="840" w:hanging="373"/>
        <w:spacing w:after="0" w:line="258"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000D1B"/>
        </w:rPr>
        <w:t>Successful completion of PLN-1474 Phase 1 trial and t</w:t>
      </w:r>
      <w:r>
        <w:rPr>
          <w:rFonts w:ascii="Arial" w:cs="Arial" w:eastAsia="Arial" w:hAnsi="Arial"/>
          <w:sz w:val="18"/>
          <w:szCs w:val="18"/>
          <w:b w:val="1"/>
          <w:bCs w:val="1"/>
          <w:color w:val="000000"/>
        </w:rPr>
        <w:t>ransfer of</w:t>
      </w:r>
      <w:r>
        <w:rPr>
          <w:rFonts w:ascii="Arial" w:cs="Arial" w:eastAsia="Arial" w:hAnsi="Arial"/>
          <w:sz w:val="18"/>
          <w:szCs w:val="18"/>
          <w:b w:val="1"/>
          <w:bCs w:val="1"/>
          <w:color w:val="000D1B"/>
        </w:rPr>
        <w:t xml:space="preserve"> PLN-1474 </w:t>
      </w:r>
      <w:r>
        <w:rPr>
          <w:rFonts w:ascii="Arial" w:cs="Arial" w:eastAsia="Arial" w:hAnsi="Arial"/>
          <w:sz w:val="18"/>
          <w:szCs w:val="18"/>
          <w:b w:val="1"/>
          <w:bCs w:val="1"/>
          <w:color w:val="000000"/>
        </w:rPr>
        <w:t>to Novartis</w:t>
      </w:r>
      <w:r>
        <w:rPr>
          <w:rFonts w:ascii="Arial" w:cs="Arial" w:eastAsia="Arial" w:hAnsi="Arial"/>
          <w:sz w:val="18"/>
          <w:szCs w:val="18"/>
          <w:b w:val="1"/>
          <w:bCs w:val="1"/>
          <w:color w:val="000D1B"/>
        </w:rPr>
        <w:t xml:space="preserve">. </w:t>
      </w:r>
      <w:r>
        <w:rPr>
          <w:rFonts w:ascii="Arial" w:cs="Arial" w:eastAsia="Arial" w:hAnsi="Arial"/>
          <w:sz w:val="18"/>
          <w:szCs w:val="18"/>
          <w:color w:val="000000"/>
        </w:rPr>
        <w:t>The Phase 1 trial of PLN-1474 was a safety,</w:t>
      </w:r>
      <w:r>
        <w:rPr>
          <w:rFonts w:ascii="Arial" w:cs="Arial" w:eastAsia="Arial" w:hAnsi="Arial"/>
          <w:sz w:val="18"/>
          <w:szCs w:val="18"/>
          <w:b w:val="1"/>
          <w:bCs w:val="1"/>
          <w:color w:val="000D1B"/>
        </w:rPr>
        <w:t xml:space="preserve"> </w:t>
      </w:r>
      <w:r>
        <w:rPr>
          <w:rFonts w:ascii="Arial" w:cs="Arial" w:eastAsia="Arial" w:hAnsi="Arial"/>
          <w:sz w:val="18"/>
          <w:szCs w:val="18"/>
          <w:color w:val="000000"/>
        </w:rPr>
        <w:t>tolerability, and pharmacokinetics dose-escalating first-in-human trial that enrolled 84 healthy volunteers. PLN-1474 was rapidly absorbed and well tolerated with no dose-or treatment-limiting toxicities or severe/ serious adverse events observed. In preclinical studies, PLN-1474 was observed to selectively block the α</w:t>
      </w:r>
      <w:r>
        <w:rPr>
          <w:rFonts w:ascii="Arial" w:cs="Arial" w:eastAsia="Arial" w:hAnsi="Arial"/>
          <w:sz w:val="15"/>
          <w:szCs w:val="15"/>
          <w:color w:val="000000"/>
        </w:rPr>
        <w:t>v</w:t>
      </w:r>
      <w:r>
        <w:rPr>
          <w:rFonts w:ascii="Arial" w:cs="Arial" w:eastAsia="Arial" w:hAnsi="Arial"/>
          <w:sz w:val="18"/>
          <w:szCs w:val="18"/>
          <w:color w:val="000000"/>
        </w:rPr>
        <w:t>β</w:t>
      </w:r>
      <w:r>
        <w:rPr>
          <w:rFonts w:ascii="Arial" w:cs="Arial" w:eastAsia="Arial" w:hAnsi="Arial"/>
          <w:sz w:val="15"/>
          <w:szCs w:val="15"/>
          <w:color w:val="000000"/>
        </w:rPr>
        <w:t>1</w:t>
      </w:r>
      <w:r>
        <w:rPr>
          <w:rFonts w:ascii="Arial" w:cs="Arial" w:eastAsia="Arial" w:hAnsi="Arial"/>
          <w:sz w:val="18"/>
          <w:szCs w:val="18"/>
          <w:color w:val="000000"/>
        </w:rPr>
        <w:t xml:space="preserve"> integrin-mediated activation of TGF-β, reducing liver fibrosis in animal models. Following the successful completion of this study, PLN-1474 has been transferred to Novartis.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left="840" w:right="20" w:hanging="279"/>
        <w:spacing w:after="0" w:line="256" w:lineRule="auto"/>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Completed an initial public offering (IPO) and concurrent private placement with Novartis. </w:t>
      </w:r>
      <w:r>
        <w:rPr>
          <w:rFonts w:ascii="Arial" w:cs="Arial" w:eastAsia="Arial" w:hAnsi="Arial"/>
          <w:sz w:val="18"/>
          <w:szCs w:val="18"/>
          <w:color w:val="auto"/>
        </w:rPr>
        <w:t>The IPO priced at $16.00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gross proceeds of $165.6 million including shares sold to the underwriters pursuant to the full exercise of their overallotment option before deducting underwriting discounts, commissions and other offering expenses payable by Pliant. The company also received $10.0 million in additional proceeds from a concurrent private placement with Novartis Institutes for BioMedical Research, Inc. at the public offering price of $16.00 per share. The Company's common stock commenced trading on the Nasdaq Global Select Market under the ticker symbol "PLRX" on June 3rd, 2020.</w:t>
      </w:r>
    </w:p>
    <w:p>
      <w:pPr>
        <w:spacing w:after="0" w:line="151" w:lineRule="exact"/>
        <w:rPr>
          <w:sz w:val="20"/>
          <w:szCs w:val="20"/>
          <w:color w:val="auto"/>
        </w:rPr>
      </w:pPr>
    </w:p>
    <w:p>
      <w:pPr>
        <w:ind w:right="80" w:firstLine="501"/>
        <w:spacing w:after="0" w:line="287" w:lineRule="auto"/>
        <w:rPr>
          <w:sz w:val="20"/>
          <w:szCs w:val="20"/>
          <w:color w:val="auto"/>
        </w:rPr>
      </w:pPr>
      <w:r>
        <w:rPr>
          <w:rFonts w:ascii="Arial" w:cs="Arial" w:eastAsia="Arial" w:hAnsi="Arial"/>
          <w:sz w:val="16"/>
          <w:szCs w:val="16"/>
          <w:color w:val="auto"/>
        </w:rPr>
        <w:t>In October 2019, we entered into a Collaboration and License Agreement with Novartis, or the Novartis Agreement, for the development and commercialization of our then preclinical product candidate, PLN-1474 and up to three integrin research targets. PLN-1474 is an internally discovered small molecule selective inhibitor of integrin αvß1, currently being developed for the treatment of liver fibrosis associated with nonalcoholic steatohepatitis, or NASH. In December 2019, we received an upfront license payment of $50.0 million for the worldwide exclusive license to PLN-1474. Pursuant to the Novartis Agreement, we expect to receive research and development funding totaling $19.6 million for PLN-1474 development services and funding of up to $13.4 million for optional research and development services on the integrin research targets. Additionally, we are eligible to receive developmental, regulatory and commercial milestone payments of up to $416.0 million in total,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 With the successful completion of the Phase 1 SAD/MAD trials, PLN-1474 was transferred to Novartis in the first quarter of 2021 who will then be responsible for all future development, manufacturing, and commercialization activities.</w:t>
      </w:r>
    </w:p>
    <w:p>
      <w:pPr>
        <w:spacing w:after="0" w:line="145" w:lineRule="exact"/>
        <w:rPr>
          <w:sz w:val="20"/>
          <w:szCs w:val="20"/>
          <w:color w:val="auto"/>
        </w:rPr>
      </w:pPr>
    </w:p>
    <w:p>
      <w:pPr>
        <w:ind w:right="20" w:firstLine="501"/>
        <w:spacing w:after="0" w:line="270" w:lineRule="auto"/>
        <w:rPr>
          <w:sz w:val="20"/>
          <w:szCs w:val="20"/>
          <w:color w:val="auto"/>
        </w:rPr>
      </w:pPr>
      <w:r>
        <w:rPr>
          <w:rFonts w:ascii="Arial" w:cs="Arial" w:eastAsia="Arial" w:hAnsi="Arial"/>
          <w:sz w:val="17"/>
          <w:szCs w:val="17"/>
          <w:color w:val="auto"/>
        </w:rPr>
        <w:t>In February 2020, we issued an additional 28.5 million shares of Series C redeemable convertible preferred stock for gross cash proceeds of $52.2 million. In June 2020, we completed an IPO issuing an aggregate of 10,350,000 shares of common stock, which included 1,350,000 shares of common stock issued pursuant to the over-allotment option granted to the underwriters at a price of $16.00 per share generating gross proceeds of $165.6 million, before underwriting discounts and commissions and offering expenses payable by the Company. As a result of the IPO, we received approximately $148.3 million in net proceeds, after deducting underwriting discounts, commissions and offering expenses of $5.7 million, of which $2.6 million was paid in 2019. We offset the deferred offering costs against the net proceeds received from the sale of common stock. At the closing of the IPO, 160,389,279 shares of outstanding convertible preferred stock were automatically converted to 22,423,029 shares common stock on a 7.15:1 basis. Following the IPO, there were no shares of preferred stock outstanding. Concurrent with the completion of the IPO, we also issued 625,000 shares to Novartis in a private placement at a price of $16.00 per share for proceeds of $10.0 million.</w:t>
      </w:r>
    </w:p>
    <w:p>
      <w:pPr>
        <w:spacing w:after="0" w:line="18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have incurred net losses since our inception and expect to continue to incur significant expenses and net losses in the foreseeable future as we continue our research and development activities and expand our operational activities. We had net losses of $41.5 million and $0.6 million for the years ended December 31, 2020 and December 31, 2019, respectively. As of December 31, 2020 and December 31, 2019, we had an accumulated deficit of $117.8 million and $76.3 million, respectively.</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To date, we have funded our operations primarily through private placements of our redeemable convertible preferred stock, net proceeds from our IPO, a private placement of common stock to Novartis, and from revenue generated from the Novartis Agreement. To date, all our revenue has solely been generated from the Novartis Agreement. We expect revenue will continue to fluctuate from period to period and there can be no assurance that we will generate other revenue, that we will enter into new collaborations, or that new or existing collaborations will continue beyond their initial terms or that we will be able to meet the milestones specified in these agreements.</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PLN-74809 or any of our other product candidates. In addition, if we obtain regulatory approval for PLN-74809 or any of our other product candidates and do not enter into one or more collaborations with third-parties for commercialization, we expect to incur significant expenses related to developing our commercialization capability to support product sales, marketing and distribution activities.</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and the economic and developmental uncertainty arising from the COVID-19 pandemic, we may be unable to accurately predict the timing or magnitude of all expenses. Even if we can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3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will need substantial additional funding to support our continuing operations and pursue our growth strategy. Until such time as we can generate significant revenue from product sales, if ever, we expect to finance our operations through a combination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05" w:name="page106"/>
    <w:bookmarkEnd w:id="105"/>
    <w:p>
      <w:pPr>
        <w:ind w:right="120"/>
        <w:spacing w:after="0" w:line="287" w:lineRule="auto"/>
        <w:rPr>
          <w:sz w:val="20"/>
          <w:szCs w:val="20"/>
          <w:color w:val="auto"/>
        </w:rPr>
      </w:pPr>
      <w:r>
        <w:rPr>
          <w:rFonts w:ascii="Arial" w:cs="Arial" w:eastAsia="Arial" w:hAnsi="Arial"/>
          <w:sz w:val="16"/>
          <w:szCs w:val="16"/>
          <w:color w:val="auto"/>
        </w:rPr>
        <w:t>public or private equity offerings and debt financings, government funding arrangements,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89" w:lineRule="exact"/>
        <w:rPr>
          <w:sz w:val="20"/>
          <w:szCs w:val="20"/>
          <w:color w:val="auto"/>
        </w:rPr>
      </w:pPr>
    </w:p>
    <w:p>
      <w:pPr>
        <w:ind w:firstLine="494"/>
        <w:spacing w:after="0" w:line="268" w:lineRule="auto"/>
        <w:rPr>
          <w:sz w:val="20"/>
          <w:szCs w:val="20"/>
          <w:color w:val="auto"/>
        </w:rPr>
      </w:pPr>
      <w:r>
        <w:rPr>
          <w:rFonts w:ascii="Arial" w:cs="Arial" w:eastAsia="Arial" w:hAnsi="Arial"/>
          <w:sz w:val="17"/>
          <w:szCs w:val="17"/>
          <w:color w:val="auto"/>
        </w:rPr>
        <w:t>In March 2020, the World Health Organization declared the outbreak of a novel coronavirus, or COVID-19, as a pandemic, which continues to spread throughout the United States and worldwide. We have been, and could continue to be materially and adversely affected by the risks, or the public perception of the risks, related to an epidemic, pandemic, outbreak, or other public health crisis, such as the recent outbreak of COVID-19. Among other things, our clinical trials have experienced delays of approximately four to six months, and may experience additional delays in the future, extending the timelines and increasing the overall costs to finish the clinical trials, as our fixed costs are not substantially reduced while the clinical trials are delayed. For example, the clinical site conducting our Phase 2a PET trial of PLN-74809 in IPF was closed to clinical research in March 2020, but resumed enrollment and trial activities in the fourth quarter of 2020. Currently, all three Phase 2a trials in our lead indications of IPF and PSC are enrolling patients.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Revenue—Related Party</w:t>
      </w:r>
    </w:p>
    <w:p>
      <w:pPr>
        <w:spacing w:after="0" w:line="185" w:lineRule="exact"/>
        <w:rPr>
          <w:sz w:val="20"/>
          <w:szCs w:val="20"/>
          <w:color w:val="auto"/>
        </w:rPr>
      </w:pPr>
    </w:p>
    <w:p>
      <w:pPr>
        <w:ind w:right="60" w:firstLine="494"/>
        <w:spacing w:after="0" w:line="269" w:lineRule="auto"/>
        <w:rPr>
          <w:sz w:val="20"/>
          <w:szCs w:val="20"/>
          <w:color w:val="auto"/>
        </w:rPr>
      </w:pPr>
      <w:r>
        <w:rPr>
          <w:rFonts w:ascii="Arial" w:cs="Arial" w:eastAsia="Arial" w:hAnsi="Arial"/>
          <w:sz w:val="17"/>
          <w:szCs w:val="17"/>
          <w:color w:val="auto"/>
        </w:rPr>
        <w:t>In October 2019, we entered into the Novartis Agreement for the development and commercialization of our then preclinical product candidate, PLN-1474 and up to three additional integrin research targets. Under the terms of the Novartis Agreement, in December 2019, Novartis paid Pliant an upfront license fee payment of $50.0 million for the worldwide exclusive license to PLN-1474. Novartis will fund our research and development activities for PLN-1474 through Phase 1 after which Novartis will assume responsibility for all future development, manufacturing and commercialization of PLN-1474. Novartis will also fund the research and development activities associated with the integrin research targets as outlined in the Novartis Agreement. We are scheduled to receive up to $19.6 million in funding for PLN -1474 development services through Phase 1 and are expected to receive up to $13.4 million in funding for optional development and research services on the integrin research targets. The research and development funding payments are expected to be paid periodically throughout 2020, 2021 and 2022. We are eligible for milestone payments of up to $416.0 million in total, if defined developmental,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41" w:lineRule="exact"/>
        <w:rPr>
          <w:sz w:val="20"/>
          <w:szCs w:val="20"/>
          <w:color w:val="auto"/>
        </w:rPr>
      </w:pPr>
    </w:p>
    <w:p>
      <w:pPr>
        <w:ind w:right="80" w:firstLine="501"/>
        <w:spacing w:after="0" w:line="301" w:lineRule="auto"/>
        <w:rPr>
          <w:sz w:val="20"/>
          <w:szCs w:val="20"/>
          <w:color w:val="auto"/>
        </w:rPr>
      </w:pPr>
      <w:r>
        <w:rPr>
          <w:rFonts w:ascii="Arial" w:cs="Arial" w:eastAsia="Arial" w:hAnsi="Arial"/>
          <w:sz w:val="16"/>
          <w:szCs w:val="16"/>
          <w:color w:val="auto"/>
        </w:rPr>
        <w:t>Revenue-related party was $41.8 million and $57.1 million for the years ended December 31, 2020 and 2019, respectively. Novartis became a related party to us following its purchase of 10.9 million shares of our Series C redeemable convertible preferred stock on December 19, 2019 which were subsequently converted to common stock upon our IPO, along with the concurrent private placement of 625,000 shares upon our IPO, representing aggregate holdings of 6.1% and 7.4% of our outstanding shares of common stock on a fully diluted basis as of December 31, 2020 and 2019, respectively.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ind w:right="200" w:firstLine="501"/>
        <w:spacing w:after="0" w:line="277" w:lineRule="auto"/>
        <w:rPr>
          <w:sz w:val="20"/>
          <w:szCs w:val="20"/>
          <w:color w:val="auto"/>
        </w:rPr>
      </w:pPr>
      <w:r>
        <w:rPr>
          <w:rFonts w:ascii="Arial" w:cs="Arial" w:eastAsia="Arial" w:hAnsi="Arial"/>
          <w:sz w:val="18"/>
          <w:szCs w:val="18"/>
          <w:color w:val="auto"/>
        </w:rPr>
        <w:t>Our research and development expenses consist of expenses incurred in connection with the development of our product candidates. Research and development expenses include:</w:t>
      </w:r>
    </w:p>
    <w:p>
      <w:pPr>
        <w:spacing w:after="0" w:line="130"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employee-related expenses, which include salaries, benefits and stock-based compensation for our research and development personnel;</w:t>
      </w:r>
    </w:p>
    <w:p>
      <w:pPr>
        <w:spacing w:after="0" w:line="20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investigative clinical trial sites and consultants that conduct research and development activities on our behalf;</w:t>
      </w:r>
    </w:p>
    <w:p>
      <w:pPr>
        <w:spacing w:after="0" w:line="129"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clinical trials;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expenses for rent and other facility related costs and other supplies.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2020 and 2019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expenses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15,301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10,385</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Outside and consulting services for preclinical studies and research and development</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activities by third party contract organizations</w:t>
            </w: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14,677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22,043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 expenses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23,907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6,667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Depreciation of lab equipment and costs of equipment and supplies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4,801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4,829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intellectual property licenses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2,442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288</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Facilities and other allocated expenses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5,065</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3,141</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66,193</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47,353</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firstLine="501"/>
        <w:spacing w:after="0" w:line="311" w:lineRule="auto"/>
        <w:rPr>
          <w:sz w:val="20"/>
          <w:szCs w:val="20"/>
          <w:color w:val="auto"/>
        </w:rPr>
      </w:pPr>
      <w:r>
        <w:rPr>
          <w:rFonts w:ascii="Arial" w:cs="Arial" w:eastAsia="Arial" w:hAnsi="Arial"/>
          <w:sz w:val="16"/>
          <w:szCs w:val="16"/>
          <w:color w:val="auto"/>
        </w:rPr>
        <w:t>We expense all research and development costs in the periods in which they are incurred. 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w:t>
      </w:r>
    </w:p>
    <w:p>
      <w:pPr>
        <w:spacing w:after="0" w:line="122" w:lineRule="exact"/>
        <w:rPr>
          <w:sz w:val="20"/>
          <w:szCs w:val="20"/>
          <w:color w:val="auto"/>
        </w:rPr>
      </w:pPr>
    </w:p>
    <w:p>
      <w:pPr>
        <w:ind w:right="40" w:firstLine="501"/>
        <w:spacing w:after="0" w:line="296"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Our general and administrative expenses consist primarily of personnel costs, allocated facilities costs and other expenses for outside professional services, including legal, marketing, investor relations, human resource and accounting services. Personnel costs consist of salaries, benefits and stock-based compensation for our general and administrative personnel. We expect to incur additional expenses as a result of operating as a public company, including expenses related to compliance with the rules and regulations of the SEC, The Nasdaq Global Market, additional insurance expenses, investor relations activities and other administrative and professional services. We also expect to increase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interest income consists of interest income earned on cash and cash equivalents, money market funds and short-term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firstLine="501"/>
        <w:spacing w:after="0" w:line="291" w:lineRule="auto"/>
        <w:rPr>
          <w:sz w:val="20"/>
          <w:szCs w:val="20"/>
          <w:color w:val="auto"/>
        </w:rPr>
      </w:pPr>
      <w:r>
        <w:rPr>
          <w:rFonts w:ascii="Arial" w:cs="Arial" w:eastAsia="Arial" w:hAnsi="Arial"/>
          <w:sz w:val="16"/>
          <w:szCs w:val="16"/>
          <w:color w:val="auto"/>
        </w:rPr>
        <w:t>As described above in “COVID 19 Pandemic”, the ultimate extent of the impact of any epidemic, pandemic, outbreak or other public health crisis on our results of operations will depend on future developments, which are highly uncertain, including new information that may emerge concerning the severity of the COVID-19 pandemic or other public health crisis and actions taken to contain or prevent the further spread, among others. Accordingly, we cannot fully predict the extent to which our business and results of operations will be affected; however, we expect the COVID-19 pandemic to impact our operations in several ways. Many clinical trial sites have been impacted by the pandemic, forcing them to delay enrollment in research trials, including ours. This will likely impact the speed of enrollment in our current trials. Additionally, the pandemic has limited our ability to perform basic science R&amp;D in our facilities due to government shelter-in-place orders, ultimately slowing, but not stopping, progress of several early stage projects.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13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Revenue—related party</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41,817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57,052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(15,235)</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(66,193)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15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(58,283)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(25,179)</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398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(40,414)</w:t>
            </w:r>
          </w:p>
        </w:tc>
        <w:tc>
          <w:tcPr>
            <w:tcW w:w="14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1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5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(40,902)</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9"/>
          <w:szCs w:val="9"/>
          <w:color w:val="auto"/>
        </w:rPr>
        <w:t>_________________________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NM: Results not meaningful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 Related Party</w:t>
      </w:r>
    </w:p>
    <w:p>
      <w:pPr>
        <w:spacing w:after="0" w:line="144" w:lineRule="exact"/>
        <w:rPr>
          <w:sz w:val="20"/>
          <w:szCs w:val="20"/>
          <w:color w:val="auto"/>
        </w:rPr>
      </w:pPr>
    </w:p>
    <w:p>
      <w:pPr>
        <w:ind w:right="40" w:firstLine="494"/>
        <w:spacing w:after="0" w:line="301" w:lineRule="auto"/>
        <w:rPr>
          <w:sz w:val="20"/>
          <w:szCs w:val="20"/>
          <w:color w:val="auto"/>
        </w:rPr>
      </w:pPr>
      <w:r>
        <w:rPr>
          <w:rFonts w:ascii="Arial" w:cs="Arial" w:eastAsia="Arial" w:hAnsi="Arial"/>
          <w:sz w:val="16"/>
          <w:szCs w:val="16"/>
          <w:color w:val="auto"/>
        </w:rPr>
        <w:t>Revenue-related party consisted exclusively of revenue generated from the Novartis Agreement. The decrease of 15.2 million, or 26.7%, in revenue-related party for the year ended December 31, 2020 compared to the year ended December 31, 2019 was primarily due to the recognition of $50.0 million in upfront license fee revenue in 2019, offset by the recognition of $25.0 million milestone payment from the achievement with the first patient dosing under the Novartis agreement in the first quarter of 2020 and the $9.8 million increase in research and development services revenue in 2020.</w:t>
      </w:r>
    </w:p>
    <w:p>
      <w:pPr>
        <w:spacing w:after="0" w:line="130" w:lineRule="exact"/>
        <w:rPr>
          <w:sz w:val="20"/>
          <w:szCs w:val="20"/>
          <w:color w:val="auto"/>
        </w:rPr>
      </w:pPr>
    </w:p>
    <w:p>
      <w:pPr>
        <w:ind w:right="60" w:firstLine="501"/>
        <w:spacing w:after="0" w:line="263" w:lineRule="auto"/>
        <w:rPr>
          <w:sz w:val="20"/>
          <w:szCs w:val="20"/>
          <w:color w:val="auto"/>
        </w:rPr>
      </w:pPr>
      <w:r>
        <w:rPr>
          <w:rFonts w:ascii="Arial" w:cs="Arial" w:eastAsia="Arial" w:hAnsi="Arial"/>
          <w:sz w:val="18"/>
          <w:szCs w:val="18"/>
          <w:color w:val="auto"/>
        </w:rPr>
        <w:t>Over the next several years, we expect our revenue will be derived primarily from the Novartis Agreement as we continue to recognize related party revenue from research and development services funding and from the potential achievement of the Novartis Agreement’s developmental, regulatory and commercial milestones.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right="460" w:firstLine="494"/>
        <w:spacing w:after="0" w:line="279" w:lineRule="auto"/>
        <w:rPr>
          <w:sz w:val="20"/>
          <w:szCs w:val="20"/>
          <w:color w:val="auto"/>
        </w:rPr>
      </w:pPr>
      <w:r>
        <w:rPr>
          <w:rFonts w:ascii="Arial" w:cs="Arial" w:eastAsia="Arial" w:hAnsi="Arial"/>
          <w:sz w:val="17"/>
          <w:szCs w:val="17"/>
          <w:color w:val="auto"/>
        </w:rPr>
        <w:t>Research and development expenses increased by $18.8 million, or 39.8%, for the year ended December 31, 2020, compared to the year ended December 31, 2019. The increase was primarily due to $10.4 million of increased consulting and outside services costs, $3.8 million of increased compensation costs, $1.1 million of increased stock-based compensation costs, $2.2 million in increased license fees and $1.6 million of increased insurance expense, partially offset by a $0.4 million in decreased research studies expense.</w:t>
      </w:r>
    </w:p>
    <w:p>
      <w:pPr>
        <w:spacing w:after="0" w:line="90" w:lineRule="exact"/>
        <w:rPr>
          <w:sz w:val="20"/>
          <w:szCs w:val="20"/>
          <w:color w:val="auto"/>
        </w:rPr>
      </w:pPr>
    </w:p>
    <w:p>
      <w:pPr>
        <w:ind w:firstLine="494"/>
        <w:spacing w:after="0" w:line="296" w:lineRule="auto"/>
        <w:rPr>
          <w:sz w:val="20"/>
          <w:szCs w:val="20"/>
          <w:color w:val="auto"/>
        </w:rPr>
      </w:pPr>
      <w:r>
        <w:rPr>
          <w:rFonts w:ascii="Arial" w:cs="Arial" w:eastAsia="Arial" w:hAnsi="Arial"/>
          <w:sz w:val="16"/>
          <w:szCs w:val="16"/>
          <w:color w:val="auto"/>
        </w:rPr>
        <w:t>Consulting and outside services costs increased primarily due to increased PLN-74809 and PLN-1474 development activities with external vendors. Compensation costs and stock-based compensation costs increased as a result of increased headcount and the implementation of the employee stock purchase plan in the third quarter of 2020. License fees increased due to the $2.4 milestone payment to the Regents of the University of California (the “UC Regents”) in connection with our IPO in the second quarter of 2020. Insurance expenses increased due to additional costs for insurance as a public company. The decreases in research expenses was primarily due to delayed research related activities stemming from the Covid-19 pandemic.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8" w:name="page109"/>
    <w:bookmarkEnd w:id="108"/>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320" w:firstLine="501"/>
        <w:spacing w:after="0" w:line="259" w:lineRule="auto"/>
        <w:rPr>
          <w:sz w:val="20"/>
          <w:szCs w:val="20"/>
          <w:color w:val="auto"/>
        </w:rPr>
      </w:pPr>
      <w:r>
        <w:rPr>
          <w:rFonts w:ascii="Arial" w:cs="Arial" w:eastAsia="Arial" w:hAnsi="Arial"/>
          <w:sz w:val="18"/>
          <w:szCs w:val="18"/>
          <w:color w:val="auto"/>
        </w:rPr>
        <w:t>General and administrative expenses increased by $6.3 million, or 58.0%, for the year ended December 31, 2020, compared to the year ended December 31, 2019. The increase was primarily due to $2.8 million of increased professional and consulting services costs, $1.6 million of increased compensation costs, $0.9 million of increased stock-based compensation expense, $0.5 million of increased charitable contributions and $0.5 million of increased insurance expenses, partially offset by $0.5 million decrease in travel expenses.</w:t>
      </w:r>
    </w:p>
    <w:p>
      <w:pPr>
        <w:spacing w:after="0" w:line="146"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Professional and consulting costs increased primarily as a result of increased legal, marketing, investor relations and accounting fees. Compensation costs and stock-based compensation costs increased as a result of increased headcount and the implementation of the employee stock purchase plan in the third quarter of 2020. Insurance expenses increased due to additional cost for insurance as a public company. Travel expenses decreased primarily due to decreased executive travel as a result of the COVID-19 pandemic.</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right="220" w:firstLine="494"/>
        <w:spacing w:after="0" w:line="277" w:lineRule="auto"/>
        <w:rPr>
          <w:sz w:val="20"/>
          <w:szCs w:val="20"/>
          <w:color w:val="auto"/>
        </w:rPr>
      </w:pPr>
      <w:r>
        <w:rPr>
          <w:rFonts w:ascii="Arial" w:cs="Arial" w:eastAsia="Arial" w:hAnsi="Arial"/>
          <w:sz w:val="18"/>
          <w:szCs w:val="18"/>
          <w:color w:val="auto"/>
        </w:rPr>
        <w:t>Interest income decreased by $0.3 million, or 41.4%, for the year ended December 31, 2020, compared to the year ended December 31, 2019. The decrease was primarily attributable to lower interest rates in 2020 when compared to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color w:val="auto"/>
        </w:rPr>
        <w:t>As of December 31, 2020, we had cash, cash equivalents and short-term investments of $276.9 million. This amount includes the net proceeds from our IPO in June 2020, in which we issued an aggregate of 10,350,000 shares of common stock, which included 9,000,000 shares of common shares and 1,350,000 shares of common stock sold pursuant to the underwriters’ exercise of their option to purchase additional shares, at an offering price of $16.00 per share. We received $148.3 million, net of underwriting discounts, commissions and offering expenses payable by us. We concurrently completed a private placement of 625,000 common shares to Novartis at a price of $16.00 per share for proceeds of $10.0 million. Our cash position as of December 31, 2020 also includes an additional $52.2 million from the issuance of an additional 28.5 million shares of our Series C redeemable convertible preferred stock in February 2020, and reflects the achievement of the first patient dosing milestone of the Novartis Agreement that triggered the receipt of a $25.0 million payment which was received from Novartis in the second quarter of 2020.</w:t>
      </w:r>
    </w:p>
    <w:p>
      <w:pPr>
        <w:spacing w:after="0" w:line="138"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Due to the COVID-19 pandemic, our clinical trials with universities were temporarily delayed and our ability to identify and enroll patients in future clinical trials may become more difficult and costly. Our liquidity and capital resource evaluation includes an estimate of the financial impact of the delay in clinical trials and increased patient enrollment costs.</w:t>
      </w:r>
    </w:p>
    <w:p>
      <w:pPr>
        <w:spacing w:after="0" w:line="157" w:lineRule="exact"/>
        <w:rPr>
          <w:sz w:val="20"/>
          <w:szCs w:val="20"/>
          <w:color w:val="auto"/>
        </w:rPr>
      </w:pPr>
    </w:p>
    <w:p>
      <w:pPr>
        <w:ind w:right="320" w:firstLine="501"/>
        <w:spacing w:after="0" w:line="286" w:lineRule="auto"/>
        <w:rPr>
          <w:sz w:val="20"/>
          <w:szCs w:val="20"/>
          <w:color w:val="auto"/>
        </w:rPr>
      </w:pPr>
      <w:r>
        <w:rPr>
          <w:rFonts w:ascii="Arial" w:cs="Arial" w:eastAsia="Arial" w:hAnsi="Arial"/>
          <w:sz w:val="17"/>
          <w:szCs w:val="17"/>
          <w:color w:val="auto"/>
        </w:rPr>
        <w:t>Based on our current cash balance and our ability to control discretionary spending, such as research and development expenditures with outside service providers, we have evaluated and concluded our financial condition is sufficient to fund our planned operations, commitments and contractual obligations for a period of at least one year following the date that these financial statements are issued.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85" w:lineRule="exact"/>
        <w:rPr>
          <w:sz w:val="20"/>
          <w:szCs w:val="20"/>
          <w:color w:val="auto"/>
        </w:rPr>
      </w:pPr>
    </w:p>
    <w:p>
      <w:pPr>
        <w:ind w:left="1000" w:hanging="493"/>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5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which may be impacted by the COVID-19 pandemic;</w:t>
      </w:r>
    </w:p>
    <w:p>
      <w:pPr>
        <w:spacing w:after="0" w:line="102"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57" w:lineRule="exact"/>
        <w:rPr>
          <w:rFonts w:ascii="Arial" w:cs="Arial" w:eastAsia="Arial" w:hAnsi="Arial"/>
          <w:sz w:val="18"/>
          <w:szCs w:val="18"/>
          <w:color w:val="auto"/>
        </w:rPr>
      </w:pPr>
    </w:p>
    <w:p>
      <w:pPr>
        <w:ind w:left="980" w:right="220" w:hanging="486"/>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102"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9" w:name="page110"/>
    <w:bookmarkEnd w:id="109"/>
    <w:p>
      <w:pPr>
        <w:ind w:left="980" w:right="260" w:hanging="486"/>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102"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w:t>
      </w:r>
    </w:p>
    <w:p>
      <w:pPr>
        <w:spacing w:after="0" w:line="15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02"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185"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w:t>
      </w:r>
    </w:p>
    <w:p>
      <w:pPr>
        <w:spacing w:after="0" w:line="143" w:lineRule="exact"/>
        <w:rPr>
          <w:sz w:val="20"/>
          <w:szCs w:val="20"/>
          <w:color w:val="auto"/>
        </w:rPr>
      </w:pPr>
    </w:p>
    <w:p>
      <w:pPr>
        <w:ind w:right="20" w:firstLine="501"/>
        <w:spacing w:after="0" w:line="271" w:lineRule="auto"/>
        <w:rPr>
          <w:sz w:val="20"/>
          <w:szCs w:val="20"/>
          <w:color w:val="auto"/>
        </w:rPr>
      </w:pPr>
      <w:r>
        <w:rPr>
          <w:rFonts w:ascii="Arial" w:cs="Arial" w:eastAsia="Arial" w:hAnsi="Arial"/>
          <w:sz w:val="17"/>
          <w:szCs w:val="17"/>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4"/>
                <w:szCs w:val="14"/>
                <w:color w:val="auto"/>
              </w:rPr>
            </w:pPr>
          </w:p>
        </w:tc>
      </w:tr>
      <w:tr>
        <w:trPr>
          <w:trHeight w:val="155"/>
        </w:trPr>
        <w:tc>
          <w:tcPr>
            <w:tcW w:w="58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w w:val="89"/>
              </w:rPr>
              <w:t>2019</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(37,271)</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(210,866)</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(17,931)</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5"/>
              </w:rPr>
              <w:t>213,212</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45,539</w:t>
            </w:r>
          </w:p>
        </w:tc>
      </w:tr>
      <w:tr>
        <w:trPr>
          <w:trHeight w:val="223"/>
        </w:trPr>
        <w:tc>
          <w:tcPr>
            <w:tcW w:w="5800" w:type="dxa"/>
            <w:vAlign w:val="bottom"/>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17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(34,925)</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24,858</w:t>
            </w:r>
          </w:p>
        </w:tc>
      </w:tr>
      <w:tr>
        <w:trPr>
          <w:trHeight w:val="20"/>
        </w:trPr>
        <w:tc>
          <w:tcPr>
            <w:tcW w:w="5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operating activities was $37.3 million for the year ended December 31, 2020 and $2.8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70" w:lineRule="exact"/>
        <w:rPr>
          <w:sz w:val="20"/>
          <w:szCs w:val="20"/>
          <w:color w:val="auto"/>
        </w:rPr>
      </w:pPr>
    </w:p>
    <w:p>
      <w:pPr>
        <w:ind w:right="40" w:firstLine="494"/>
        <w:spacing w:after="0" w:line="254" w:lineRule="auto"/>
        <w:rPr>
          <w:sz w:val="20"/>
          <w:szCs w:val="20"/>
          <w:color w:val="auto"/>
        </w:rPr>
      </w:pPr>
      <w:r>
        <w:rPr>
          <w:rFonts w:ascii="Arial" w:cs="Arial" w:eastAsia="Arial" w:hAnsi="Arial"/>
          <w:sz w:val="18"/>
          <w:szCs w:val="18"/>
          <w:color w:val="auto"/>
        </w:rPr>
        <w:t>Cash used in operating activities in the year ended December 31, 2020 was primarily due to our net loss for the period of 41.5 million adjusted by non-cash charges of $5.4 million and net decrease of $1.2 million in our net operating assets and liabilities. The increase in cash used in operations was due to increased research and development expenses, higher general administrative expenses and decreased related party revenue. The non-cash charges consisted of $3.9 million of stock-based compensation expense, $1.3 million of depreciation expense, and $0.3 million of other losses. The changes in our net operating assets and liabilities were primarily due to an increase of $2.8 million in prepaid expense and other current assets and increase of $2.2 million in trade receivables, partially offset by an increase of $2.7 million in accrued expenses, an increase of $0.9 million in accounts payable, and a decrease of $0.3 million in tax credit receivables.</w:t>
      </w:r>
    </w:p>
    <w:p>
      <w:pPr>
        <w:spacing w:after="0" w:line="168" w:lineRule="exact"/>
        <w:rPr>
          <w:sz w:val="20"/>
          <w:szCs w:val="20"/>
          <w:color w:val="auto"/>
        </w:rPr>
      </w:pPr>
    </w:p>
    <w:p>
      <w:pPr>
        <w:ind w:firstLine="494"/>
        <w:spacing w:after="0" w:line="255" w:lineRule="auto"/>
        <w:rPr>
          <w:sz w:val="20"/>
          <w:szCs w:val="20"/>
          <w:color w:val="auto"/>
        </w:rPr>
      </w:pPr>
      <w:r>
        <w:rPr>
          <w:rFonts w:ascii="Arial" w:cs="Arial" w:eastAsia="Arial" w:hAnsi="Arial"/>
          <w:sz w:val="18"/>
          <w:szCs w:val="18"/>
          <w:color w:val="auto"/>
        </w:rPr>
        <w:t>Cash used in operating activities in the year ended December 31, 2019 was primarily due to our net loss for the period of $0.6 million adjusted by non-cash charges of $2.9 million and net change of $5.1 million in our net operating assets and liabilities. The non-cash charges consisted of $1.8 million of stock-based compensation expense and $1.1 million of depreciation. The changes in our net operating assets and liabilities were primarily due to an increase of $7.1 million in accounts receivable, an increase of $1.5 million in prepaid expense and other current assets, a decrease of $1.3 million in accounts payable, partially offset by an increase of $4.3 million in accrued expenses, a decrease of $0.2 million in other non-current assets and a decrease of $0.2 million in tax credit receivable.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98" w:lineRule="exact"/>
        <w:rPr>
          <w:sz w:val="20"/>
          <w:szCs w:val="20"/>
          <w:color w:val="auto"/>
        </w:rPr>
      </w:pPr>
    </w:p>
    <w:p>
      <w:pPr>
        <w:ind w:firstLine="494"/>
        <w:spacing w:after="0" w:line="286" w:lineRule="auto"/>
        <w:rPr>
          <w:sz w:val="20"/>
          <w:szCs w:val="20"/>
          <w:color w:val="auto"/>
        </w:rPr>
      </w:pPr>
      <w:r>
        <w:rPr>
          <w:rFonts w:ascii="Arial" w:cs="Arial" w:eastAsia="Arial" w:hAnsi="Arial"/>
          <w:sz w:val="17"/>
          <w:szCs w:val="17"/>
          <w:color w:val="auto"/>
        </w:rPr>
        <w:t>During the years ended December 31, 2020 and 2019, cash used in investing activities was $210.9 million and $17.9 million, respectively. Cash used in investing activities for the year ended December 31, 2020 was primarily due to the purchase of short-term investments of $322.6 million and purchases of property, plant and equipment of $1.5 million, partially offset by $113.3 million in maturities of short-term investments.</w:t>
      </w:r>
    </w:p>
    <w:p>
      <w:pPr>
        <w:spacing w:after="0" w:line="125"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Cash used in investing activities for the year ended December 31, 2019 was primarily due to the purchase of short-term investments of $51.7 million and purchases of property, plant and equipment of $1.0 million and $0.3 million of accretion on short-term investments, partially offset by $35.0 million in maturities of short-term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98" w:lineRule="exact"/>
        <w:rPr>
          <w:sz w:val="20"/>
          <w:szCs w:val="20"/>
          <w:color w:val="auto"/>
        </w:rPr>
      </w:pPr>
    </w:p>
    <w:p>
      <w:pPr>
        <w:ind w:right="140" w:firstLine="494"/>
        <w:spacing w:after="0" w:line="273" w:lineRule="auto"/>
        <w:rPr>
          <w:sz w:val="20"/>
          <w:szCs w:val="20"/>
          <w:color w:val="auto"/>
        </w:rPr>
      </w:pPr>
      <w:r>
        <w:rPr>
          <w:rFonts w:ascii="Arial" w:cs="Arial" w:eastAsia="Arial" w:hAnsi="Arial"/>
          <w:sz w:val="17"/>
          <w:szCs w:val="17"/>
          <w:color w:val="auto"/>
        </w:rPr>
        <w:t>During the years ended December 31, 2020, cash provided by financing activities was $213.2 million. Cash provided by financing activities for the year ended December 31, 2020 was primarily due to the net proceeds from issuance of common stock upon completion of our IPO of $150.8 million, issuance of common stock upon completion of the private placement with Novartis of $10.0 million, issuance of our Series C convertible preferred stock net of issuance costs of $52.0 million, and the issuance of common stock upon the exercise of previously granted stock options of $0.4 million. The net proceeds from the completion of the IPO of $150.8 million were composed of our proceeds of $154.0 million, after deducting underwriting discounts and commissions, less offering expenses of $5.7 million, of which $3.2 million was paid in 2020.</w:t>
      </w:r>
    </w:p>
    <w:p>
      <w:pPr>
        <w:spacing w:after="0" w:line="137" w:lineRule="exact"/>
        <w:rPr>
          <w:sz w:val="20"/>
          <w:szCs w:val="20"/>
          <w:color w:val="auto"/>
        </w:rPr>
      </w:pPr>
    </w:p>
    <w:p>
      <w:pPr>
        <w:jc w:val="both"/>
        <w:ind w:right="300" w:firstLine="501"/>
        <w:spacing w:after="0" w:line="311" w:lineRule="auto"/>
        <w:rPr>
          <w:sz w:val="20"/>
          <w:szCs w:val="20"/>
          <w:color w:val="auto"/>
        </w:rPr>
      </w:pPr>
      <w:r>
        <w:rPr>
          <w:rFonts w:ascii="Arial" w:cs="Arial" w:eastAsia="Arial" w:hAnsi="Arial"/>
          <w:sz w:val="16"/>
          <w:szCs w:val="16"/>
          <w:color w:val="auto"/>
        </w:rPr>
        <w:t>During the year ended December 31, 2019, cash provided by financing activities was $45.5 million. Cash provided by financing activities for the year ended December 31, 2019 was primarily due to net proceeds from the issuance of our Series C redeemable convertible preferred stock financing of $47.9 million and proceeds from the exercise of stock options of $0.2 million, partially offset by the payment of deferred offering costs of $2.6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340" w:firstLine="501"/>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399"/>
              <w:spacing w:after="0" w:line="133"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539"/>
              <w:spacing w:after="0" w:line="133" w:lineRule="exact"/>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339"/>
              <w:spacing w:after="0" w:line="133" w:lineRule="exact"/>
              <w:rPr>
                <w:sz w:val="20"/>
                <w:szCs w:val="20"/>
                <w:color w:val="auto"/>
              </w:rPr>
            </w:pPr>
            <w:r>
              <w:rPr>
                <w:rFonts w:ascii="Arial" w:cs="Arial" w:eastAsia="Arial" w:hAnsi="Arial"/>
                <w:sz w:val="14"/>
                <w:szCs w:val="14"/>
                <w:b w:val="1"/>
                <w:bCs w:val="1"/>
                <w:color w:val="auto"/>
                <w:w w:val="92"/>
              </w:rPr>
              <w:t>3 to 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8"/>
              </w:rPr>
              <w:t>More Than</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99"/>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339"/>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5 Years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2,027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4,269</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3,391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23"/>
        </w:trPr>
        <w:tc>
          <w:tcPr>
            <w:tcW w:w="3460" w:type="dxa"/>
            <w:vAlign w:val="bottom"/>
          </w:tcPr>
          <w:p>
            <w:pPr>
              <w:ind w:left="260"/>
              <w:spacing w:after="0"/>
              <w:rPr>
                <w:sz w:val="20"/>
                <w:szCs w:val="20"/>
                <w:color w:val="auto"/>
              </w:rPr>
            </w:pPr>
            <w:r>
              <w:rPr>
                <w:rFonts w:ascii="Arial" w:cs="Arial" w:eastAsia="Arial" w:hAnsi="Arial"/>
                <w:sz w:val="18"/>
                <w:szCs w:val="18"/>
                <w:color w:val="auto"/>
              </w:rPr>
              <w:t>Total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4,269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3,391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94"/>
        <w:spacing w:after="0" w:line="286" w:lineRule="auto"/>
        <w:rPr>
          <w:sz w:val="20"/>
          <w:szCs w:val="20"/>
          <w:color w:val="auto"/>
        </w:rPr>
      </w:pPr>
      <w:r>
        <w:rPr>
          <w:rFonts w:ascii="Arial" w:cs="Arial" w:eastAsia="Arial" w:hAnsi="Arial"/>
          <w:sz w:val="17"/>
          <w:szCs w:val="17"/>
          <w:color w:val="auto"/>
        </w:rPr>
        <w:t>We enter into contracts in the normal course of business with third-party contract organizations for clinical trials, non-clinical studies and testing, manufacturing and other services and products. These contracts generally provide for termination following a certain period after notice and therefore we believe that our cancelable obligations under these agreements are not material and they are not included in the table above.</w:t>
      </w:r>
    </w:p>
    <w:p>
      <w:pPr>
        <w:spacing w:after="0" w:line="138" w:lineRule="exact"/>
        <w:rPr>
          <w:sz w:val="20"/>
          <w:szCs w:val="20"/>
          <w:color w:val="auto"/>
        </w:rPr>
      </w:pPr>
    </w:p>
    <w:p>
      <w:pPr>
        <w:ind w:right="280" w:firstLine="494"/>
        <w:spacing w:after="0" w:line="277" w:lineRule="auto"/>
        <w:rPr>
          <w:sz w:val="20"/>
          <w:szCs w:val="20"/>
          <w:color w:val="auto"/>
        </w:rPr>
      </w:pPr>
      <w:r>
        <w:rPr>
          <w:rFonts w:ascii="Arial" w:cs="Arial" w:eastAsia="Arial" w:hAnsi="Arial"/>
          <w:sz w:val="18"/>
          <w:szCs w:val="18"/>
          <w:color w:val="auto"/>
        </w:rPr>
        <w:t>We have not included milestone or royalty payments or other contractual payment obligations in the table above if the timing and amount of such obligations are unknown or uncertain.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89"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1" w:name="page112"/>
    <w:bookmarkEnd w:id="111"/>
    <w:p>
      <w:pPr>
        <w:ind w:right="340" w:firstLine="501"/>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financial statements appearing elsewhere in this Annual Report, we believe that the following accounting policies are those most critical to the judgments and estimates used in the preparation of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494"/>
        <w:spacing w:after="0" w:line="254" w:lineRule="auto"/>
        <w:rPr>
          <w:sz w:val="20"/>
          <w:szCs w:val="20"/>
          <w:color w:val="auto"/>
        </w:rPr>
      </w:pPr>
      <w:r>
        <w:rPr>
          <w:rFonts w:ascii="Arial" w:cs="Arial" w:eastAsia="Arial" w:hAnsi="Arial"/>
          <w:sz w:val="18"/>
          <w:szCs w:val="18"/>
          <w:color w:val="auto"/>
        </w:rPr>
        <w:t>As of December 31, 2020, all of our revenue to date has been generated from the Novartis Agreement.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Identification of the Contracts with the Customers</w:t>
      </w:r>
    </w:p>
    <w:p>
      <w:pPr>
        <w:spacing w:after="0" w:line="198" w:lineRule="exact"/>
        <w:rPr>
          <w:sz w:val="20"/>
          <w:szCs w:val="20"/>
          <w:color w:val="auto"/>
        </w:rPr>
      </w:pPr>
    </w:p>
    <w:p>
      <w:pPr>
        <w:ind w:right="180" w:firstLine="501"/>
        <w:spacing w:after="0" w:line="277" w:lineRule="auto"/>
        <w:rPr>
          <w:sz w:val="20"/>
          <w:szCs w:val="20"/>
          <w:color w:val="auto"/>
        </w:rPr>
      </w:pPr>
      <w:r>
        <w:rPr>
          <w:rFonts w:ascii="Arial" w:cs="Arial" w:eastAsia="Arial" w:hAnsi="Arial"/>
          <w:sz w:val="18"/>
          <w:szCs w:val="18"/>
          <w:color w:val="auto"/>
        </w:rPr>
        <w:t>We evaluate every contract to determine whether it in its entirety or in part represent a contract with a customer, or a collaboration agreement and, based on this determination, apply appropriate accounting guidance.</w:t>
      </w:r>
    </w:p>
    <w:p>
      <w:pPr>
        <w:spacing w:after="0" w:line="130"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198" w:lineRule="exact"/>
        <w:rPr>
          <w:sz w:val="20"/>
          <w:szCs w:val="20"/>
          <w:color w:val="auto"/>
        </w:rPr>
      </w:pPr>
    </w:p>
    <w:p>
      <w:pPr>
        <w:ind w:right="20" w:firstLine="494"/>
        <w:spacing w:after="0" w:line="269" w:lineRule="auto"/>
        <w:rPr>
          <w:sz w:val="20"/>
          <w:szCs w:val="20"/>
          <w:color w:val="auto"/>
        </w:rPr>
      </w:pPr>
      <w:r>
        <w:rPr>
          <w:rFonts w:ascii="Arial" w:cs="Arial" w:eastAsia="Arial" w:hAnsi="Arial"/>
          <w:sz w:val="17"/>
          <w:szCs w:val="17"/>
          <w:color w:val="auto"/>
        </w:rPr>
        <w:t>The promised goods or services in our collaboration and option arrangements consist of license and research and development services. The arrangements also have options for additional items (i.e., license rights). Options are considered 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85" w:lineRule="exact"/>
        <w:rPr>
          <w:sz w:val="20"/>
          <w:szCs w:val="20"/>
          <w:color w:val="auto"/>
        </w:rPr>
      </w:pPr>
    </w:p>
    <w:p>
      <w:pPr>
        <w:ind w:right="80" w:firstLine="494"/>
        <w:spacing w:after="0" w:line="296" w:lineRule="auto"/>
        <w:rPr>
          <w:sz w:val="20"/>
          <w:szCs w:val="20"/>
          <w:color w:val="auto"/>
        </w:rPr>
      </w:pPr>
      <w:r>
        <w:rPr>
          <w:rFonts w:ascii="Arial" w:cs="Arial" w:eastAsia="Arial" w:hAnsi="Arial"/>
          <w:sz w:val="16"/>
          <w:szCs w:val="16"/>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269" w:lineRule="exact"/>
        <w:rPr>
          <w:sz w:val="20"/>
          <w:szCs w:val="20"/>
          <w:color w:val="auto"/>
        </w:rPr>
      </w:pPr>
    </w:p>
    <w:p>
      <w:pPr>
        <w:ind w:firstLine="494"/>
        <w:spacing w:after="0" w:line="277" w:lineRule="auto"/>
        <w:rPr>
          <w:sz w:val="20"/>
          <w:szCs w:val="20"/>
          <w:color w:val="auto"/>
        </w:rPr>
      </w:pPr>
      <w:r>
        <w:rPr>
          <w:rFonts w:ascii="Arial" w:cs="Arial" w:eastAsia="Arial" w:hAnsi="Arial"/>
          <w:sz w:val="18"/>
          <w:szCs w:val="18"/>
          <w:color w:val="auto"/>
        </w:rPr>
        <w:t>All contingent future payments, which include research, development, regulatory, and sales-based royalty payments, have not been considered in the initial analysis, as they are contingent upon option(s) being exercised or are subject to significant risk of achievement.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Allocation of Transaction Price</w:t>
      </w:r>
    </w:p>
    <w:p>
      <w:pPr>
        <w:spacing w:after="0" w:line="185" w:lineRule="exact"/>
        <w:rPr>
          <w:sz w:val="20"/>
          <w:szCs w:val="20"/>
          <w:color w:val="auto"/>
        </w:rPr>
      </w:pPr>
    </w:p>
    <w:p>
      <w:pPr>
        <w:ind w:firstLine="494"/>
        <w:spacing w:after="0" w:line="257" w:lineRule="auto"/>
        <w:rPr>
          <w:sz w:val="20"/>
          <w:szCs w:val="20"/>
          <w:color w:val="auto"/>
        </w:rPr>
      </w:pPr>
      <w:r>
        <w:rPr>
          <w:rFonts w:ascii="Arial" w:cs="Arial" w:eastAsia="Arial" w:hAnsi="Arial"/>
          <w:sz w:val="18"/>
          <w:szCs w:val="18"/>
          <w:color w:val="auto"/>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12" w:name="page113"/>
    <w:bookmarkEnd w:id="112"/>
    <w:p>
      <w:pPr>
        <w:ind w:right="320"/>
        <w:spacing w:after="0" w:line="277" w:lineRule="auto"/>
        <w:rPr>
          <w:sz w:val="20"/>
          <w:szCs w:val="20"/>
          <w:color w:val="auto"/>
        </w:rPr>
      </w:pPr>
      <w:r>
        <w:rPr>
          <w:rFonts w:ascii="Arial" w:cs="Arial" w:eastAsia="Arial" w:hAnsi="Arial"/>
          <w:sz w:val="18"/>
          <w:szCs w:val="18"/>
          <w:color w:val="auto"/>
        </w:rPr>
        <w:t>resulting amounts allocated to each performance obligation are consistent with the amounts we would expect to receive for satisfying each performance obligation.</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Recognition of Revenue</w:t>
      </w:r>
    </w:p>
    <w:p>
      <w:pPr>
        <w:spacing w:after="0" w:line="185" w:lineRule="exact"/>
        <w:rPr>
          <w:sz w:val="20"/>
          <w:szCs w:val="20"/>
          <w:color w:val="auto"/>
        </w:rPr>
      </w:pPr>
    </w:p>
    <w:p>
      <w:pPr>
        <w:ind w:right="40" w:firstLine="494"/>
        <w:spacing w:after="0" w:line="257" w:lineRule="auto"/>
        <w:rPr>
          <w:sz w:val="20"/>
          <w:szCs w:val="20"/>
          <w:color w:val="auto"/>
        </w:rPr>
      </w:pPr>
      <w:r>
        <w:rPr>
          <w:rFonts w:ascii="Arial" w:cs="Arial" w:eastAsia="Arial" w:hAnsi="Arial"/>
          <w:sz w:val="18"/>
          <w:szCs w:val="18"/>
          <w:color w:val="auto"/>
        </w:rPr>
        <w:t>We considered the license to PLN-1474 as functional intellectual property, as when control of the license was transferred to Novartis at the inception of the Novartis Agreement, Novartis had the right to access its technology and it was functional. The license was distinct from the research and development services as the services are not transformative in nature. As such, under Topic 606, we determined the $50.0 million was standalone selling price PLN-1474 license and was recorded to revenue at the inception of the Novartis Agreement and $25.0 million in revenue was recognized from the achievement of the first patient dosing milestone in the first quarter of 2020.</w:t>
      </w:r>
    </w:p>
    <w:p>
      <w:pPr>
        <w:spacing w:after="0" w:line="147" w:lineRule="exact"/>
        <w:rPr>
          <w:sz w:val="20"/>
          <w:szCs w:val="20"/>
          <w:color w:val="auto"/>
        </w:rPr>
      </w:pPr>
    </w:p>
    <w:p>
      <w:pPr>
        <w:ind w:right="600" w:firstLine="501"/>
        <w:spacing w:after="0" w:line="277" w:lineRule="auto"/>
        <w:rPr>
          <w:sz w:val="20"/>
          <w:szCs w:val="20"/>
          <w:color w:val="auto"/>
        </w:rPr>
      </w:pPr>
      <w:r>
        <w:rPr>
          <w:rFonts w:ascii="Arial" w:cs="Arial" w:eastAsia="Arial" w:hAnsi="Arial"/>
          <w:sz w:val="18"/>
          <w:szCs w:val="18"/>
          <w:color w:val="auto"/>
        </w:rPr>
        <w:t>We recognize revenue as we perform the research and development services based on an input method, as such costs have direct relationship between our effort and the progress made towards satisfying its performance obligations to Novartis.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85" w:lineRule="exact"/>
        <w:rPr>
          <w:sz w:val="20"/>
          <w:szCs w:val="20"/>
          <w:color w:val="auto"/>
        </w:rPr>
      </w:pPr>
    </w:p>
    <w:p>
      <w:pPr>
        <w:ind w:firstLine="494"/>
        <w:spacing w:after="0" w:line="272"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studies and preclinical studies. We record the estimated costs of research and development activities based upon the estimated amount of services provided but not yet invoiced and include these costs in accrued liabilities in the balance sheets and within research and development expense in the statements of operations and comprehensive (loss) income.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137" w:lineRule="exact"/>
        <w:rPr>
          <w:sz w:val="20"/>
          <w:szCs w:val="20"/>
          <w:color w:val="auto"/>
        </w:rPr>
      </w:pPr>
    </w:p>
    <w:p>
      <w:pPr>
        <w:ind w:right="120" w:firstLine="494"/>
        <w:spacing w:after="0" w:line="273" w:lineRule="auto"/>
        <w:rPr>
          <w:sz w:val="20"/>
          <w:szCs w:val="20"/>
          <w:color w:val="auto"/>
        </w:rPr>
      </w:pPr>
      <w:r>
        <w:rPr>
          <w:rFonts w:ascii="Arial" w:cs="Arial" w:eastAsia="Arial" w:hAnsi="Arial"/>
          <w:sz w:val="17"/>
          <w:szCs w:val="17"/>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Our accrued expenses are dependent, in part, upon the receipt of timely and accurate reporting from clinical research organizations and other third-party service providers.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60" w:firstLine="494"/>
        <w:spacing w:after="0" w:line="296" w:lineRule="auto"/>
        <w:rPr>
          <w:sz w:val="20"/>
          <w:szCs w:val="20"/>
          <w:color w:val="auto"/>
        </w:rPr>
      </w:pPr>
      <w:r>
        <w:rPr>
          <w:rFonts w:ascii="Arial" w:cs="Arial" w:eastAsia="Arial" w:hAnsi="Arial"/>
          <w:sz w:val="16"/>
          <w:szCs w:val="16"/>
          <w:color w:val="auto"/>
        </w:rPr>
        <w:t>The Company’s stock-based equity awards include restricted stock awards, stock options and shares that will be issued under the Company’s 2020 Employee Stock Purchase Plan (“ESPP”). We recognize stock-based compensation for awards granted to employees, nonemployees and directors based on the estimated fair value of the awards on the date of grant. We estimate the grant date fair value and the resulting stock-based compensation expense, using the Black-Scholes option-pricing model. The grant date fair value of the stock-based awards is recognized on a straight-line basis over the requisite service periods, which are generally the vesting period of the respective awards. Forfeitures are accounted for as they occur.</w:t>
      </w:r>
    </w:p>
    <w:p>
      <w:pPr>
        <w:spacing w:after="0" w:line="121"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which determine the fair value of stock-based awards, including the expected term and the price volatility of the underlying stock. These assumptions include:</w:t>
      </w:r>
    </w:p>
    <w:p>
      <w:pPr>
        <w:spacing w:after="0" w:line="143" w:lineRule="exact"/>
        <w:rPr>
          <w:sz w:val="20"/>
          <w:szCs w:val="20"/>
          <w:color w:val="auto"/>
        </w:rPr>
      </w:pPr>
    </w:p>
    <w:p>
      <w:pPr>
        <w:ind w:left="980" w:hanging="48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paragraph below for discussion of the fair value of our common stock.</w:t>
      </w:r>
    </w:p>
    <w:p>
      <w:pPr>
        <w:spacing w:after="0" w:line="184" w:lineRule="exact"/>
        <w:rPr>
          <w:rFonts w:ascii="Arial" w:cs="Arial" w:eastAsia="Arial" w:hAnsi="Arial"/>
          <w:sz w:val="18"/>
          <w:szCs w:val="18"/>
          <w:color w:val="auto"/>
        </w:rPr>
      </w:pPr>
    </w:p>
    <w:p>
      <w:pPr>
        <w:jc w:val="both"/>
        <w:ind w:left="980" w:right="160" w:hanging="486"/>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options was calculated based on the weighted-average vesting term of the awards and the contract period, or simplified method, as allowed by the SEC.</w:t>
      </w:r>
    </w:p>
    <w:p>
      <w:pPr>
        <w:spacing w:after="0" w:line="143" w:lineRule="exact"/>
        <w:rPr>
          <w:rFonts w:ascii="Arial" w:cs="Arial" w:eastAsia="Arial" w:hAnsi="Arial"/>
          <w:sz w:val="18"/>
          <w:szCs w:val="18"/>
          <w:color w:val="auto"/>
        </w:rPr>
      </w:pPr>
    </w:p>
    <w:p>
      <w:pPr>
        <w:ind w:left="980" w:right="280" w:hanging="486"/>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—Prior to becoming a public company, as we did not have any trading history for our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We will continue to apply this process until enough historical information regarding the volatility of our own stock price becomes available.</w:t>
      </w:r>
    </w:p>
    <w:p>
      <w:pPr>
        <w:spacing w:after="0" w:line="147" w:lineRule="exact"/>
        <w:rPr>
          <w:rFonts w:ascii="Arial" w:cs="Arial" w:eastAsia="Arial" w:hAnsi="Arial"/>
          <w:sz w:val="18"/>
          <w:szCs w:val="18"/>
          <w:color w:val="auto"/>
        </w:rPr>
      </w:pPr>
    </w:p>
    <w:p>
      <w:pPr>
        <w:ind w:left="980" w:right="540" w:hanging="486"/>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3" w:name="page114"/>
    <w:bookmarkEnd w:id="113"/>
    <w:p>
      <w:pPr>
        <w:ind w:left="980" w:right="760" w:hanging="486"/>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30"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color w:val="auto"/>
        </w:rPr>
        <w:t xml:space="preserve">Prior to the closing of our IPO,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the third-party valuation firm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Given the absence of a public trading market for our common stock historically, our 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151" w:lineRule="exact"/>
        <w:rPr>
          <w:sz w:val="20"/>
          <w:szCs w:val="20"/>
          <w:color w:val="auto"/>
        </w:rPr>
      </w:pPr>
    </w:p>
    <w:p>
      <w:pPr>
        <w:ind w:right="500" w:firstLine="501"/>
        <w:spacing w:after="0" w:line="453" w:lineRule="auto"/>
        <w:rPr>
          <w:sz w:val="20"/>
          <w:szCs w:val="20"/>
          <w:color w:val="auto"/>
        </w:rPr>
      </w:pPr>
      <w:r>
        <w:rPr>
          <w:rFonts w:ascii="Arial" w:cs="Arial" w:eastAsia="Arial" w:hAnsi="Arial"/>
          <w:sz w:val="18"/>
          <w:szCs w:val="18"/>
          <w:color w:val="auto"/>
        </w:rPr>
        <w:t xml:space="preserve">Following the closing of our IPO, the fair value of our common stock was determined based on the quoted market price of our common stock. </w:t>
      </w:r>
      <w:r>
        <w:rPr>
          <w:rFonts w:ascii="Arial" w:cs="Arial" w:eastAsia="Arial" w:hAnsi="Arial"/>
          <w:sz w:val="18"/>
          <w:szCs w:val="18"/>
          <w:b w:val="1"/>
          <w:bCs w:val="1"/>
          <w:color w:val="auto"/>
        </w:rPr>
        <w:t>Emerging Growth Company Status and JOBS Act Accounting Election</w:t>
      </w:r>
    </w:p>
    <w:p>
      <w:pPr>
        <w:spacing w:after="0" w:line="2" w:lineRule="exact"/>
        <w:rPr>
          <w:sz w:val="20"/>
          <w:szCs w:val="20"/>
          <w:color w:val="auto"/>
        </w:rPr>
      </w:pPr>
    </w:p>
    <w:p>
      <w:pPr>
        <w:ind w:firstLine="494"/>
        <w:spacing w:after="0" w:line="275" w:lineRule="auto"/>
        <w:rPr>
          <w:sz w:val="20"/>
          <w:szCs w:val="20"/>
          <w:color w:val="auto"/>
        </w:rPr>
      </w:pPr>
      <w:r>
        <w:rPr>
          <w:rFonts w:ascii="Arial" w:cs="Arial" w:eastAsia="Arial" w:hAnsi="Arial"/>
          <w:sz w:val="17"/>
          <w:szCs w:val="17"/>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Arial" w:cs="Arial" w:eastAsia="Arial" w:hAnsi="Arial"/>
          <w:sz w:val="17"/>
          <w:szCs w:val="17"/>
          <w:i w:val="1"/>
          <w:iCs w:val="1"/>
          <w:color w:val="auto"/>
        </w:rPr>
        <w:t>(Topic 842</w:t>
      </w:r>
      <w:r>
        <w:rPr>
          <w:rFonts w:ascii="Arial" w:cs="Arial" w:eastAsia="Arial" w:hAnsi="Arial"/>
          <w:sz w:val="17"/>
          <w:szCs w:val="17"/>
          <w:color w:val="auto"/>
        </w:rPr>
        <w:t>), Leases when the standard is effective for private companies which is for fiscal years beginning after December 15, 2020. As a result, our financial statements may not be comparable to companies that comply with new or revised accounting pronouncements as of public company effective dates.</w:t>
      </w:r>
    </w:p>
    <w:p>
      <w:pPr>
        <w:spacing w:after="0" w:line="149"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our IPO or until we no longer meet the requirements of being an emerging growth company, whichever is earlier.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20" w:firstLine="494"/>
        <w:spacing w:after="0" w:line="277" w:lineRule="auto"/>
        <w:rPr>
          <w:sz w:val="20"/>
          <w:szCs w:val="20"/>
          <w:color w:val="auto"/>
        </w:rPr>
      </w:pPr>
      <w:r>
        <w:rPr>
          <w:rFonts w:ascii="Arial" w:cs="Arial" w:eastAsia="Arial" w:hAnsi="Arial"/>
          <w:sz w:val="18"/>
          <w:szCs w:val="18"/>
          <w:color w:val="auto"/>
        </w:rPr>
        <w:t>The information set forth under Note 2 to the financial statements under the caption “Recently Issued Accounting Pronouncements”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912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40" w:type="dxa"/>
            <w:vAlign w:val="bottom"/>
          </w:tcPr>
          <w:p>
            <w:pPr>
              <w:spacing w:after="0"/>
              <w:rPr>
                <w:sz w:val="20"/>
                <w:szCs w:val="20"/>
                <w:color w:val="auto"/>
              </w:rPr>
            </w:pPr>
          </w:p>
        </w:tc>
      </w:tr>
      <w:tr>
        <w:trPr>
          <w:trHeight w:val="648"/>
        </w:trPr>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6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24"/>
                <w:szCs w:val="24"/>
                <w:color w:val="auto"/>
              </w:rPr>
            </w:pPr>
          </w:p>
        </w:tc>
      </w:tr>
      <w:tr>
        <w:trPr>
          <w:trHeight w:val="445"/>
        </w:trPr>
        <w:tc>
          <w:tcPr>
            <w:tcW w:w="9120" w:type="dxa"/>
            <w:vAlign w:val="bottom"/>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8"/>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Balance Sheets as of December 31, 2020 and 2019</w:t>
              </w:r>
            </w:hyperlink>
          </w:p>
        </w:tc>
        <w:tc>
          <w:tcPr>
            <w:tcW w:w="4900" w:type="dxa"/>
            <w:vAlign w:val="bottom"/>
            <w:gridSpan w:val="4"/>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18"/>
        </w:trPr>
        <w:tc>
          <w:tcPr>
            <w:tcW w:w="912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Statements of Operations and Comprehensive Loss for the Years ended December 31, 2020 and 2019</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18"/>
        </w:trPr>
        <w:tc>
          <w:tcPr>
            <w:tcW w:w="6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Statements of Stockholders’ Equity (Deficit) for the Years ended December 31, 2020 and 2019</w:t>
              </w:r>
            </w:hyperlink>
          </w:p>
        </w:tc>
        <w:tc>
          <w:tcPr>
            <w:tcW w:w="46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18"/>
        </w:trPr>
        <w:tc>
          <w:tcPr>
            <w:tcW w:w="55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Statements of Cash Flows for the Years ended December 31, 2020 and 2019</w:t>
              </w:r>
            </w:hyperlink>
          </w:p>
        </w:tc>
        <w:tc>
          <w:tcPr>
            <w:tcW w:w="3620" w:type="dxa"/>
            <w:vAlign w:val="bottom"/>
            <w:gridSpan w:val="3"/>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18"/>
        </w:trPr>
        <w:tc>
          <w:tcPr>
            <w:tcW w:w="912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Notes to Financial Statements</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885"/>
        </w:trPr>
        <w:tc>
          <w:tcPr>
            <w:tcW w:w="2160" w:type="dxa"/>
            <w:vAlign w:val="bottom"/>
            <w:tcBorders>
              <w:top w:val="single" w:sz="8" w:color="0000EE"/>
            </w:tcBorders>
          </w:tcPr>
          <w:p>
            <w:pPr>
              <w:spacing w:after="0"/>
              <w:rPr>
                <w:sz w:val="24"/>
                <w:szCs w:val="24"/>
                <w:color w:val="auto"/>
              </w:rPr>
            </w:pPr>
          </w:p>
        </w:tc>
        <w:tc>
          <w:tcPr>
            <w:tcW w:w="4680" w:type="dxa"/>
            <w:vAlign w:val="bottom"/>
            <w:gridSpan w:val="4"/>
          </w:tcPr>
          <w:p>
            <w:pPr>
              <w:jc w:val="right"/>
              <w:ind w:right="1080"/>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Pliant Therapeutics,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balance sheets of Pliant Therapeutics, Inc. (the "Company") as of December 31, 2020 and 2019 and the related statements of operations and comprehensive loss, redeemable convertible preferred stock and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number of shares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8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50,882</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226,012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Tax credit receivable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7280" w:type="dxa"/>
            <w:vAlign w:val="bottom"/>
          </w:tcPr>
          <w:p>
            <w:pPr>
              <w:ind w:left="62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290,754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111,900</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295,526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119,064</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w w:val="98"/>
              </w:rPr>
              <w:t>Liabilities, Redeemable Convertible Preferred Stock and Stockholders’ Equity (Deficit)</w:t>
            </w: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(Note 5)</w:t>
            </w:r>
          </w:p>
        </w:tc>
        <w:tc>
          <w:tcPr>
            <w:tcW w:w="5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11,599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 (Note 5)</w:t>
            </w:r>
          </w:p>
        </w:tc>
        <w:tc>
          <w:tcPr>
            <w:tcW w:w="5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12,465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60"/>
              <w:spacing w:after="0"/>
              <w:rPr>
                <w:sz w:val="20"/>
                <w:szCs w:val="20"/>
                <w:color w:val="auto"/>
              </w:rPr>
            </w:pPr>
            <w:r>
              <w:rPr>
                <w:rFonts w:ascii="Arial" w:cs="Arial" w:eastAsia="Arial" w:hAnsi="Arial"/>
                <w:sz w:val="18"/>
                <w:szCs w:val="18"/>
                <w:color w:val="auto"/>
              </w:rPr>
              <w:t>Series A redeemable convertible preferred stock, $0.0001 par value; 0 and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56,000,000 shares authorized at December 31, 2020 and 2019, respectively;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0 and 56,000,000 shares issued and outstanding at December 31, 2020 and 2019,</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respectively; aggregate liquidation preference of $0 and $62,468 at December 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80"/>
              <w:spacing w:after="0"/>
              <w:rPr>
                <w:sz w:val="20"/>
                <w:szCs w:val="20"/>
                <w:color w:val="auto"/>
              </w:rPr>
            </w:pPr>
            <w:r>
              <w:rPr>
                <w:rFonts w:ascii="Arial" w:cs="Arial" w:eastAsia="Arial" w:hAnsi="Arial"/>
                <w:sz w:val="18"/>
                <w:szCs w:val="18"/>
                <w:color w:val="auto"/>
              </w:rPr>
              <w:t>2020 and 2019, respectively;</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62,468</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B redeemable convertible preferred stock, $0.0001 par value; 0 shares and</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49,501,221 shares authorized at December 31, 2020 and 2019, respectively;</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and 49,501,221 shares issued and outstanding at December 31, 2020</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2019, respectively; aggregate liquidation preference of $0 and $75,860 at</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 and 2019, respectively;</w:t>
            </w: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75,860</w:t>
            </w:r>
          </w:p>
        </w:tc>
        <w:tc>
          <w:tcPr>
            <w:tcW w:w="0" w:type="dxa"/>
            <w:vAlign w:val="bottom"/>
          </w:tcPr>
          <w:p>
            <w:pPr>
              <w:spacing w:after="0"/>
              <w:rPr>
                <w:sz w:val="1"/>
                <w:szCs w:val="1"/>
                <w:color w:val="auto"/>
              </w:rPr>
            </w:pPr>
          </w:p>
        </w:tc>
      </w:tr>
      <w:tr>
        <w:trPr>
          <w:trHeight w:val="215"/>
        </w:trPr>
        <w:tc>
          <w:tcPr>
            <w:tcW w:w="7280" w:type="dxa"/>
            <w:vAlign w:val="bottom"/>
          </w:tcPr>
          <w:p>
            <w:pPr>
              <w:ind w:left="260"/>
              <w:spacing w:after="0"/>
              <w:rPr>
                <w:sz w:val="20"/>
                <w:szCs w:val="20"/>
                <w:color w:val="auto"/>
              </w:rPr>
            </w:pPr>
            <w:r>
              <w:rPr>
                <w:rFonts w:ascii="Arial" w:cs="Arial" w:eastAsia="Arial" w:hAnsi="Arial"/>
                <w:sz w:val="18"/>
                <w:szCs w:val="18"/>
                <w:color w:val="auto"/>
              </w:rPr>
              <w:t>Series C redeemable convertible preferred stock, $0.0001 par value; 0 shares and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44,000,000 shares authorized at December 31, 2020 and 2019, respectively;</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0 shares and 26,360,745 shares issued and outstanding at December 31, 2020 and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2019, respectively; aggregate liquidation preference of $0 and $47,947 at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80"/>
              <w:spacing w:after="0"/>
              <w:rPr>
                <w:sz w:val="20"/>
                <w:szCs w:val="20"/>
                <w:color w:val="auto"/>
              </w:rPr>
            </w:pPr>
            <w:r>
              <w:rPr>
                <w:rFonts w:ascii="Arial" w:cs="Arial" w:eastAsia="Arial" w:hAnsi="Arial"/>
                <w:sz w:val="18"/>
                <w:szCs w:val="18"/>
                <w:color w:val="auto"/>
              </w:rPr>
              <w:t>December 31, 2020 and 2019, respectively;</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and 0 shares authorized at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December 31, 2020 and 2019, respectively; 0 shares issued and outstanding at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80"/>
              <w:spacing w:after="0"/>
              <w:rPr>
                <w:sz w:val="20"/>
                <w:szCs w:val="20"/>
                <w:color w:val="auto"/>
              </w:rPr>
            </w:pPr>
            <w:r>
              <w:rPr>
                <w:rFonts w:ascii="Arial" w:cs="Arial" w:eastAsia="Arial" w:hAnsi="Arial"/>
                <w:sz w:val="18"/>
                <w:szCs w:val="18"/>
                <w:color w:val="auto"/>
              </w:rPr>
              <w:t>December 31, 2020 and 2019;</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300,000,000 and 181,000,000 shares authorized</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2020 and 2019; and 35,552,795 and 1,846,024 shares issued and</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December 31, 2020 and 2019, respectively;</w:t>
            </w: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400,918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loss</w:t>
            </w:r>
          </w:p>
        </w:tc>
        <w:tc>
          <w:tcPr>
            <w:tcW w:w="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stockholders’ equity (deficit)</w:t>
            </w:r>
          </w:p>
        </w:tc>
        <w:tc>
          <w:tcPr>
            <w:tcW w:w="5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283,061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(76,295)</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295,526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119,064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number of shares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 related party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41,817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57,052</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(66,193)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(58,283)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(41,645)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Accretion to redemption value and dividends on redeemable convertible</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loss per share attributable to common stockholders: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21,344,236</w:t>
            </w:r>
          </w:p>
        </w:tc>
        <w:tc>
          <w:tcPr>
            <w:tcW w:w="1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1,623,358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21,344,236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1,623,358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line="229" w:lineRule="exact"/>
              <w:rPr>
                <w:sz w:val="20"/>
                <w:szCs w:val="20"/>
                <w:color w:val="auto"/>
              </w:rPr>
            </w:pPr>
            <w:r>
              <w:rPr>
                <w:rFonts w:ascii="Arial" w:cs="Arial" w:eastAsia="Arial" w:hAnsi="Arial"/>
                <w:sz w:val="18"/>
                <w:szCs w:val="18"/>
                <w:color w:val="auto"/>
              </w:rPr>
              <w:t xml:space="preserve">Net unrealized loss on short-term investments </w:t>
            </w:r>
            <w:r>
              <w:rPr>
                <w:rFonts w:ascii="Arial" w:cs="Arial" w:eastAsia="Arial" w:hAnsi="Arial"/>
                <w:sz w:val="24"/>
                <w:szCs w:val="24"/>
                <w:color w:val="auto"/>
                <w:vertAlign w:val="superscript"/>
              </w:rPr>
              <w:t>(1)</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(41,564)</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w:t>
      </w:r>
    </w:p>
    <w:p>
      <w:pPr>
        <w:spacing w:after="0" w:line="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Tax effect is nil for all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number of shares and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ind w:right="11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12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8"/>
          </w:tcPr>
          <w:p>
            <w:pPr>
              <w:jc w:val="right"/>
              <w:ind w:right="517"/>
              <w:spacing w:after="0"/>
              <w:rPr>
                <w:sz w:val="20"/>
                <w:szCs w:val="20"/>
                <w:color w:val="auto"/>
              </w:rPr>
            </w:pPr>
            <w:r>
              <w:rPr>
                <w:rFonts w:ascii="Arial" w:cs="Arial" w:eastAsia="Arial" w:hAnsi="Arial"/>
                <w:sz w:val="13"/>
                <w:szCs w:val="13"/>
                <w:b w:val="1"/>
                <w:bCs w:val="1"/>
                <w:color w:val="auto"/>
                <w:w w:val="95"/>
              </w:rPr>
              <w:t>Redeemable Convertible Preferred Stock</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4"/>
          </w:tcPr>
          <w:p>
            <w:pPr>
              <w:ind w:left="10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900" w:type="dxa"/>
            <w:vAlign w:val="bottom"/>
          </w:tcPr>
          <w:p>
            <w:pPr>
              <w:jc w:val="center"/>
              <w:ind w:right="11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122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4"/>
              <w:spacing w:after="0" w:line="142" w:lineRule="exact"/>
              <w:rPr>
                <w:sz w:val="20"/>
                <w:szCs w:val="20"/>
                <w:color w:val="auto"/>
              </w:rPr>
            </w:pPr>
            <w:r>
              <w:rPr>
                <w:rFonts w:ascii="Arial" w:cs="Arial" w:eastAsia="Arial" w:hAnsi="Arial"/>
                <w:sz w:val="13"/>
                <w:szCs w:val="13"/>
                <w:b w:val="1"/>
                <w:bCs w:val="1"/>
                <w:color w:val="auto"/>
              </w:rPr>
              <w:t>Series A</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Series B</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17"/>
              <w:spacing w:after="0" w:line="142" w:lineRule="exact"/>
              <w:rPr>
                <w:sz w:val="20"/>
                <w:szCs w:val="20"/>
                <w:color w:val="auto"/>
              </w:rPr>
            </w:pPr>
            <w:r>
              <w:rPr>
                <w:rFonts w:ascii="Arial" w:cs="Arial" w:eastAsia="Arial" w:hAnsi="Arial"/>
                <w:sz w:val="13"/>
                <w:szCs w:val="13"/>
                <w:b w:val="1"/>
                <w:bCs w:val="1"/>
                <w:color w:val="auto"/>
              </w:rPr>
              <w:t>Series C</w:t>
            </w:r>
          </w:p>
        </w:tc>
        <w:tc>
          <w:tcPr>
            <w:tcW w:w="5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24"/>
              <w:spacing w:after="0" w:line="142" w:lineRule="exact"/>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Paid-In</w:t>
            </w:r>
          </w:p>
        </w:tc>
        <w:tc>
          <w:tcPr>
            <w:tcW w:w="960" w:type="dxa"/>
            <w:vAlign w:val="bottom"/>
            <w:gridSpan w:val="2"/>
          </w:tcPr>
          <w:p>
            <w:pPr>
              <w:jc w:val="center"/>
              <w:ind w:right="57"/>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4"/>
          </w:tcPr>
          <w:p>
            <w:pPr>
              <w:ind w:left="80"/>
              <w:spacing w:after="0" w:line="142"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70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1220" w:type="dxa"/>
            <w:vAlign w:val="bottom"/>
          </w:tcPr>
          <w:p>
            <w:pPr>
              <w:spacing w:after="0"/>
              <w:rPr>
                <w:sz w:val="12"/>
                <w:szCs w:val="12"/>
                <w:color w:val="auto"/>
              </w:rPr>
            </w:pPr>
          </w:p>
        </w:tc>
        <w:tc>
          <w:tcPr>
            <w:tcW w:w="900" w:type="dxa"/>
            <w:vAlign w:val="bottom"/>
            <w:gridSpan w:val="2"/>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8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82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2"/>
                <w:szCs w:val="12"/>
                <w:color w:val="auto"/>
              </w:rPr>
            </w:pPr>
          </w:p>
        </w:tc>
        <w:tc>
          <w:tcPr>
            <w:tcW w:w="90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70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0"/>
              </w:rPr>
              <w:t>(Deficit)</w:t>
            </w:r>
          </w:p>
        </w:tc>
      </w:tr>
      <w:tr>
        <w:trPr>
          <w:trHeight w:val="124"/>
        </w:trPr>
        <w:tc>
          <w:tcPr>
            <w:tcW w:w="122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w:t>
            </w:r>
          </w:p>
        </w:tc>
        <w:tc>
          <w:tcPr>
            <w:tcW w:w="8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r>
      <w:tr>
        <w:trPr>
          <w:trHeight w:val="153"/>
        </w:trPr>
        <w:tc>
          <w:tcPr>
            <w:tcW w:w="12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December 31, 2019</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56,000,000</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62,468</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49,501,221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75,860</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26,360,745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47,947</w:t>
            </w:r>
          </w:p>
        </w:tc>
        <w:tc>
          <w:tcPr>
            <w:tcW w:w="1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1,846,024</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4"/>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(76,295)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(76,295)</w:t>
            </w:r>
          </w:p>
        </w:tc>
      </w:tr>
      <w:tr>
        <w:trPr>
          <w:trHeight w:val="134"/>
        </w:trPr>
        <w:tc>
          <w:tcPr>
            <w:tcW w:w="1220" w:type="dxa"/>
            <w:vAlign w:val="bottom"/>
          </w:tcPr>
          <w:p>
            <w:pPr>
              <w:spacing w:after="0" w:line="134" w:lineRule="exact"/>
              <w:rPr>
                <w:sz w:val="20"/>
                <w:szCs w:val="20"/>
                <w:color w:val="auto"/>
              </w:rPr>
            </w:pPr>
            <w:r>
              <w:rPr>
                <w:rFonts w:ascii="Arial" w:cs="Arial" w:eastAsia="Arial" w:hAnsi="Arial"/>
                <w:sz w:val="13"/>
                <w:szCs w:val="13"/>
                <w:color w:val="auto"/>
              </w:rPr>
              <w:t>Issuance of Series C</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color w:val="auto"/>
              </w:rPr>
              <w:t>redeemable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w w:val="98"/>
              </w:rPr>
              <w:t>preferred stock, net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color w:val="auto"/>
              </w:rPr>
              <w:t>of issuance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220" w:type="dxa"/>
            <w:vAlign w:val="bottom"/>
          </w:tcPr>
          <w:p>
            <w:pPr>
              <w:ind w:left="100"/>
              <w:spacing w:after="0"/>
              <w:rPr>
                <w:sz w:val="20"/>
                <w:szCs w:val="20"/>
                <w:color w:val="auto"/>
              </w:rPr>
            </w:pPr>
            <w:r>
              <w:rPr>
                <w:rFonts w:ascii="Arial" w:cs="Arial" w:eastAsia="Arial" w:hAnsi="Arial"/>
                <w:sz w:val="13"/>
                <w:szCs w:val="13"/>
                <w:color w:val="auto"/>
              </w:rPr>
              <w:t>costs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28,527,313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52,019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34"/>
        </w:trPr>
        <w:tc>
          <w:tcPr>
            <w:tcW w:w="12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 of common</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 upon</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initial public</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offering, net of</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issuance costs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8"/>
              </w:rPr>
              <w:t>10,350,000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148,277</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148,278</w:t>
            </w:r>
          </w:p>
        </w:tc>
      </w:tr>
      <w:tr>
        <w:trPr>
          <w:trHeight w:val="134"/>
        </w:trPr>
        <w:tc>
          <w:tcPr>
            <w:tcW w:w="1220" w:type="dxa"/>
            <w:vAlign w:val="bottom"/>
          </w:tcPr>
          <w:p>
            <w:pPr>
              <w:spacing w:after="0" w:line="134" w:lineRule="exact"/>
              <w:rPr>
                <w:sz w:val="20"/>
                <w:szCs w:val="20"/>
                <w:color w:val="auto"/>
              </w:rPr>
            </w:pPr>
            <w:r>
              <w:rPr>
                <w:rFonts w:ascii="Arial" w:cs="Arial" w:eastAsia="Arial" w:hAnsi="Arial"/>
                <w:sz w:val="13"/>
                <w:szCs w:val="13"/>
                <w:color w:val="auto"/>
              </w:rPr>
              <w:t>Issuance of common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color w:val="auto"/>
              </w:rPr>
              <w:t>stock upon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220" w:type="dxa"/>
            <w:vAlign w:val="bottom"/>
          </w:tcPr>
          <w:p>
            <w:pPr>
              <w:ind w:left="100"/>
              <w:spacing w:after="0"/>
              <w:rPr>
                <w:sz w:val="20"/>
                <w:szCs w:val="20"/>
                <w:color w:val="auto"/>
              </w:rPr>
            </w:pPr>
            <w:r>
              <w:rPr>
                <w:rFonts w:ascii="Arial" w:cs="Arial" w:eastAsia="Arial" w:hAnsi="Arial"/>
                <w:sz w:val="13"/>
                <w:szCs w:val="13"/>
                <w:color w:val="auto"/>
              </w:rPr>
              <w:t>private placement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625,000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10,000</w:t>
            </w:r>
          </w:p>
        </w:tc>
      </w:tr>
      <w:tr>
        <w:trPr>
          <w:trHeight w:val="134"/>
        </w:trPr>
        <w:tc>
          <w:tcPr>
            <w:tcW w:w="12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Conversion of Series</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 B, C</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convertible</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preferred stock to</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(56,000,000)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4"/>
              </w:rPr>
              <w:t>(62,468)</w:t>
            </w: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(49,501,221)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4"/>
              </w:rPr>
              <w:t>(75,860)</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(54,888,058)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4"/>
              </w:rPr>
              <w:t>(99,966)</w:t>
            </w: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8"/>
              </w:rPr>
              <w:t>22,432,029</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238,293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238,294</w:t>
            </w:r>
          </w:p>
        </w:tc>
      </w:tr>
      <w:tr>
        <w:trPr>
          <w:trHeight w:val="134"/>
        </w:trPr>
        <w:tc>
          <w:tcPr>
            <w:tcW w:w="1220" w:type="dxa"/>
            <w:vAlign w:val="bottom"/>
          </w:tcPr>
          <w:p>
            <w:pPr>
              <w:spacing w:after="0" w:line="134" w:lineRule="exact"/>
              <w:rPr>
                <w:sz w:val="20"/>
                <w:szCs w:val="20"/>
                <w:color w:val="auto"/>
              </w:rPr>
            </w:pPr>
            <w:r>
              <w:rPr>
                <w:rFonts w:ascii="Arial" w:cs="Arial" w:eastAsia="Arial" w:hAnsi="Arial"/>
                <w:sz w:val="13"/>
                <w:szCs w:val="13"/>
                <w:color w:val="auto"/>
              </w:rPr>
              <w:t>Vesting of restricted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220" w:type="dxa"/>
            <w:vAlign w:val="bottom"/>
          </w:tcPr>
          <w:p>
            <w:pPr>
              <w:spacing w:after="0"/>
              <w:rPr>
                <w:sz w:val="20"/>
                <w:szCs w:val="20"/>
                <w:color w:val="auto"/>
              </w:rPr>
            </w:pPr>
            <w:r>
              <w:rPr>
                <w:rFonts w:ascii="Arial" w:cs="Arial" w:eastAsia="Arial" w:hAnsi="Arial"/>
                <w:sz w:val="13"/>
                <w:szCs w:val="13"/>
                <w:color w:val="auto"/>
              </w:rPr>
              <w:t>stock awards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163,544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11</w:t>
            </w:r>
          </w:p>
        </w:tc>
      </w:tr>
      <w:tr>
        <w:trPr>
          <w:trHeight w:val="148"/>
        </w:trPr>
        <w:tc>
          <w:tcPr>
            <w:tcW w:w="1220" w:type="dxa"/>
            <w:vAlign w:val="bottom"/>
            <w:shd w:val="clear" w:color="auto" w:fill="CFF0FC"/>
          </w:tcPr>
          <w:p>
            <w:pPr>
              <w:spacing w:after="0"/>
              <w:rPr>
                <w:sz w:val="20"/>
                <w:szCs w:val="20"/>
                <w:color w:val="auto"/>
              </w:rPr>
            </w:pPr>
            <w:r>
              <w:rPr>
                <w:rFonts w:ascii="Arial" w:cs="Arial" w:eastAsia="Arial" w:hAnsi="Arial"/>
                <w:sz w:val="13"/>
                <w:szCs w:val="13"/>
                <w:color w:val="auto"/>
              </w:rPr>
              <w:t>Option exercises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136,198</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442</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442</w:t>
            </w:r>
          </w:p>
        </w:tc>
      </w:tr>
      <w:tr>
        <w:trPr>
          <w:trHeight w:val="134"/>
        </w:trPr>
        <w:tc>
          <w:tcPr>
            <w:tcW w:w="1220" w:type="dxa"/>
            <w:vAlign w:val="bottom"/>
          </w:tcPr>
          <w:p>
            <w:pPr>
              <w:spacing w:after="0" w:line="134" w:lineRule="exact"/>
              <w:rPr>
                <w:sz w:val="20"/>
                <w:szCs w:val="20"/>
                <w:color w:val="auto"/>
              </w:rPr>
            </w:pPr>
            <w:r>
              <w:rPr>
                <w:rFonts w:ascii="Arial" w:cs="Arial" w:eastAsia="Arial" w:hAnsi="Arial"/>
                <w:sz w:val="13"/>
                <w:szCs w:val="13"/>
                <w:color w:val="auto"/>
              </w:rPr>
              <w:t>Stock-based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color w:val="auto"/>
              </w:rPr>
              <w:t>compensation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220" w:type="dxa"/>
            <w:vAlign w:val="bottom"/>
          </w:tcPr>
          <w:p>
            <w:pPr>
              <w:spacing w:after="0"/>
              <w:rPr>
                <w:sz w:val="20"/>
                <w:szCs w:val="20"/>
                <w:color w:val="auto"/>
              </w:rPr>
            </w:pPr>
            <w:r>
              <w:rPr>
                <w:rFonts w:ascii="Arial" w:cs="Arial" w:eastAsia="Arial" w:hAnsi="Arial"/>
                <w:sz w:val="13"/>
                <w:szCs w:val="13"/>
                <w:color w:val="auto"/>
              </w:rPr>
              <w:t>expense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3,895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3,895</w:t>
            </w:r>
          </w:p>
        </w:tc>
      </w:tr>
      <w:tr>
        <w:trPr>
          <w:trHeight w:val="134"/>
        </w:trPr>
        <w:tc>
          <w:tcPr>
            <w:tcW w:w="12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unrealized loss</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on</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22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short-term</w:t>
            </w: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220" w:type="dxa"/>
            <w:vAlign w:val="bottom"/>
            <w:shd w:val="clear" w:color="auto" w:fill="CFF0FC"/>
          </w:tcPr>
          <w:p>
            <w:pPr>
              <w:spacing w:after="0"/>
              <w:rPr>
                <w:sz w:val="20"/>
                <w:szCs w:val="20"/>
                <w:color w:val="auto"/>
              </w:rPr>
            </w:pPr>
            <w:r>
              <w:rPr>
                <w:rFonts w:ascii="Arial" w:cs="Arial" w:eastAsia="Arial" w:hAnsi="Arial"/>
                <w:sz w:val="13"/>
                <w:szCs w:val="13"/>
                <w:color w:val="auto"/>
              </w:rPr>
              <w:t>investments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r>
      <w:tr>
        <w:trPr>
          <w:trHeight w:val="148"/>
        </w:trPr>
        <w:tc>
          <w:tcPr>
            <w:tcW w:w="1220" w:type="dxa"/>
            <w:vAlign w:val="bottom"/>
          </w:tcPr>
          <w:p>
            <w:pPr>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(41,533)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(41,533)</w:t>
            </w:r>
          </w:p>
        </w:tc>
      </w:tr>
      <w:tr>
        <w:trPr>
          <w:trHeight w:val="124"/>
        </w:trPr>
        <w:tc>
          <w:tcPr>
            <w:tcW w:w="122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w:t>
            </w:r>
          </w:p>
        </w:tc>
        <w:tc>
          <w:tcPr>
            <w:tcW w:w="8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r>
      <w:tr>
        <w:trPr>
          <w:trHeight w:val="153"/>
        </w:trPr>
        <w:tc>
          <w:tcPr>
            <w:tcW w:w="12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December 31, 2020</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8"/>
              </w:rPr>
              <w:t>35,552,795</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4"/>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400,918</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(117,828)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283,061</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number of shares and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1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9"/>
          </w:tcPr>
          <w:p>
            <w:pPr>
              <w:ind w:left="180"/>
              <w:spacing w:after="0"/>
              <w:rPr>
                <w:sz w:val="20"/>
                <w:szCs w:val="20"/>
                <w:color w:val="auto"/>
              </w:rPr>
            </w:pPr>
            <w:r>
              <w:rPr>
                <w:rFonts w:ascii="Arial" w:cs="Arial" w:eastAsia="Arial" w:hAnsi="Arial"/>
                <w:sz w:val="13"/>
                <w:szCs w:val="13"/>
                <w:b w:val="1"/>
                <w:bCs w:val="1"/>
                <w:color w:val="auto"/>
              </w:rPr>
              <w:t>Redeemable Convertible Preferred Stock</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Stockholders'</w:t>
            </w:r>
          </w:p>
        </w:tc>
      </w:tr>
      <w:tr>
        <w:trPr>
          <w:trHeight w:val="142"/>
        </w:trPr>
        <w:tc>
          <w:tcPr>
            <w:tcW w:w="130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Series A</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Series B</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Series C</w:t>
            </w:r>
          </w:p>
        </w:tc>
        <w:tc>
          <w:tcPr>
            <w:tcW w:w="50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jc w:val="center"/>
              <w:ind w:right="220"/>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9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70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1300" w:type="dxa"/>
            <w:vAlign w:val="bottom"/>
          </w:tcPr>
          <w:p>
            <w:pPr>
              <w:spacing w:after="0"/>
              <w:rPr>
                <w:sz w:val="12"/>
                <w:szCs w:val="12"/>
                <w:color w:val="auto"/>
              </w:rPr>
            </w:pPr>
          </w:p>
        </w:tc>
        <w:tc>
          <w:tcPr>
            <w:tcW w:w="86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780" w:type="dxa"/>
            <w:vAlign w:val="bottom"/>
          </w:tcPr>
          <w:p>
            <w:pPr>
              <w:jc w:val="right"/>
              <w:ind w:right="197"/>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86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64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70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0"/>
              </w:rPr>
              <w:t>(Deficit)</w:t>
            </w:r>
          </w:p>
        </w:tc>
      </w:tr>
      <w:tr>
        <w:trPr>
          <w:trHeight w:val="124"/>
        </w:trPr>
        <w:tc>
          <w:tcPr>
            <w:tcW w:w="13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7"/>
              </w:rPr>
              <w:t>Balance at December</w:t>
            </w: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r>
      <w:tr>
        <w:trPr>
          <w:trHeight w:val="153"/>
        </w:trPr>
        <w:tc>
          <w:tcPr>
            <w:tcW w:w="13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31, 2018</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8"/>
              </w:rPr>
              <w:t>56,000,000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5"/>
              </w:rPr>
              <w:t>61,516</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8"/>
              </w:rPr>
              <w:t>49,501,221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5"/>
              </w:rPr>
              <w:t>70,587</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1,363,000</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(71,470)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(71,469)</w:t>
            </w:r>
          </w:p>
        </w:tc>
      </w:tr>
      <w:tr>
        <w:trPr>
          <w:trHeight w:val="134"/>
        </w:trPr>
        <w:tc>
          <w:tcPr>
            <w:tcW w:w="1300" w:type="dxa"/>
            <w:vAlign w:val="bottom"/>
          </w:tcPr>
          <w:p>
            <w:pPr>
              <w:spacing w:after="0" w:line="134" w:lineRule="exact"/>
              <w:rPr>
                <w:sz w:val="20"/>
                <w:szCs w:val="20"/>
                <w:color w:val="auto"/>
              </w:rPr>
            </w:pPr>
            <w:r>
              <w:rPr>
                <w:rFonts w:ascii="Arial" w:cs="Arial" w:eastAsia="Arial" w:hAnsi="Arial"/>
                <w:sz w:val="13"/>
                <w:szCs w:val="13"/>
                <w:color w:val="auto"/>
              </w:rPr>
              <w:t>Issuance of Series C</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300" w:type="dxa"/>
            <w:vAlign w:val="bottom"/>
          </w:tcPr>
          <w:p>
            <w:pPr>
              <w:spacing w:after="0" w:line="135" w:lineRule="exact"/>
              <w:rPr>
                <w:sz w:val="20"/>
                <w:szCs w:val="20"/>
                <w:color w:val="auto"/>
              </w:rPr>
            </w:pPr>
            <w:r>
              <w:rPr>
                <w:rFonts w:ascii="Arial" w:cs="Arial" w:eastAsia="Arial" w:hAnsi="Arial"/>
                <w:sz w:val="13"/>
                <w:szCs w:val="13"/>
                <w:color w:val="auto"/>
              </w:rPr>
              <w:t>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30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300" w:type="dxa"/>
            <w:vAlign w:val="bottom"/>
          </w:tcPr>
          <w:p>
            <w:pPr>
              <w:spacing w:after="0" w:line="135" w:lineRule="exact"/>
              <w:rPr>
                <w:sz w:val="20"/>
                <w:szCs w:val="20"/>
                <w:color w:val="auto"/>
              </w:rPr>
            </w:pPr>
            <w:r>
              <w:rPr>
                <w:rFonts w:ascii="Arial" w:cs="Arial" w:eastAsia="Arial" w:hAnsi="Arial"/>
                <w:sz w:val="13"/>
                <w:szCs w:val="13"/>
                <w:color w:val="auto"/>
              </w:rPr>
              <w:t>of issuance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300" w:type="dxa"/>
            <w:vAlign w:val="bottom"/>
          </w:tcPr>
          <w:p>
            <w:pPr>
              <w:ind w:left="100"/>
              <w:spacing w:after="0"/>
              <w:rPr>
                <w:sz w:val="20"/>
                <w:szCs w:val="20"/>
                <w:color w:val="auto"/>
              </w:rPr>
            </w:pPr>
            <w:r>
              <w:rPr>
                <w:rFonts w:ascii="Arial" w:cs="Arial" w:eastAsia="Arial" w:hAnsi="Arial"/>
                <w:sz w:val="13"/>
                <w:szCs w:val="13"/>
                <w:color w:val="auto"/>
              </w:rPr>
              <w:t>costs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w w:val="98"/>
              </w:rPr>
              <w:t>26,360,745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w w:val="95"/>
              </w:rPr>
              <w:t>47,947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34"/>
        </w:trPr>
        <w:tc>
          <w:tcPr>
            <w:tcW w:w="1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Vesting of founders’</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common</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stock and restricted</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300" w:type="dxa"/>
            <w:vAlign w:val="bottom"/>
            <w:shd w:val="clear" w:color="auto" w:fill="CFF0FC"/>
          </w:tcPr>
          <w:p>
            <w:pPr>
              <w:spacing w:after="0"/>
              <w:rPr>
                <w:sz w:val="20"/>
                <w:szCs w:val="20"/>
                <w:color w:val="auto"/>
              </w:rPr>
            </w:pPr>
            <w:r>
              <w:rPr>
                <w:rFonts w:ascii="Arial" w:cs="Arial" w:eastAsia="Arial" w:hAnsi="Arial"/>
                <w:sz w:val="13"/>
                <w:szCs w:val="13"/>
                <w:color w:val="auto"/>
              </w:rPr>
              <w:t>stock awards</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440,964</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w:t>
            </w:r>
          </w:p>
        </w:tc>
      </w:tr>
      <w:tr>
        <w:trPr>
          <w:trHeight w:val="148"/>
        </w:trPr>
        <w:tc>
          <w:tcPr>
            <w:tcW w:w="1300" w:type="dxa"/>
            <w:vAlign w:val="bottom"/>
          </w:tcPr>
          <w:p>
            <w:pPr>
              <w:spacing w:after="0"/>
              <w:rPr>
                <w:sz w:val="20"/>
                <w:szCs w:val="20"/>
                <w:color w:val="auto"/>
              </w:rPr>
            </w:pPr>
            <w:r>
              <w:rPr>
                <w:rFonts w:ascii="Arial" w:cs="Arial" w:eastAsia="Arial" w:hAnsi="Arial"/>
                <w:sz w:val="13"/>
                <w:szCs w:val="13"/>
                <w:color w:val="auto"/>
              </w:rPr>
              <w:t>Option exercises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42,060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174</w:t>
            </w:r>
          </w:p>
        </w:tc>
      </w:tr>
      <w:tr>
        <w:trPr>
          <w:trHeight w:val="134"/>
        </w:trPr>
        <w:tc>
          <w:tcPr>
            <w:tcW w:w="1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Accretion to</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redemption value</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and cumulative</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dividends on</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redeemable</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convertible</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3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preferred stock</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952</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5,273</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(4,194)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(6,225)</w:t>
            </w:r>
          </w:p>
        </w:tc>
      </w:tr>
      <w:tr>
        <w:trPr>
          <w:trHeight w:val="134"/>
        </w:trPr>
        <w:tc>
          <w:tcPr>
            <w:tcW w:w="1300" w:type="dxa"/>
            <w:vAlign w:val="bottom"/>
          </w:tcPr>
          <w:p>
            <w:pPr>
              <w:spacing w:after="0" w:line="134" w:lineRule="exact"/>
              <w:rPr>
                <w:sz w:val="20"/>
                <w:szCs w:val="20"/>
                <w:color w:val="auto"/>
              </w:rPr>
            </w:pPr>
            <w:r>
              <w:rPr>
                <w:rFonts w:ascii="Arial" w:cs="Arial" w:eastAsia="Arial" w:hAnsi="Arial"/>
                <w:sz w:val="13"/>
                <w:szCs w:val="13"/>
                <w:color w:val="auto"/>
              </w:rPr>
              <w:t>Stock-based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300" w:type="dxa"/>
            <w:vAlign w:val="bottom"/>
          </w:tcPr>
          <w:p>
            <w:pPr>
              <w:spacing w:after="0"/>
              <w:rPr>
                <w:sz w:val="20"/>
                <w:szCs w:val="20"/>
                <w:color w:val="auto"/>
              </w:rPr>
            </w:pPr>
            <w:r>
              <w:rPr>
                <w:rFonts w:ascii="Arial" w:cs="Arial" w:eastAsia="Arial" w:hAnsi="Arial"/>
                <w:sz w:val="13"/>
                <w:szCs w:val="13"/>
                <w:color w:val="auto"/>
                <w:w w:val="95"/>
              </w:rPr>
              <w:t>compensation expense</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1,829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1,829</w:t>
            </w:r>
          </w:p>
        </w:tc>
      </w:tr>
      <w:tr>
        <w:trPr>
          <w:trHeight w:val="134"/>
        </w:trPr>
        <w:tc>
          <w:tcPr>
            <w:tcW w:w="1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Net unrealized loss on</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short-</w:t>
            </w: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9"/>
        </w:trPr>
        <w:tc>
          <w:tcPr>
            <w:tcW w:w="13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term investments</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1300" w:type="dxa"/>
            <w:vAlign w:val="bottom"/>
          </w:tcPr>
          <w:p>
            <w:pPr>
              <w:spacing w:after="0"/>
              <w:rPr>
                <w:sz w:val="20"/>
                <w:szCs w:val="20"/>
                <w:color w:val="auto"/>
              </w:rPr>
            </w:pPr>
            <w:r>
              <w:rPr>
                <w:rFonts w:ascii="Arial" w:cs="Arial" w:eastAsia="Arial" w:hAnsi="Arial"/>
                <w:sz w:val="13"/>
                <w:szCs w:val="13"/>
                <w:color w:val="auto"/>
              </w:rPr>
              <w:t>Net loss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(631)</w:t>
            </w:r>
          </w:p>
        </w:tc>
      </w:tr>
      <w:tr>
        <w:trPr>
          <w:trHeight w:val="124"/>
        </w:trPr>
        <w:tc>
          <w:tcPr>
            <w:tcW w:w="13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7"/>
              </w:rPr>
              <w:t>Balance at December</w:t>
            </w: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r>
      <w:tr>
        <w:trPr>
          <w:trHeight w:val="153"/>
        </w:trPr>
        <w:tc>
          <w:tcPr>
            <w:tcW w:w="13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31, 2019</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8"/>
              </w:rPr>
              <w:t>56,000,000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5"/>
              </w:rPr>
              <w:t>62,468</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8"/>
              </w:rPr>
              <w:t>49,501,221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5"/>
              </w:rPr>
              <w:t>75,860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8"/>
              </w:rPr>
              <w:t>26,360,745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95"/>
              </w:rPr>
              <w:t>47,947</w:t>
            </w:r>
          </w:p>
        </w:tc>
        <w:tc>
          <w:tcPr>
            <w:tcW w:w="1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1,846,024</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(76,295)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(76,295)</w:t>
            </w:r>
          </w:p>
        </w:tc>
      </w:tr>
      <w:tr>
        <w:trPr>
          <w:trHeight w:val="20"/>
        </w:trPr>
        <w:tc>
          <w:tcPr>
            <w:tcW w:w="1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1,113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3,895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1,829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losses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Tax credit receivable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167</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2,689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4,255</w:t>
            </w: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rent and other long-term liabilities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w:t>
            </w: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(322,605)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Accretion on short-term investments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Maturity of short-term investments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113,271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35,000</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(210,866)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(17,931)</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initial public offering, net of</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150,751</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upon completion of private placement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 C preferred stock, net of issuance costs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52,019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47,947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deferred offering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213,212</w:t>
            </w:r>
          </w:p>
        </w:tc>
        <w:tc>
          <w:tcPr>
            <w:tcW w:w="1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45,539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24,858</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85,807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60,949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50,882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85,807</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159</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Reclassification of restricted stock awards from liabilities to common stock upon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vesting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30</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to redemption value and dividends on redeemable convertible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6,225</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230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on short-term investments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6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Pliant Therapeutics, Inc. (the “Company”)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5" w:lineRule="exact"/>
        <w:rPr>
          <w:sz w:val="20"/>
          <w:szCs w:val="20"/>
          <w:color w:val="auto"/>
        </w:rPr>
      </w:pPr>
    </w:p>
    <w:p>
      <w:pPr>
        <w:ind w:right="40" w:firstLine="501"/>
        <w:spacing w:after="0" w:line="272" w:lineRule="auto"/>
        <w:rPr>
          <w:sz w:val="20"/>
          <w:szCs w:val="20"/>
          <w:color w:val="auto"/>
        </w:rPr>
      </w:pPr>
      <w:r>
        <w:rPr>
          <w:rFonts w:ascii="Arial" w:cs="Arial" w:eastAsia="Arial" w:hAnsi="Arial"/>
          <w:sz w:val="17"/>
          <w:szCs w:val="17"/>
          <w:color w:val="auto"/>
        </w:rPr>
        <w:t>In May 2020, the Company implemented a 1-for-7.15 reverse stock split of the Company’s common stock. Stockholders entitled to fractional shares as a result of the reverse stock split received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Convertible Preferred Stock were proportionately reduced and the respective conversion prices were proportionately increased. As of June 3, 2020, all outstanding preferred stock have been converted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8" w:lineRule="exact"/>
        <w:rPr>
          <w:sz w:val="20"/>
          <w:szCs w:val="20"/>
          <w:color w:val="auto"/>
        </w:rPr>
      </w:pPr>
    </w:p>
    <w:p>
      <w:pPr>
        <w:ind w:right="60" w:firstLine="501"/>
        <w:spacing w:after="0" w:line="289" w:lineRule="auto"/>
        <w:rPr>
          <w:sz w:val="20"/>
          <w:szCs w:val="20"/>
          <w:color w:val="auto"/>
        </w:rPr>
      </w:pPr>
      <w:r>
        <w:rPr>
          <w:rFonts w:ascii="Arial" w:cs="Arial" w:eastAsia="Arial" w:hAnsi="Arial"/>
          <w:sz w:val="16"/>
          <w:szCs w:val="16"/>
          <w:color w:val="auto"/>
        </w:rPr>
        <w:t>In June 2020, the Company completed its initial public offering (“IPO”), in which the Company issued and sold an aggregate of 10,350,000 shares of common stock, which included 9,000,000 shares of common stock and 1,350,000 shares of common stock sold pursuant to the underwriters’ exercise of their option to purchase additional shares, at a public offering price of $16.00 per share. The aggregate net proceeds received by the Company from the offering were $148.3 million, net of underwriting discounts, commissions and offering expenses of $5.7 million, of which $2.6 million were paid in 2019 and $3.1 million paid in the current year.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 Concurrent with the completion of the IPO, the Company also issued 625,000 shares of its common stock to Novartis (“Novartis”), a strategic partner and existing stockholder of the Company, in a private placement at a price of $16.00 per share for proceeds of $10.0 million, which resulted in Novartis owning approximately 6.1% of the Company’s outstanding shares of common stock (Note 6).</w:t>
      </w:r>
    </w:p>
    <w:p>
      <w:pPr>
        <w:spacing w:after="0" w:line="216"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Basis of Presentation</w:t>
      </w:r>
    </w:p>
    <w:p>
      <w:pPr>
        <w:spacing w:after="0" w:line="185" w:lineRule="exact"/>
        <w:rPr>
          <w:sz w:val="20"/>
          <w:szCs w:val="20"/>
          <w:color w:val="auto"/>
        </w:rPr>
      </w:pPr>
    </w:p>
    <w:p>
      <w:pPr>
        <w:ind w:right="380" w:firstLine="501"/>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useful lives assigned to property and equipment, the fair values of common and redeemable convertible preferred stock, stock-based compensation expense, accruals for research and development costs, income taxes and uncertain tax positions. The Company assesses estimates on an ongoing basis; however, actual results could materially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 xml:space="preserve">Effective January 1, 2018 the Company adopted the provision of Accounting Standards Update or ASU, ASU 2014-09,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(“Topic 606”) </w:t>
      </w:r>
      <w:r>
        <w:rPr>
          <w:rFonts w:ascii="Arial" w:cs="Arial" w:eastAsia="Arial" w:hAnsi="Arial"/>
          <w:sz w:val="18"/>
          <w:szCs w:val="18"/>
          <w:color w:val="auto"/>
        </w:rPr>
        <w:t>using the full retrospective transition method. ASU 2014-09 provides a single, comprehensive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model for all contracts with customers. This standard contains principles for the determination of the measurement of revenue and the timing of when such revenue is recognized. Revenue recognition will reflect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p>
      <w:pPr>
        <w:spacing w:after="0" w:line="291" w:lineRule="auto"/>
        <w:rPr>
          <w:sz w:val="20"/>
          <w:szCs w:val="20"/>
          <w:color w:val="auto"/>
        </w:rPr>
      </w:pPr>
      <w:r>
        <w:rPr>
          <w:rFonts w:ascii="Arial" w:cs="Arial" w:eastAsia="Arial" w:hAnsi="Arial"/>
          <w:sz w:val="16"/>
          <w:szCs w:val="16"/>
          <w:color w:val="auto"/>
        </w:rPr>
        <w:t xml:space="preserve">transfer of goods or services to customers at an amount that is expected to be earned in exchange for those goods or services. Subsequently, the FASB has issued the following guidance to amend ASU 2014-09: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ASU 2016-08, </w:t>
      </w:r>
      <w:r>
        <w:rPr>
          <w:rFonts w:ascii="Arial" w:cs="Arial" w:eastAsia="Arial" w:hAnsi="Arial"/>
          <w:sz w:val="16"/>
          <w:szCs w:val="16"/>
          <w:i w:val="1"/>
          <w:iCs w:val="1"/>
          <w:color w:val="auto"/>
        </w:rPr>
        <w:t>Revenue from Contracts with Customers (Topic 606): Principal versus Agent Considerations (Reporting Revenue Gross versus Net)</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ASU 2016-12,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Narrow-Scope Improvements and Practical Expedients</w:t>
      </w:r>
      <w:r>
        <w:rPr>
          <w:rFonts w:ascii="Arial" w:cs="Arial" w:eastAsia="Arial" w:hAnsi="Arial"/>
          <w:sz w:val="16"/>
          <w:szCs w:val="16"/>
          <w:color w:val="auto"/>
        </w:rPr>
        <w:t>; and ASU 2016-20,</w:t>
      </w:r>
      <w:r>
        <w:rPr>
          <w:rFonts w:ascii="Arial" w:cs="Arial" w:eastAsia="Arial" w:hAnsi="Arial"/>
          <w:sz w:val="16"/>
          <w:szCs w:val="16"/>
          <w:i w:val="1"/>
          <w:iCs w:val="1"/>
          <w:color w:val="auto"/>
        </w:rPr>
        <w:t xml:space="preserve"> Technical Corrections and Improvements to Topic 606</w:t>
      </w:r>
      <w:r>
        <w:rPr>
          <w:rFonts w:ascii="Arial" w:cs="Arial" w:eastAsia="Arial" w:hAnsi="Arial"/>
          <w:sz w:val="16"/>
          <w:szCs w:val="16"/>
          <w:color w:val="auto"/>
        </w:rPr>
        <w:t>, which clarifies narrow aspects of Topic 606 or corrects unintended application of the guidance. The Company must adopt ASU 2015-14, ASU 2016-08, ASU 2016-10, ASU 2016-12, and ASU 2016-20 with ASU 2014-09, which are referred to collectively as the “Topic 606”.</w:t>
      </w:r>
    </w:p>
    <w:p>
      <w:pPr>
        <w:spacing w:after="0" w:line="139"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 xml:space="preserve">The FASB issued ASU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issued in November 2018. The Company assessed and concluded that they are not under Topic 808 and as the Novartis Agreement is not considered a collaboration under its provisions.</w:t>
      </w:r>
    </w:p>
    <w:p>
      <w:pPr>
        <w:spacing w:after="0" w:line="130"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The Company’s revenue is generated solely from the Collaboration and License Agreement with Novartis (the “Novartis Agreement”). The Company’s licensing agreement includes upfront signing fees, cost reimbursements, research and development services, milestone payments and royalties on future licensee’s product sales. The Company has both fixed and variable consideration. Non-refundable upfront fees are considered fixed, while funding of research and development activities and milestone payments are identified as variable consideration. A contract liability is an obligation to transfer goods or services for which the Company has received consideration, or for which an amount of consideration is due from the customer. A contract asset is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Receivables cannot be netted against contract liabilities and are presented separately from contract assets. Contract assets and contract liabilities are netted at the contract level and are then aggregated and presented separately each reporting period.</w:t>
      </w:r>
    </w:p>
    <w:p>
      <w:pPr>
        <w:spacing w:after="0" w:line="145"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In determining the appropriate amount of revenue to be recognized as the Company fulfills its obligations under its agreements, the Company performs the following steps: (i) identification of the contract with a customer; (ii) identification of the performance obligations in the contract; (iii) determination of the transaction price; (iv) allocation of the transaction price to the performance obligations in the contract; and (v) recognition of revenue when (or as) we satisfy each performance obligation.</w:t>
      </w:r>
    </w:p>
    <w:p>
      <w:pPr>
        <w:spacing w:after="0" w:line="160" w:lineRule="exact"/>
        <w:rPr>
          <w:sz w:val="20"/>
          <w:szCs w:val="20"/>
          <w:color w:val="auto"/>
        </w:rPr>
      </w:pPr>
    </w:p>
    <w:p>
      <w:pPr>
        <w:ind w:right="20" w:firstLine="501"/>
        <w:spacing w:after="0" w:line="285"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The Company’s performance obligations include providing the worldwide license rights to compound PLN-1474, provide research and development services for PLN-1474 through Phase 1 of its development, achieving certain development or regulatory milestones and provide research and development services on initial candidate targets, which services are combined with a non-exclusive license to the initial candidate targets. The Company concluded that the worldwide license was distinct because the customer can benefit from the license on its own or together with other resources that are readily available, and the research and development services are not transformative in nature. The Company concluded the research and development services on initial candidate targets were not distinct from a non-exclusive license for the initial candidate targets, primarily as a result of (i) Pliant being unable to benefit on its own or together with other resources that are readily available as the license and (ii) the research and development services, including manufacturing in support of such services, were expected to significantly modify the initial license. Therefore, the promised goods and services were considered a single performance obligation. Significant management judgment is required in the identification of performance obligations and to determine the level of effort required under an arrangement and the period over which the Company expects to complete our performance obligations under the arrangement. If the Company cannot reasonably estimate when the performance obligations either are completed or become inconsequential, then revenue recognition is deferred until the Company can reasonably make such estimates. The Company estimates the transaction price and records revenue in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adjusts its estimate of the overall transaction price. Revenue is then recognized over the remaining estimated period of performance using the cumulative catch-up method. The estimated period of performance and project costs are reviewed quarterly and adjusted, as needed, to reflect the Company’s current assumptions regarding the timing of our deliverables.</w:t>
      </w:r>
    </w:p>
    <w:p>
      <w:pPr>
        <w:spacing w:after="0" w:line="133" w:lineRule="exact"/>
        <w:rPr>
          <w:sz w:val="20"/>
          <w:szCs w:val="20"/>
          <w:color w:val="auto"/>
        </w:rPr>
      </w:pPr>
    </w:p>
    <w:p>
      <w:pPr>
        <w:ind w:right="20" w:firstLine="494"/>
        <w:spacing w:after="0" w:line="255" w:lineRule="auto"/>
        <w:rPr>
          <w:sz w:val="20"/>
          <w:szCs w:val="20"/>
          <w:color w:val="auto"/>
        </w:rPr>
      </w:pPr>
      <w:r>
        <w:rPr>
          <w:rFonts w:ascii="Arial" w:cs="Arial" w:eastAsia="Arial" w:hAnsi="Arial"/>
          <w:sz w:val="18"/>
          <w:szCs w:val="18"/>
          <w:color w:val="auto"/>
        </w:rPr>
        <w:t>As part of the accounting for these arrangements, the Company must develop assumptions that require judgment to determine the stand-alone selling price of each performance obligation identified in the contract. The Company has never sold the performance obligations separately; therefore, an observable stand-alone selling price does not exist. Accordingly, the Company estimates a stand-alone selling price through maximizing the use of observable inputs such as market data, project cost estimates, and targeted margins. The Company determined that each of the performance obligations is priced and delivered at the stand-alone selling price. Therefore, no reallocations are needed since there is no material right and the license and services are provided at the stand-alone selling price.</w:t>
      </w:r>
    </w:p>
    <w:p>
      <w:pPr>
        <w:spacing w:after="0" w:line="152" w:lineRule="exact"/>
        <w:rPr>
          <w:sz w:val="20"/>
          <w:szCs w:val="20"/>
          <w:color w:val="auto"/>
        </w:rPr>
      </w:pPr>
    </w:p>
    <w:p>
      <w:pPr>
        <w:ind w:right="480" w:firstLine="501"/>
        <w:spacing w:after="0" w:line="277" w:lineRule="auto"/>
        <w:rPr>
          <w:sz w:val="20"/>
          <w:szCs w:val="20"/>
          <w:color w:val="auto"/>
        </w:rPr>
      </w:pPr>
      <w:r>
        <w:rPr>
          <w:rFonts w:ascii="Arial" w:cs="Arial" w:eastAsia="Arial" w:hAnsi="Arial"/>
          <w:sz w:val="18"/>
          <w:szCs w:val="18"/>
          <w:color w:val="auto"/>
        </w:rPr>
        <w:t>During the years ended December 31, 2020 and 2019, the entirety of the Company’s revenue—related party is related to the Collaboration and License Agreement with Novartis. The Company did not have any prior revenue agreements and did not recognize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3" w:name="page124"/>
    <w:bookmarkEnd w:id="123"/>
    <w:p>
      <w:pPr>
        <w:ind w:right="240"/>
        <w:spacing w:after="0" w:line="259" w:lineRule="auto"/>
        <w:rPr>
          <w:sz w:val="20"/>
          <w:szCs w:val="20"/>
          <w:color w:val="auto"/>
        </w:rPr>
      </w:pPr>
      <w:r>
        <w:rPr>
          <w:rFonts w:ascii="Arial" w:cs="Arial" w:eastAsia="Arial" w:hAnsi="Arial"/>
          <w:sz w:val="18"/>
          <w:szCs w:val="18"/>
          <w:color w:val="auto"/>
        </w:rPr>
        <w:t>revenue prior to 2019. Receivables from collaborations are typically unsecured and are concentrated in the biopharmaceutical industry. Accordingly, the Company may be exposed to credit risk generally associated with biopharmaceutical companies or specific to the Novartis Agreement. An allowance on the receivables will be recorded if circumstances indicate collection is doubtful for a particular receivables balance. To date, the Company has not experienced any losses related to these receivables.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short-term investments, tax credit receivable, accounts receivable, prepaid expenses and other current assets, accounts payable and accrued liabilities approximate fair value due to their short-term maturities.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short-term investments and accounts receivable. The Company invests in money market funds, treasury bill and notes, government notes and corporate debt securities. The Company limits its credit risk associated with its cash and cash equivalents by placing them with banks and institutions it believes are highly credit worthy and in highly rated investments. However, the Company had deposits in excess of the Federal Deposit Insurance Corporation (“FDIC”) insured limit of $250,000. The Company performs credit evaluations of its customer, and the risk with respect to accounts receivable is further mitigated by the short duration of customer payment terms, generally within 60 days, and the pedigree of the customer base. During the year ended December 31, 2020, Novartis accounted for 100% of the Company’s revenue—related party and accounts receivable.</w:t>
      </w:r>
    </w:p>
    <w:p>
      <w:pPr>
        <w:spacing w:after="0" w:line="137" w:lineRule="exact"/>
        <w:rPr>
          <w:sz w:val="20"/>
          <w:szCs w:val="20"/>
          <w:color w:val="auto"/>
        </w:rPr>
      </w:pPr>
    </w:p>
    <w:p>
      <w:pPr>
        <w:ind w:right="220" w:firstLine="501"/>
        <w:spacing w:after="0" w:line="275" w:lineRule="auto"/>
        <w:rPr>
          <w:sz w:val="20"/>
          <w:szCs w:val="20"/>
          <w:color w:val="auto"/>
        </w:rPr>
      </w:pPr>
      <w:r>
        <w:rPr>
          <w:rFonts w:ascii="Arial" w:cs="Arial" w:eastAsia="Arial" w:hAnsi="Arial"/>
          <w:sz w:val="17"/>
          <w:szCs w:val="17"/>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36"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jc w:val="both"/>
        <w:ind w:right="20" w:firstLine="501"/>
        <w:spacing w:after="0" w:line="311" w:lineRule="auto"/>
        <w:rPr>
          <w:sz w:val="20"/>
          <w:szCs w:val="20"/>
          <w:color w:val="auto"/>
        </w:rPr>
      </w:pPr>
      <w:r>
        <w:rPr>
          <w:rFonts w:ascii="Arial" w:cs="Arial" w:eastAsia="Arial" w:hAnsi="Arial"/>
          <w:sz w:val="16"/>
          <w:szCs w:val="16"/>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right="180" w:firstLine="501"/>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United States (“U.S.”) treasury securities, U.S. government agency securities and corporate debt securities and are stated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85"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December 31, 2020 and 2019, all of the Company’s short-term investments were classified as available-for-sale and were carried at fair market value with unrealized losses or income recorded in other comprehensive loss in the statements of operations and comprehensive loss. See Note 3 for further details.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24" w:name="page125"/>
    <w:bookmarkEnd w:id="124"/>
    <w:p>
      <w:pPr>
        <w:ind w:right="80" w:firstLine="501"/>
        <w:spacing w:after="0" w:line="272" w:lineRule="auto"/>
        <w:rPr>
          <w:sz w:val="20"/>
          <w:szCs w:val="20"/>
          <w:color w:val="auto"/>
        </w:rPr>
      </w:pPr>
      <w:r>
        <w:rPr>
          <w:rFonts w:ascii="Arial" w:cs="Arial" w:eastAsia="Arial" w:hAnsi="Arial"/>
          <w:sz w:val="17"/>
          <w:szCs w:val="17"/>
          <w:color w:val="auto"/>
        </w:rPr>
        <w:t>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 Once a decline in fair value is determined to be other-than-temporary, an impairment charge will be recorded to other expense, net, in the statements of operations and comprehensive loss and a new cost basis in the short-term investment will be established. As of December 31, 2020, the Company had not recorded any impairment related to other-than-temporary declines in the fair value of short-term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280" w:firstLine="501"/>
        <w:spacing w:after="0" w:line="308" w:lineRule="auto"/>
        <w:rPr>
          <w:sz w:val="20"/>
          <w:szCs w:val="20"/>
          <w:color w:val="auto"/>
        </w:rPr>
      </w:pPr>
      <w:r>
        <w:rPr>
          <w:rFonts w:ascii="Arial" w:cs="Arial" w:eastAsia="Arial" w:hAnsi="Arial"/>
          <w:sz w:val="17"/>
          <w:szCs w:val="17"/>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7400" w:type="dxa"/>
            <w:vAlign w:val="bottom"/>
            <w:shd w:val="clear" w:color="auto" w:fill="CFF0FC"/>
          </w:tcPr>
          <w:p>
            <w:pPr>
              <w:ind w:left="1360"/>
              <w:spacing w:after="0"/>
              <w:rPr>
                <w:sz w:val="20"/>
                <w:szCs w:val="20"/>
                <w:color w:val="auto"/>
              </w:rPr>
            </w:pPr>
            <w:r>
              <w:rPr>
                <w:rFonts w:ascii="Arial" w:cs="Arial" w:eastAsia="Arial" w:hAnsi="Arial"/>
                <w:sz w:val="18"/>
                <w:szCs w:val="18"/>
                <w:color w:val="auto"/>
              </w:rPr>
              <w:t>5 years</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400" w:type="dxa"/>
            <w:vAlign w:val="bottom"/>
          </w:tcPr>
          <w:p>
            <w:pPr>
              <w:ind w:left="1360"/>
              <w:spacing w:after="0"/>
              <w:rPr>
                <w:sz w:val="20"/>
                <w:szCs w:val="20"/>
                <w:color w:val="auto"/>
              </w:rPr>
            </w:pPr>
            <w:r>
              <w:rPr>
                <w:rFonts w:ascii="Arial" w:cs="Arial" w:eastAsia="Arial" w:hAnsi="Arial"/>
                <w:sz w:val="18"/>
                <w:szCs w:val="18"/>
                <w:color w:val="auto"/>
              </w:rPr>
              <w:t>3 years</w:t>
            </w: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7400" w:type="dxa"/>
            <w:vAlign w:val="bottom"/>
            <w:shd w:val="clear" w:color="auto" w:fill="CFF0FC"/>
          </w:tcPr>
          <w:p>
            <w:pPr>
              <w:ind w:left="1360"/>
              <w:spacing w:after="0"/>
              <w:rPr>
                <w:sz w:val="20"/>
                <w:szCs w:val="20"/>
                <w:color w:val="auto"/>
              </w:rPr>
            </w:pPr>
            <w:r>
              <w:rPr>
                <w:rFonts w:ascii="Arial" w:cs="Arial" w:eastAsia="Arial" w:hAnsi="Arial"/>
                <w:sz w:val="18"/>
                <w:szCs w:val="18"/>
                <w:color w:val="auto"/>
              </w:rPr>
              <w:t>Shorter of remaining lease term or estimated useful life</w:t>
            </w:r>
          </w:p>
        </w:tc>
      </w:tr>
    </w:tbl>
    <w:p>
      <w:pPr>
        <w:spacing w:after="0" w:line="202" w:lineRule="exact"/>
        <w:rPr>
          <w:sz w:val="20"/>
          <w:szCs w:val="20"/>
          <w:color w:val="auto"/>
        </w:rPr>
      </w:pPr>
    </w:p>
    <w:p>
      <w:pPr>
        <w:ind w:right="220" w:firstLine="501"/>
        <w:spacing w:after="0" w:line="342" w:lineRule="auto"/>
        <w:rPr>
          <w:sz w:val="20"/>
          <w:szCs w:val="20"/>
          <w:color w:val="auto"/>
        </w:rPr>
      </w:pPr>
      <w:r>
        <w:rPr>
          <w:rFonts w:ascii="Arial" w:cs="Arial" w:eastAsia="Arial" w:hAnsi="Arial"/>
          <w:sz w:val="16"/>
          <w:szCs w:val="16"/>
          <w:color w:val="auto"/>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8"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2020 and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85"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All preferred stock was automatically converted into common stock upon the Company’s IPO in June 2020. Prior to this conversion, the Company classified redeemable convertible preferred stock outside of stockholders’ equity (deficit) because, upon the occurrence of certain change in control events that were outside the Company’s control, including liquidation, sale or transfer of the Company’s assets, holders of the redeemable convertible preferred stock could have caused redemption for cash. At any time on or after December 19, 2024, the holders of a majority of the outstanding redeemable convertible preferred stock could also have required the Company to redeem the redeemable convertible preferred stock by providing the Company a written notice requesting such redemption. The Company recognized changes in the redemption value immediately as they occurred, for example changes in fair value of preferred stock, and adjustments in the carrying amount of the redeemable convertible preferred stock to equal the redemption value at the end of each reporting period up through December 19, 2019, when the Company entered into the Series C Preferred Stock Purchase Agreement. See Note 9 for further details. In the absence of retained earnings these accretion charges were recorded against additional paid in capital, if any, and then to accumulated deficit. The Company analyzed all embedded derivatives and beneficial conversion features for its redeemable convertible preferred stock and concluded that none required bifurcation.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480" w:firstLine="501"/>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primarily of personnel costs for the Company’s research and product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w:t>
      </w:r>
    </w:p>
    <w:p>
      <w:pPr>
        <w:spacing w:after="0" w:line="146" w:lineRule="exact"/>
        <w:rPr>
          <w:sz w:val="20"/>
          <w:szCs w:val="20"/>
          <w:color w:val="auto"/>
        </w:rPr>
      </w:pPr>
    </w:p>
    <w:p>
      <w:pPr>
        <w:ind w:right="60" w:firstLine="501"/>
        <w:spacing w:after="0" w:line="273" w:lineRule="auto"/>
        <w:rPr>
          <w:sz w:val="20"/>
          <w:szCs w:val="20"/>
          <w:color w:val="auto"/>
        </w:rPr>
      </w:pPr>
      <w:r>
        <w:rPr>
          <w:rFonts w:ascii="Arial" w:cs="Arial" w:eastAsia="Arial" w:hAnsi="Arial"/>
          <w:sz w:val="17"/>
          <w:szCs w:val="17"/>
          <w:color w:val="auto"/>
        </w:rPr>
        <w:t>The Company estimates preclinical and clinical studies and research expenses based on the services performed, pursuant to contracts with research institutions that conduct and manage preclinical and clinical studies and research services on its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as services are rendered.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5" w:name="page126"/>
    <w:bookmarkEnd w:id="125"/>
    <w:p>
      <w:pPr>
        <w:ind w:right="20" w:firstLine="501"/>
        <w:spacing w:after="0" w:line="277"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Receivable</w:t>
      </w:r>
    </w:p>
    <w:p>
      <w:pPr>
        <w:spacing w:after="0" w:line="185" w:lineRule="exact"/>
        <w:rPr>
          <w:sz w:val="20"/>
          <w:szCs w:val="20"/>
          <w:color w:val="auto"/>
        </w:rPr>
      </w:pPr>
    </w:p>
    <w:p>
      <w:pPr>
        <w:ind w:right="40" w:firstLine="501"/>
        <w:spacing w:after="0" w:line="255" w:lineRule="auto"/>
        <w:rPr>
          <w:sz w:val="20"/>
          <w:szCs w:val="20"/>
          <w:color w:val="auto"/>
        </w:rPr>
      </w:pPr>
      <w:r>
        <w:rPr>
          <w:rFonts w:ascii="Arial" w:cs="Arial" w:eastAsia="Arial" w:hAnsi="Arial"/>
          <w:sz w:val="18"/>
          <w:szCs w:val="18"/>
          <w:color w:val="auto"/>
        </w:rPr>
        <w:t>The Company was eligible for federal and California research and development credits for its research and development activities performed within the United States and California, respectively. The Company was eligible to apply up to $250,000 of the federal R&amp;D credits to offset the Federal Insurance Contribution Act (“FICA”) portion of its payroll taxes each year prior to fiscal year 2019. Starting in the fourth quarter of 2019, the Company was no longer eligible to apply its federal R&amp;D credits to offset its FICA taxes as it generated revenue in excess of $5 million of gross receipts during that year. The Company, however, is still eligible for future federal and California research and development credits for its research and development activities performed within the United States and California.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The Company’s stock-based equity awards include restricted stock awards, stock options and shares that will be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Black-Scholes option-pricing model, used to estimate fair value of stock-based awards, requires the use of the following assumptions:</w:t>
      </w:r>
    </w:p>
    <w:p>
      <w:pPr>
        <w:spacing w:after="0" w:line="196" w:lineRule="exact"/>
        <w:rPr>
          <w:sz w:val="20"/>
          <w:szCs w:val="20"/>
          <w:color w:val="auto"/>
        </w:rPr>
      </w:pPr>
    </w:p>
    <w:p>
      <w:pPr>
        <w:ind w:left="1000" w:right="80" w:hanging="493"/>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options was calculated based on the weighted-average vesting term of the awards and the contract period, or simplified method. The expected term for the ESPP is the offering period.</w:t>
      </w:r>
    </w:p>
    <w:p>
      <w:pPr>
        <w:spacing w:after="0" w:line="143" w:lineRule="exact"/>
        <w:rPr>
          <w:rFonts w:ascii="Arial" w:cs="Arial" w:eastAsia="Arial" w:hAnsi="Arial"/>
          <w:sz w:val="18"/>
          <w:szCs w:val="18"/>
          <w:color w:val="auto"/>
        </w:rPr>
      </w:pPr>
    </w:p>
    <w:p>
      <w:pPr>
        <w:ind w:left="1000" w:right="140" w:hanging="493"/>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—Prior to the Company being public, the Company did not have any trading history for its common stock,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we will continue to apply this process for stock options and ESPP awards until enough historical information regarding the volatility of its stock price becomes available.</w:t>
      </w:r>
    </w:p>
    <w:p>
      <w:pPr>
        <w:spacing w:after="0" w:line="135"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129"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the common stock and has no plans to pay dividends on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used an expected dividend yield of zero.</w:t>
      </w:r>
    </w:p>
    <w:p>
      <w:pPr>
        <w:spacing w:after="0" w:line="130" w:lineRule="exact"/>
        <w:rPr>
          <w:sz w:val="20"/>
          <w:szCs w:val="20"/>
          <w:color w:val="auto"/>
        </w:rPr>
      </w:pPr>
    </w:p>
    <w:p>
      <w:pPr>
        <w:ind w:right="60" w:firstLine="501"/>
        <w:spacing w:after="0" w:line="293" w:lineRule="auto"/>
        <w:rPr>
          <w:sz w:val="20"/>
          <w:szCs w:val="20"/>
          <w:color w:val="auto"/>
        </w:rPr>
      </w:pPr>
      <w:r>
        <w:rPr>
          <w:rFonts w:ascii="Arial" w:cs="Arial" w:eastAsia="Arial" w:hAnsi="Arial"/>
          <w:sz w:val="16"/>
          <w:szCs w:val="16"/>
          <w:color w:val="auto"/>
        </w:rPr>
        <w:t xml:space="preserve">Prior to our IPO, the fair value of our common stock has been determined using independent third-party valuations based on relevant valuation methodologies as outlined in the American Institute of Certified Public Accountants (AICPA) Practice Aid,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The Company also considered the amount of time between the independent third-party valuation dates and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dates and used interpolation of the fair value between the two valuation dates to estimate common stock fair value at each grant date. This determination included an evaluation of whether the subsequent valuation indicated that any significant change in valuation had occurred between the previous valuation and the grant date. Following our IPO, we use our stock price traded on NASDAQ to determine its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85" w:lineRule="exact"/>
        <w:rPr>
          <w:sz w:val="20"/>
          <w:szCs w:val="20"/>
          <w:color w:val="auto"/>
        </w:rPr>
      </w:pPr>
    </w:p>
    <w:p>
      <w:pPr>
        <w:ind w:right="180" w:firstLine="501"/>
        <w:spacing w:after="0" w:line="263" w:lineRule="auto"/>
        <w:rPr>
          <w:sz w:val="20"/>
          <w:szCs w:val="20"/>
          <w:color w:val="auto"/>
        </w:rPr>
      </w:pPr>
      <w:r>
        <w:rPr>
          <w:rFonts w:ascii="Arial" w:cs="Arial" w:eastAsia="Arial" w:hAnsi="Arial"/>
          <w:sz w:val="18"/>
          <w:szCs w:val="18"/>
          <w:color w:val="auto"/>
        </w:rPr>
        <w:t>Deferred offering costs, consisting of direct legal, accounting, filing and other fees directly related to the Company’s IPO were capitalized and reclassified to additional paid in capital upon completion of the IPO in June 2020. As of December 31, 2019, $2.8 million in deferred offering costs were recorded as other non-current assets in the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198" w:lineRule="exact"/>
        <w:rPr>
          <w:sz w:val="20"/>
          <w:szCs w:val="20"/>
          <w:color w:val="auto"/>
        </w:rPr>
      </w:pPr>
    </w:p>
    <w:p>
      <w:pPr>
        <w:ind w:right="40" w:firstLine="501"/>
        <w:spacing w:after="0" w:line="279" w:lineRule="auto"/>
        <w:rPr>
          <w:sz w:val="20"/>
          <w:szCs w:val="20"/>
          <w:color w:val="auto"/>
        </w:rPr>
      </w:pPr>
      <w:r>
        <w:rPr>
          <w:rFonts w:ascii="Arial" w:cs="Arial" w:eastAsia="Arial" w:hAnsi="Arial"/>
          <w:sz w:val="17"/>
          <w:szCs w:val="17"/>
          <w:color w:val="auto"/>
        </w:rPr>
        <w:t>The Company records rent expense on a straight-line basis over the life of the lease. In cases where there is a free rent period or future fixed rent escalations, the Company records a deferred rent liability. Additionally, the receipt of any lease incentives is recorded as a deferred rent liability which is amortized over the lease term as a reduction of rent expense. Building improvements made with the lease incentives or tenant allowances are capitalized as leasehold improvements and included in property and equipment, net in the balance sheets.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60" w:firstLine="501"/>
        <w:spacing w:after="0" w:line="296" w:lineRule="auto"/>
        <w:rPr>
          <w:sz w:val="20"/>
          <w:szCs w:val="20"/>
          <w:color w:val="auto"/>
        </w:rPr>
      </w:pPr>
      <w:r>
        <w:rPr>
          <w:rFonts w:ascii="Arial" w:cs="Arial" w:eastAsia="Arial" w:hAnsi="Arial"/>
          <w:sz w:val="16"/>
          <w:szCs w:val="16"/>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21" w:lineRule="exact"/>
        <w:rPr>
          <w:sz w:val="20"/>
          <w:szCs w:val="20"/>
          <w:color w:val="auto"/>
        </w:rPr>
      </w:pPr>
    </w:p>
    <w:p>
      <w:pPr>
        <w:ind w:right="40" w:firstLine="501"/>
        <w:spacing w:after="0" w:line="291" w:lineRule="auto"/>
        <w:rPr>
          <w:sz w:val="20"/>
          <w:szCs w:val="20"/>
          <w:color w:val="auto"/>
        </w:rPr>
      </w:pPr>
      <w:r>
        <w:rPr>
          <w:rFonts w:ascii="Arial" w:cs="Arial" w:eastAsia="Arial" w:hAnsi="Arial"/>
          <w:sz w:val="16"/>
          <w:szCs w:val="16"/>
          <w:color w:val="auto"/>
        </w:rPr>
        <w:t>The Company accounts for uncertain tax positions in accordance with ASC No. 740</w:t>
      </w:r>
      <w:r>
        <w:rPr>
          <w:rFonts w:ascii="Arial" w:cs="Arial" w:eastAsia="Arial" w:hAnsi="Arial"/>
          <w:sz w:val="16"/>
          <w:szCs w:val="16"/>
          <w:i w:val="1"/>
          <w:iCs w:val="1"/>
          <w:color w:val="auto"/>
        </w:rPr>
        <w:t>, Income Taxes</w:t>
      </w:r>
      <w:r>
        <w:rPr>
          <w:rFonts w:ascii="Arial" w:cs="Arial" w:eastAsia="Arial" w:hAnsi="Arial"/>
          <w:sz w:val="16"/>
          <w:szCs w:val="16"/>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income tax expense, as necessary.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140" w:firstLine="501"/>
        <w:spacing w:after="0" w:line="263" w:lineRule="auto"/>
        <w:rPr>
          <w:sz w:val="20"/>
          <w:szCs w:val="20"/>
          <w:color w:val="auto"/>
        </w:rPr>
      </w:pPr>
      <w:r>
        <w:rPr>
          <w:rFonts w:ascii="Arial" w:cs="Arial" w:eastAsia="Arial" w:hAnsi="Arial"/>
          <w:sz w:val="18"/>
          <w:szCs w:val="18"/>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spacing w:after="0" w:line="143"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Prior to the conversion of our preferred stock in our IPO, net loss or income per share attributable to common stockholders was calculated using the two-class method, which is based on an earnings allocation formula that determines net loss or income per share for the Company’s common stockholders and holders of participating securities. The holders of preferred stock were entitled to receive dividends prior and in preference to any declaration or payment of any dividend on the common stock. Under this method, net loss or income is increased or reduced by the amount of any dividends earned and accretion of redeemable convertible preferred stock to its redemption value, if any, during the period. The undistributed earnings are allocated to common stock and each series of redeemable convertible preferred stock to the extent that each preferred security may share in the earnings as if all of the earnings for the period had been distributed. Net loss or income attributable to common stockholders and participating preferred shares are allocated to each share on an as-converted basis as if all the earnings for the period had been distributed. The participating securities do not include a contractual obligation to share in losses of the Company and are not included in the calculation of net loss per share in the periods in which a net loss is recorded. Diluted net loss or income per share is computed using the more dilutive of (a) the two-class method or (b) the as-converted method. The Company allocated earnings first to redeemable convertible preferred shares stockholders based on dividend rights and then to common and preferred stockholders based on ownership interests. The weighted-average number of shares of common stock included in the computation of diluted net loss or income gives effect to all potentially dilutive common equivalent shares, including outstanding stock options and preferred stock.</w:t>
      </w:r>
    </w:p>
    <w:p>
      <w:pPr>
        <w:spacing w:after="0" w:line="133" w:lineRule="exact"/>
        <w:rPr>
          <w:sz w:val="20"/>
          <w:szCs w:val="20"/>
          <w:color w:val="auto"/>
        </w:rPr>
      </w:pPr>
    </w:p>
    <w:p>
      <w:pPr>
        <w:ind w:right="40" w:firstLine="501"/>
        <w:spacing w:after="0" w:line="301" w:lineRule="auto"/>
        <w:rPr>
          <w:sz w:val="20"/>
          <w:szCs w:val="20"/>
          <w:color w:val="auto"/>
        </w:rPr>
      </w:pPr>
      <w:r>
        <w:rPr>
          <w:rFonts w:ascii="Arial" w:cs="Arial" w:eastAsia="Arial" w:hAnsi="Arial"/>
          <w:sz w:val="16"/>
          <w:szCs w:val="16"/>
          <w:color w:val="auto"/>
        </w:rPr>
        <w:t>Common stock equivalent shares are excluded from the computation of diluted net loss or income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for the years ended December 31,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right="80" w:firstLine="494"/>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 Update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which requires an entity to recognize assets and liabilities arising from a lease for both finance and operating leases. For public entities, ASU 2016-02 is effective for fiscal years beginning after December 15, 2018. The ASU will also require new qualitative and quantitative disclosures to help investors and other financial statement users better understand the amount, timing,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7" w:name="page128"/>
    <w:bookmarkEnd w:id="127"/>
    <w:p>
      <w:pPr>
        <w:ind w:right="140"/>
        <w:spacing w:after="0" w:line="279" w:lineRule="auto"/>
        <w:rPr>
          <w:sz w:val="20"/>
          <w:szCs w:val="20"/>
          <w:color w:val="auto"/>
        </w:rPr>
      </w:pPr>
      <w:r>
        <w:rPr>
          <w:rFonts w:ascii="Arial" w:cs="Arial" w:eastAsia="Arial" w:hAnsi="Arial"/>
          <w:sz w:val="17"/>
          <w:szCs w:val="17"/>
          <w:color w:val="auto"/>
        </w:rPr>
        <w:t>and uncertainty of cash flows arising from leases. As a result of the Company having elected the extended transition period for complying with new or revised accounting standards pursuant to Section 107(b) of the JOBS Act, ASU 2016-02 is effective for the Company in the fiscal years beginning after December 15, 2021, and interim periods within fiscal years beginning after December 15, 2022, with early adoption permitted. The Company is currently in the process of evaluating the impact of the adoption of ASU 2016-02 on the Company’s financial statements.</w:t>
      </w:r>
    </w:p>
    <w:p>
      <w:pPr>
        <w:spacing w:after="0" w:line="144" w:lineRule="exact"/>
        <w:rPr>
          <w:sz w:val="20"/>
          <w:szCs w:val="20"/>
          <w:color w:val="auto"/>
        </w:rPr>
      </w:pPr>
    </w:p>
    <w:p>
      <w:pPr>
        <w:ind w:firstLine="494"/>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new standard amends guidance on measuring and reporting credit losses for financial assets held at amortized cost basis,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and investments classified as available for sale, such as our debt securities. This ASU requires a new forward-looking model based on expected credit losses rather than the current one based on incurred losses. In November 2019, the FASB issued ASU 2019-10, which deferred the effective date for certain ASUs including ASU 2016-13. This standard is effective for the Company’s fiscal year beginning after December 15, 2022. Early adoption is permitted for all entities. The Company does not expect the adoption of ASU 2016-13 to have a material impact on the Company’s financial statements.</w:t>
      </w:r>
    </w:p>
    <w:p>
      <w:pPr>
        <w:spacing w:after="0" w:line="124" w:lineRule="exact"/>
        <w:rPr>
          <w:sz w:val="20"/>
          <w:szCs w:val="20"/>
          <w:color w:val="auto"/>
        </w:rPr>
      </w:pPr>
    </w:p>
    <w:p>
      <w:pPr>
        <w:ind w:right="240" w:firstLine="494"/>
        <w:spacing w:after="0" w:line="272" w:lineRule="auto"/>
        <w:rPr>
          <w:sz w:val="20"/>
          <w:szCs w:val="20"/>
          <w:color w:val="auto"/>
        </w:rPr>
      </w:pPr>
      <w:r>
        <w:rPr>
          <w:rFonts w:ascii="Arial" w:cs="Arial" w:eastAsia="Arial" w:hAnsi="Arial"/>
          <w:sz w:val="17"/>
          <w:szCs w:val="17"/>
          <w:color w:val="auto"/>
        </w:rPr>
        <w:t xml:space="preserve">In December 2019, the FASB issued Accounting Standards Update 2019-12 (“ASU 2019-12”), </w:t>
      </w:r>
      <w:r>
        <w:rPr>
          <w:rFonts w:ascii="Arial" w:cs="Arial" w:eastAsia="Arial" w:hAnsi="Arial"/>
          <w:sz w:val="17"/>
          <w:szCs w:val="17"/>
          <w:i w:val="1"/>
          <w:iCs w:val="1"/>
          <w:color w:val="auto"/>
        </w:rPr>
        <w:t>Income Taxes (topic 740):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The amendments in ASU 2019-12 simplify the accounting for income taxes by removing certain exceptions to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in Topic 740. The amendments also improve consistent application of and simplify GAAP for other areas of Topic 740 by clarifying and amending existing guidance. ASU 2019-12 removes the exception for intraperiod tax allocations when there is a loss from continuing operations and income or a gain from other items (other comprehensive income). ASU 2019-12 is effective for fiscal years beginning after December 15, 2021. Early adoption of the amendments is permitted. The Company has early adopted the new standard effective January 1, 2020, and its adoption did not have a material impact on our condensed financial statements.</w:t>
      </w:r>
    </w:p>
    <w:p>
      <w:pPr>
        <w:spacing w:after="0" w:line="22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9" w:lineRule="exact"/>
        <w:rPr>
          <w:sz w:val="20"/>
          <w:szCs w:val="20"/>
          <w:color w:val="auto"/>
        </w:rPr>
      </w:pPr>
    </w:p>
    <w:p>
      <w:pPr>
        <w:ind w:right="120" w:firstLine="494"/>
        <w:spacing w:after="0" w:line="255" w:lineRule="auto"/>
        <w:rPr>
          <w:sz w:val="20"/>
          <w:szCs w:val="20"/>
          <w:color w:val="auto"/>
        </w:rPr>
      </w:pPr>
      <w:r>
        <w:rPr>
          <w:rFonts w:ascii="Arial" w:cs="Arial" w:eastAsia="Arial" w:hAnsi="Arial"/>
          <w:sz w:val="18"/>
          <w:szCs w:val="18"/>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65" w:lineRule="exact"/>
        <w:rPr>
          <w:sz w:val="20"/>
          <w:szCs w:val="20"/>
          <w:color w:val="auto"/>
        </w:rPr>
      </w:pPr>
    </w:p>
    <w:p>
      <w:pPr>
        <w:ind w:right="100" w:firstLine="501"/>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38" w:lineRule="exact"/>
        <w:rPr>
          <w:sz w:val="20"/>
          <w:szCs w:val="20"/>
          <w:color w:val="auto"/>
        </w:rPr>
      </w:pPr>
    </w:p>
    <w:p>
      <w:pPr>
        <w:ind w:left="980" w:hanging="486"/>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84" w:lineRule="exact"/>
        <w:rPr>
          <w:rFonts w:ascii="Arial" w:cs="Arial" w:eastAsia="Arial" w:hAnsi="Arial"/>
          <w:sz w:val="18"/>
          <w:szCs w:val="18"/>
          <w:color w:val="auto"/>
        </w:rPr>
      </w:pPr>
    </w:p>
    <w:p>
      <w:pPr>
        <w:ind w:left="980" w:right="120" w:hanging="486"/>
        <w:spacing w:after="0" w:line="263"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14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w:t>
      </w:r>
      <w:r>
        <w:rPr>
          <w:rFonts w:ascii="Arial" w:cs="Arial" w:eastAsia="Arial" w:hAnsi="Arial"/>
          <w:sz w:val="18"/>
          <w:szCs w:val="18"/>
          <w:i w:val="1"/>
          <w:iCs w:val="1"/>
          <w:color w:val="auto"/>
        </w:rPr>
        <w:t xml:space="preserve"> </w:t>
      </w:r>
      <w:r>
        <w:rPr>
          <w:rFonts w:ascii="Arial" w:cs="Arial" w:eastAsia="Arial" w:hAnsi="Arial"/>
          <w:sz w:val="18"/>
          <w:szCs w:val="18"/>
          <w:color w:val="auto"/>
        </w:rPr>
        <w:t>no market data.</w:t>
      </w:r>
    </w:p>
    <w:p>
      <w:pPr>
        <w:spacing w:after="0" w:line="130" w:lineRule="exact"/>
        <w:rPr>
          <w:sz w:val="20"/>
          <w:szCs w:val="20"/>
          <w:color w:val="auto"/>
        </w:rPr>
      </w:pPr>
    </w:p>
    <w:p>
      <w:pPr>
        <w:ind w:firstLine="494"/>
        <w:spacing w:after="0" w:line="272" w:lineRule="auto"/>
        <w:rPr>
          <w:sz w:val="20"/>
          <w:szCs w:val="20"/>
          <w:color w:val="auto"/>
        </w:rPr>
      </w:pPr>
      <w:r>
        <w:rPr>
          <w:rFonts w:ascii="Arial" w:cs="Arial" w:eastAsia="Arial" w:hAnsi="Arial"/>
          <w:sz w:val="17"/>
          <w:szCs w:val="17"/>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28" w:name="page129"/>
    <w:bookmarkEnd w:id="128"/>
    <w:p>
      <w:pPr>
        <w:ind w:right="80" w:firstLine="501"/>
        <w:spacing w:after="0" w:line="277" w:lineRule="auto"/>
        <w:rPr>
          <w:sz w:val="20"/>
          <w:szCs w:val="20"/>
          <w:color w:val="auto"/>
        </w:rPr>
      </w:pPr>
      <w:r>
        <w:rPr>
          <w:rFonts w:ascii="Arial" w:cs="Arial" w:eastAsia="Arial" w:hAnsi="Arial"/>
          <w:sz w:val="18"/>
          <w:szCs w:val="18"/>
          <w:color w:val="auto"/>
        </w:rPr>
        <w:t>The following tables show the Company’s cash equivalents Money Market Funds and short-term investments by significant investment category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As of December 31, 2020</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33"/>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256"/>
              <w:spacing w:after="0" w:line="133" w:lineRule="exact"/>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3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60" w:type="dxa"/>
            <w:vAlign w:val="bottom"/>
          </w:tcPr>
          <w:p>
            <w:pPr>
              <w:jc w:val="center"/>
              <w:ind w:left="188"/>
              <w:spacing w:after="0" w:line="133"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33" w:lineRule="exact"/>
              <w:rPr>
                <w:sz w:val="20"/>
                <w:szCs w:val="20"/>
                <w:color w:val="auto"/>
              </w:rPr>
            </w:pPr>
            <w:r>
              <w:rPr>
                <w:rFonts w:ascii="Arial" w:cs="Arial" w:eastAsia="Arial" w:hAnsi="Arial"/>
                <w:sz w:val="14"/>
                <w:szCs w:val="14"/>
                <w:b w:val="1"/>
                <w:bCs w:val="1"/>
                <w:color w:val="auto"/>
              </w:rPr>
              <w:t>Market</w:t>
            </w:r>
          </w:p>
        </w:tc>
      </w:tr>
      <w:tr>
        <w:trPr>
          <w:trHeight w:val="171"/>
        </w:trPr>
        <w:tc>
          <w:tcPr>
            <w:tcW w:w="5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27,686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27,686</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5"/>
        </w:trPr>
        <w:tc>
          <w:tcPr>
            <w:tcW w:w="5440" w:type="dxa"/>
            <w:vAlign w:val="bottom"/>
          </w:tcPr>
          <w:p>
            <w:pPr>
              <w:ind w:left="260"/>
              <w:spacing w:after="0"/>
              <w:rPr>
                <w:sz w:val="20"/>
                <w:szCs w:val="20"/>
                <w:color w:val="auto"/>
              </w:rPr>
            </w:pPr>
            <w:r>
              <w:rPr>
                <w:rFonts w:ascii="Arial" w:cs="Arial" w:eastAsia="Arial" w:hAnsi="Arial"/>
                <w:sz w:val="18"/>
                <w:szCs w:val="18"/>
                <w:color w:val="auto"/>
                <w:w w:val="96"/>
              </w:rPr>
              <w:t>U.S. Treasury securities included in cash and cash equivalents and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63,101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63,104</w:t>
            </w:r>
          </w:p>
        </w:tc>
      </w:tr>
      <w:tr>
        <w:trPr>
          <w:trHeight w:val="215"/>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securities included in</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54,183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54,193</w:t>
            </w:r>
          </w:p>
        </w:tc>
      </w:tr>
      <w:tr>
        <w:trPr>
          <w:trHeight w:val="215"/>
        </w:trPr>
        <w:tc>
          <w:tcPr>
            <w:tcW w:w="5440" w:type="dxa"/>
            <w:vAlign w:val="bottom"/>
          </w:tcPr>
          <w:p>
            <w:pPr>
              <w:ind w:left="260"/>
              <w:spacing w:after="0"/>
              <w:rPr>
                <w:sz w:val="20"/>
                <w:szCs w:val="20"/>
                <w:color w:val="auto"/>
              </w:rPr>
            </w:pPr>
            <w:r>
              <w:rPr>
                <w:rFonts w:ascii="Arial" w:cs="Arial" w:eastAsia="Arial" w:hAnsi="Arial"/>
                <w:sz w:val="18"/>
                <w:szCs w:val="18"/>
                <w:color w:val="auto"/>
              </w:rPr>
              <w:t>Corporate debt securities included in cash and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118,759</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118,714</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263,729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263,697</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6"/>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As of December 31, 2019</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33"/>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256"/>
              <w:spacing w:after="0" w:line="133" w:lineRule="exact"/>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23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60" w:type="dxa"/>
            <w:vAlign w:val="bottom"/>
          </w:tcPr>
          <w:p>
            <w:pPr>
              <w:jc w:val="center"/>
              <w:ind w:left="188"/>
              <w:spacing w:after="0" w:line="133"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296"/>
              <w:spacing w:after="0" w:line="133" w:lineRule="exact"/>
              <w:rPr>
                <w:sz w:val="20"/>
                <w:szCs w:val="20"/>
                <w:color w:val="auto"/>
              </w:rPr>
            </w:pPr>
            <w:r>
              <w:rPr>
                <w:rFonts w:ascii="Arial" w:cs="Arial" w:eastAsia="Arial" w:hAnsi="Arial"/>
                <w:sz w:val="14"/>
                <w:szCs w:val="14"/>
                <w:b w:val="1"/>
                <w:bCs w:val="1"/>
                <w:color w:val="auto"/>
              </w:rPr>
              <w:t>Market</w:t>
            </w:r>
          </w:p>
        </w:tc>
      </w:tr>
      <w:tr>
        <w:trPr>
          <w:trHeight w:val="171"/>
        </w:trPr>
        <w:tc>
          <w:tcPr>
            <w:tcW w:w="5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16,366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16,366</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Treasury securities included in short-term investments</w:t>
            </w:r>
          </w:p>
        </w:tc>
        <w:tc>
          <w:tcPr>
            <w:tcW w:w="2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2,998</w:t>
            </w:r>
          </w:p>
        </w:tc>
      </w:tr>
      <w:tr>
        <w:trPr>
          <w:trHeight w:val="215"/>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securities included in</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34,204</w:t>
            </w: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34,203</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53,568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tcPr>
          <w:p>
            <w:pPr>
              <w:spacing w:after="0"/>
              <w:rPr>
                <w:sz w:val="19"/>
                <w:szCs w:val="19"/>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53,567</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remaining contractual maturities of the Company’s short-term investments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517"/>
              <w:spacing w:after="0"/>
              <w:rPr>
                <w:sz w:val="20"/>
                <w:szCs w:val="20"/>
                <w:color w:val="auto"/>
              </w:rPr>
            </w:pPr>
            <w:r>
              <w:rPr>
                <w:rFonts w:ascii="Arial" w:cs="Arial" w:eastAsia="Arial" w:hAnsi="Arial"/>
                <w:sz w:val="14"/>
                <w:szCs w:val="14"/>
                <w:b w:val="1"/>
                <w:bCs w:val="1"/>
                <w:color w:val="auto"/>
              </w:rPr>
              <w:t>Adjusted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Market</w:t>
            </w:r>
          </w:p>
        </w:tc>
      </w:tr>
      <w:tr>
        <w:trPr>
          <w:trHeight w:val="171"/>
        </w:trPr>
        <w:tc>
          <w:tcPr>
            <w:tcW w:w="7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657"/>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Mature in 1 year or less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220,980</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Mature in 1 to 2 years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w:t>
            </w:r>
          </w:p>
        </w:tc>
        <w:tc>
          <w:tcPr>
            <w:tcW w:w="120" w:type="dxa"/>
            <w:vAlign w:val="bottom"/>
            <w:tcBorders>
              <w:bottom w:val="single" w:sz="8" w:color="CFF0FC"/>
            </w:tcBorders>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226,044</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226,012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494"/>
        <w:spacing w:after="0" w:line="263" w:lineRule="auto"/>
        <w:rPr>
          <w:sz w:val="20"/>
          <w:szCs w:val="20"/>
          <w:color w:val="auto"/>
        </w:rPr>
      </w:pPr>
      <w:r>
        <w:rPr>
          <w:rFonts w:ascii="Arial" w:cs="Arial" w:eastAsia="Arial" w:hAnsi="Arial"/>
          <w:sz w:val="18"/>
          <w:szCs w:val="18"/>
          <w:color w:val="auto"/>
        </w:rPr>
        <w:t>There were no liabilities measured at fair value on a recurring basis as of December 31, 2020 and 2019. There have been no transfers between fair value measurement levels during the years ended December 31, 2020 and 2019. In addition, there were no assets or liabilities measured at fair value on a non-recurring basis as of December 31, 2020 and 2019.</w:t>
      </w:r>
    </w:p>
    <w:p>
      <w:pPr>
        <w:spacing w:after="0" w:line="157"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As of December 31, 2020,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36" w:lineRule="exact"/>
        <w:rPr>
          <w:sz w:val="20"/>
          <w:szCs w:val="20"/>
          <w:color w:val="auto"/>
        </w:rPr>
      </w:pPr>
    </w:p>
    <w:p>
      <w:pPr>
        <w:ind w:right="540" w:firstLine="501"/>
        <w:spacing w:after="0" w:line="277" w:lineRule="auto"/>
        <w:rPr>
          <w:sz w:val="20"/>
          <w:szCs w:val="20"/>
          <w:color w:val="auto"/>
        </w:rPr>
      </w:pPr>
      <w:r>
        <w:rPr>
          <w:rFonts w:ascii="Arial" w:cs="Arial" w:eastAsia="Arial" w:hAnsi="Arial"/>
          <w:sz w:val="18"/>
          <w:szCs w:val="18"/>
          <w:color w:val="auto"/>
        </w:rPr>
        <w:t>The Company records interest income and accretion income earned on Money Market Funds and U.S. Treasury, U.S. government agency and corporate debt securities to interest income in its statement of operations and comprehensive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9" w:name="page130"/>
    <w:bookmarkEnd w:id="129"/>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6,540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5,580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657</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Construction-in-progress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r>
      <w:tr>
        <w:trPr>
          <w:trHeight w:val="223"/>
        </w:trPr>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7,809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6,267</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r>
      <w:tr>
        <w:trPr>
          <w:trHeight w:val="223"/>
        </w:trPr>
        <w:tc>
          <w:tcPr>
            <w:tcW w:w="7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4,321</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4,079</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December 31, 2020 and 2019 was $1.3 million and $1.1 million,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Accrued Liabilities and Other Long-Term Liabilities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75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Accrued Liabilities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CFF0FC"/>
            </w:tcBorders>
          </w:tcPr>
          <w:p>
            <w:pPr>
              <w:spacing w:after="0"/>
              <w:rPr>
                <w:sz w:val="13"/>
                <w:szCs w:val="13"/>
                <w:color w:val="auto"/>
              </w:rPr>
            </w:pPr>
          </w:p>
        </w:tc>
        <w:tc>
          <w:tcPr>
            <w:tcW w:w="75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4,542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Accrued research and development expenses</w:t>
            </w:r>
          </w:p>
        </w:tc>
        <w:tc>
          <w:tcPr>
            <w:tcW w:w="104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3,274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1,675</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Deferred rent/leasehold incentive obligation-current</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FF0FC"/>
            </w:tcBorders>
            <w:shd w:val="clear" w:color="auto" w:fill="CFF0FC"/>
          </w:tcPr>
          <w:p>
            <w:pPr>
              <w:spacing w:after="0"/>
              <w:rPr>
                <w:sz w:val="19"/>
                <w:szCs w:val="19"/>
                <w:color w:val="auto"/>
              </w:rPr>
            </w:pPr>
          </w:p>
        </w:tc>
        <w:tc>
          <w:tcPr>
            <w:tcW w:w="75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accrued liabilities</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9,576</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540" w:type="dxa"/>
            <w:vAlign w:val="bottom"/>
            <w:vMerge w:val="restart"/>
          </w:tcPr>
          <w:p>
            <w:pPr>
              <w:ind w:left="320"/>
              <w:spacing w:after="0"/>
              <w:rPr>
                <w:sz w:val="20"/>
                <w:szCs w:val="20"/>
                <w:color w:val="auto"/>
              </w:rPr>
            </w:pPr>
            <w:r>
              <w:rPr>
                <w:rFonts w:ascii="Arial" w:cs="Arial" w:eastAsia="Arial" w:hAnsi="Arial"/>
                <w:sz w:val="18"/>
                <w:szCs w:val="18"/>
                <w:color w:val="auto"/>
                <w:w w:val="94"/>
              </w:rPr>
              <w:t>Accrued compensation and benefits consist primarily of accrued bonuses and accrued vacation.</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75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CFF0FC"/>
            </w:tcBorders>
          </w:tcPr>
          <w:p>
            <w:pPr>
              <w:spacing w:after="0"/>
              <w:rPr>
                <w:sz w:val="13"/>
                <w:szCs w:val="13"/>
                <w:color w:val="auto"/>
              </w:rPr>
            </w:pPr>
          </w:p>
        </w:tc>
        <w:tc>
          <w:tcPr>
            <w:tcW w:w="75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Leasehold incentive obligation</w:t>
            </w:r>
          </w:p>
        </w:tc>
        <w:tc>
          <w:tcPr>
            <w:tcW w:w="104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 — deposits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540" w:type="dxa"/>
            <w:vAlign w:val="bottom"/>
          </w:tcPr>
          <w:p>
            <w:pPr>
              <w:ind w:left="60"/>
              <w:spacing w:after="0"/>
              <w:rPr>
                <w:sz w:val="20"/>
                <w:szCs w:val="20"/>
                <w:color w:val="auto"/>
              </w:rPr>
            </w:pPr>
            <w:r>
              <w:rPr>
                <w:rFonts w:ascii="Arial" w:cs="Arial" w:eastAsia="Arial" w:hAnsi="Arial"/>
                <w:sz w:val="18"/>
                <w:szCs w:val="18"/>
                <w:color w:val="auto"/>
              </w:rPr>
              <w:t>Total other long-term liabilities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Novartis Agreement</w:t>
      </w:r>
    </w:p>
    <w:p>
      <w:pPr>
        <w:spacing w:after="0" w:line="189"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In October 2019, the Company entered into a Collaboration and License Agreement with Novartis (the “Novartis Agreement”), for the development and commercialization of our preclinical product candidate, PLN-1474 and up to three additional integrin research targets. PLN-1474 is an internally discovered small molecule selective inhibitor of integrin αvß1, currently being developed for the treatment of liver fibrosis associated with nonalcoholic steatohepatitis (“NASH”). In accordance with the Novartis Agreement, on December 7, 2019, Novartis paid to Pliant an upfront non-refundable license fee of $50.0 million for the worldwide exclusive license to PLN-1474.</w:t>
      </w:r>
    </w:p>
    <w:p>
      <w:pPr>
        <w:spacing w:after="0" w:line="147" w:lineRule="exact"/>
        <w:rPr>
          <w:sz w:val="20"/>
          <w:szCs w:val="20"/>
          <w:color w:val="auto"/>
        </w:rPr>
      </w:pPr>
    </w:p>
    <w:p>
      <w:pPr>
        <w:ind w:firstLine="514"/>
        <w:spacing w:after="0" w:line="255" w:lineRule="auto"/>
        <w:rPr>
          <w:sz w:val="20"/>
          <w:szCs w:val="20"/>
          <w:color w:val="auto"/>
        </w:rPr>
      </w:pPr>
      <w:r>
        <w:rPr>
          <w:rFonts w:ascii="Arial" w:cs="Arial" w:eastAsia="Arial" w:hAnsi="Arial"/>
          <w:sz w:val="18"/>
          <w:szCs w:val="18"/>
          <w:color w:val="auto"/>
        </w:rPr>
        <w:t>Novartis will fund the Company’s research and development services for PLN-1474 through Phase 1 after which Novartis will assume responsibility for all future development, manufacturing and commercialization costs of PLN-1474. Novartis will also fund the research and development services associated with integrin research targets as outlined in the Novartis Agreement. The Company is scheduled to receive up to $19.6 million in funding for PLN-1474 development services through Phase 1 and up to $13.4 million for optional research and development services on the integrin research targets. The Company is initially obligated to perform research and development services on the integrin research targets for sixty days. Novartis has the option to continue the research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0" w:name="page131"/>
    <w:bookmarkEnd w:id="130"/>
    <w:p>
      <w:pPr>
        <w:ind w:right="160"/>
        <w:spacing w:after="0" w:line="273" w:lineRule="auto"/>
        <w:rPr>
          <w:sz w:val="20"/>
          <w:szCs w:val="20"/>
          <w:color w:val="auto"/>
        </w:rPr>
      </w:pPr>
      <w:r>
        <w:rPr>
          <w:rFonts w:ascii="Arial" w:cs="Arial" w:eastAsia="Arial" w:hAnsi="Arial"/>
          <w:sz w:val="17"/>
          <w:szCs w:val="17"/>
          <w:color w:val="auto"/>
        </w:rPr>
        <w:t>development services through 2022, with the option to terminate the services with 60 days’ notice. If any of the targets achieves target validation and are deemed a research target, Novartis holds the rights to exercise its license options to obtain an exclusive license for those deemed research targets on a research target-by-research target basis by paying an option exercise fee for each target (up to three in total), including all license compounds that are the subject of the applicable research program. Novartis will also pay the Company a certain specified target validation fee of $4.0 million for each candidate target that achieves target validation and is deemed a research target, for up to three candidate targets. Upon exercise of an option, Novartis will be responsible for global clinical development and commercialization of each licensed research target.</w:t>
      </w:r>
    </w:p>
    <w:p>
      <w:pPr>
        <w:spacing w:after="0" w:line="151" w:lineRule="exact"/>
        <w:rPr>
          <w:sz w:val="20"/>
          <w:szCs w:val="20"/>
          <w:color w:val="auto"/>
        </w:rPr>
      </w:pPr>
    </w:p>
    <w:p>
      <w:pPr>
        <w:ind w:right="20" w:firstLine="514"/>
        <w:spacing w:after="0" w:line="263" w:lineRule="auto"/>
        <w:rPr>
          <w:sz w:val="20"/>
          <w:szCs w:val="20"/>
          <w:color w:val="auto"/>
        </w:rPr>
      </w:pPr>
      <w:r>
        <w:rPr>
          <w:rFonts w:ascii="Arial" w:cs="Arial" w:eastAsia="Arial" w:hAnsi="Arial"/>
          <w:sz w:val="18"/>
          <w:szCs w:val="18"/>
          <w:color w:val="auto"/>
        </w:rPr>
        <w:t>Under the Novartis Agreement, the Company is eligible for developmental, regulatory and commercial milestone payments related to PLN-1474 and the integrin research targets of up to $416.0 million if defined development and commercialization milestones are achieved and tiered royalties ranging from the mid-single digits to low teens on product sales upon commercialization.</w:t>
      </w:r>
    </w:p>
    <w:p>
      <w:pPr>
        <w:spacing w:after="0" w:line="143" w:lineRule="exact"/>
        <w:rPr>
          <w:sz w:val="20"/>
          <w:szCs w:val="20"/>
          <w:color w:val="auto"/>
        </w:rPr>
      </w:pPr>
    </w:p>
    <w:p>
      <w:pPr>
        <w:ind w:right="20" w:firstLine="501"/>
        <w:spacing w:after="0" w:line="288" w:lineRule="auto"/>
        <w:rPr>
          <w:sz w:val="20"/>
          <w:szCs w:val="20"/>
          <w:color w:val="auto"/>
        </w:rPr>
      </w:pPr>
      <w:r>
        <w:rPr>
          <w:rFonts w:ascii="Arial" w:cs="Arial" w:eastAsia="Arial" w:hAnsi="Arial"/>
          <w:sz w:val="16"/>
          <w:szCs w:val="16"/>
          <w:color w:val="auto"/>
        </w:rPr>
        <w:t>Upon execution of the Novartis Agreement, Pliant also entered into a Financing Side Letter with Novartis (the “Financing Side Letter”), whereby Novartis committed to provide up to $30.0 million in equity financing of which $20.0 million was satisfied by the issuance of 10,928,962 shares of Series C Redeemable Convertible Preferred Stock on December 19, 2019 and the remaining $10.0 million was satisfied by the issuance of shares of common stock through a concurrent private placement with the Company’s IPO. The Company determined that the Novartis Agreement and the Financing Side Letter are separate agreements and should not be combined as they were not entered into for a single commercial objective and the consideration in each agreement are tied to separate and different types of obligations. The Series C Redeemable Preferred Stock was issued to Novartis at fair value of $1.83 per share in conjunction with its issuance to other investors at the same price. In addition, the contingent issuance of shares upon an Initial Public Offering would also be at fair value. Further, Novartis became a related party to the Company following its purchase of 10.9 million shares of our Series C Redeemable Convertible Stock on December 19, 2019, representing holdings of 6.1% and 7.4% of our outstanding shares of common stock on a fully diluted basis as of December 31, 2020 and December 31, 2019, respectively. See Notes 9 and 14 to these financial statements for additional information.</w:t>
      </w:r>
    </w:p>
    <w:p>
      <w:pPr>
        <w:spacing w:after="0" w:line="128"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The Company evaluated the Novartis Agreement under the revenue standard Topic 606 and concluded that Novartis is a customer. The Company identified the following performance obligations at the inception of the contract.</w:t>
      </w:r>
    </w:p>
    <w:p>
      <w:pPr>
        <w:spacing w:after="0" w:line="143"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Novartis worldwide license rights to PLN-1474.</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research and development services for PLN-1474 through Phase 1 of its development.</w:t>
      </w:r>
    </w:p>
    <w:p>
      <w:pPr>
        <w:spacing w:after="0" w:line="18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non-exclusive license rights to integrin research targets and research and development services on integrin research targets, together as a single performance obligation.</w:t>
      </w:r>
    </w:p>
    <w:p>
      <w:pPr>
        <w:spacing w:after="0" w:line="130"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The Company determined the transaction price at inception of the Novartis Agreement is the $69.6 million consisting of the license fee of $50.0 million and research and development funding of $19.6 million payment to be allocated to the various performance obligations. The Novartis Agreement includes variable consideration for the funding of research and development services and potential future milestones and royalties that were contingent on future success factors for development programs. The Company used the “most likely” method to determine the variable consideration. None of the regulatory or development milestones were included in the transaction price. The Company will re-evaluate the transaction price in each reporting period as uncertain events are resolved or other changes in circumstances occur.</w:t>
      </w:r>
    </w:p>
    <w:p>
      <w:pPr>
        <w:spacing w:after="0" w:line="13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The Company considered the license to PLN-1474 as functional intellectual property, as when control of the license was transferred to Novartis at the inception of the Novartis Agreement, Novartis had the right to access its technology and it was functional. The Company determined the $50.0 million was the standalone selling price PLN-1474 license and was recognized as revenue when control of the license transferred to Novartis, which was at or near inception of the Novartis Agreement.</w:t>
      </w:r>
    </w:p>
    <w:p>
      <w:pPr>
        <w:spacing w:after="0" w:line="146" w:lineRule="exact"/>
        <w:rPr>
          <w:sz w:val="20"/>
          <w:szCs w:val="20"/>
          <w:color w:val="auto"/>
        </w:rPr>
      </w:pPr>
    </w:p>
    <w:p>
      <w:pPr>
        <w:ind w:right="220" w:firstLine="501"/>
        <w:spacing w:after="0" w:line="254" w:lineRule="auto"/>
        <w:rPr>
          <w:sz w:val="20"/>
          <w:szCs w:val="20"/>
          <w:color w:val="auto"/>
        </w:rPr>
      </w:pPr>
      <w:r>
        <w:rPr>
          <w:rFonts w:ascii="Arial" w:cs="Arial" w:eastAsia="Arial" w:hAnsi="Arial"/>
          <w:sz w:val="18"/>
          <w:szCs w:val="18"/>
          <w:color w:val="auto"/>
        </w:rPr>
        <w:t>The Company estimated the standalone selling price of each research program based on internal and external costs to perform the research plus a reasonable profit margin. The total estimated cost of the research and development services reflects the nature of the services to be performed and the Company’s best estimate of the length of time required to perform the services. The Company selected an input method of costs incurred to measure progress toward complete satisfaction of its performance obligation to provide research and development services as such method faithfully depicts the Company’s performance in transferring control of the research and development service to Novartis. Changes in estimates of total internal and external costs expected to be incurred are recognized in the period of change as a cumulative catch-up adjustment. There have been no changes to the Company’s estimates to date.</w:t>
      </w:r>
    </w:p>
    <w:p>
      <w:pPr>
        <w:spacing w:after="0" w:line="168"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During the years ended December 31, 2020, the Company recognized revenue—related party of $41.8 million, which consists of $25.0 million of revenue from the achievement of the first patient dosing milestone of the Novartis agreement in the first quarter of 2020 and $16.8 million of revenue generated from research and development services performed during the year ended December 31,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31" w:name="page132"/>
    <w:bookmarkEnd w:id="131"/>
    <w:p>
      <w:pPr>
        <w:ind w:right="400"/>
        <w:spacing w:after="0" w:line="277" w:lineRule="auto"/>
        <w:rPr>
          <w:sz w:val="20"/>
          <w:szCs w:val="20"/>
          <w:color w:val="auto"/>
        </w:rPr>
      </w:pPr>
      <w:r>
        <w:rPr>
          <w:rFonts w:ascii="Arial" w:cs="Arial" w:eastAsia="Arial" w:hAnsi="Arial"/>
          <w:sz w:val="18"/>
          <w:szCs w:val="18"/>
          <w:color w:val="auto"/>
        </w:rPr>
        <w:t>2020. During the year ended December 31, 2019, Company recognized revenue - related party of $50.0 million related to the license fee and revenue - related party of $7.1 million generated from research and development services performed during 2019.</w:t>
      </w:r>
    </w:p>
    <w:p>
      <w:pPr>
        <w:spacing w:after="0" w:line="143"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As of December 31, 2020 and 2019, there was a receivable of $9.3 million and $7.1 million, respectively, related to the Novartis Agreement. There were no contract assets or contract liabilities as of December 31, 2020 and 2019.</w:t>
      </w:r>
    </w:p>
    <w:p>
      <w:pPr>
        <w:spacing w:after="0" w:line="220"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UC Regents</w:t>
      </w:r>
    </w:p>
    <w:p>
      <w:pPr>
        <w:spacing w:after="0" w:line="185" w:lineRule="exact"/>
        <w:rPr>
          <w:sz w:val="20"/>
          <w:szCs w:val="20"/>
          <w:color w:val="auto"/>
        </w:rPr>
      </w:pPr>
    </w:p>
    <w:p>
      <w:pPr>
        <w:ind w:right="80" w:firstLine="494"/>
        <w:spacing w:after="0" w:line="288" w:lineRule="auto"/>
        <w:rPr>
          <w:sz w:val="20"/>
          <w:szCs w:val="20"/>
          <w:color w:val="auto"/>
        </w:rPr>
      </w:pPr>
      <w:r>
        <w:rPr>
          <w:rFonts w:ascii="Arial" w:cs="Arial" w:eastAsia="Arial" w:hAnsi="Arial"/>
          <w:sz w:val="16"/>
          <w:szCs w:val="16"/>
          <w:color w:val="auto"/>
        </w:rPr>
        <w:t>In August 2015, the Company entered into an exclusive, worldwide license agreement (the “UC Agreement”) with the Regents of the University of California (the “UC Regents”) relating to the use of certain patents and technology relating to αvß1 compound in fibrosis indications. Pursuant to the UC Agreement, the Company is obligated to (i) make a non-refundable upfront license fee payment of $0.4 million and annual license maintenance fee payments of $10,000 per year beginning on the first anniversary of the UC Agreement escalating to $25,000 per year thereafter (ii) make royalty payments to the UC Regents of 3% of net sales of a therapeutic licensed product or 1% of net sales of a method of use licensed product, subject to an annual minimum of $1.0 million, (iii) make milestone payments up to an aggregate of $18.2 million to the UC Regents upon the occurrence of certain events, (iv) make a milestone payment based on the number of outstanding shares and a price per share as defined in the UC Agreement within 30 days of the closing of an IPO or change of control, and (v) reimburse the UC Regents for prosecution and maintenance expenses of the licensed patents without limitation. As a result of the IPO in June 2020, the Company made a $2.4 million milestone payment to the UC Regents. The Company will expense any payments for milestones to research and development expenses prior to receiving FDA approval for any of its product candidates.</w:t>
      </w:r>
    </w:p>
    <w:p>
      <w:pPr>
        <w:spacing w:after="0" w:line="141"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The UC Agreement can be terminated at any time upon the material breach of contract terms by either party to the agreement. The Company has the right to terminate the agreement at any time upon providing written notice to the UC Regents. Unless terminated early, the UC Agreement will remain in effect from the effective date until the later of (i) the expiration or abandonment of the patent rights licensed under the UC Agreement, or (ii) ten years from the date of the first commercial sale of the first licensed product under the agreement.</w:t>
      </w:r>
    </w:p>
    <w:p>
      <w:pPr>
        <w:spacing w:after="0" w:line="146"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In November 2020, the technology licensed through the agreement was deemed to no longer be relevant to the Company’s product candidates and, therefore, the Company exercised its rights to terminate the UC Agreement with the termination taking effect in January 2021, which complied with the 60-day notice period specified under the agreement.</w:t>
      </w:r>
    </w:p>
    <w:p>
      <w:pPr>
        <w:spacing w:after="0" w:line="234"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Agreement</w:t>
      </w:r>
    </w:p>
    <w:p>
      <w:pPr>
        <w:spacing w:after="0" w:line="18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Adimab Development and Option Agreement</w:t>
      </w:r>
    </w:p>
    <w:p>
      <w:pPr>
        <w:spacing w:after="0" w:line="198" w:lineRule="exact"/>
        <w:rPr>
          <w:sz w:val="20"/>
          <w:szCs w:val="20"/>
          <w:color w:val="auto"/>
        </w:rPr>
      </w:pPr>
    </w:p>
    <w:p>
      <w:pPr>
        <w:ind w:right="160" w:firstLine="494"/>
        <w:spacing w:after="0" w:line="259" w:lineRule="auto"/>
        <w:rPr>
          <w:sz w:val="20"/>
          <w:szCs w:val="20"/>
          <w:color w:val="auto"/>
        </w:rPr>
      </w:pPr>
      <w:r>
        <w:rPr>
          <w:rFonts w:ascii="Arial" w:cs="Arial" w:eastAsia="Arial" w:hAnsi="Arial"/>
          <w:sz w:val="18"/>
          <w:szCs w:val="18"/>
          <w:color w:val="auto"/>
        </w:rPr>
        <w:t>In October 2018, the Company and Adimab LLC (“Adimab”) entered into a development and option agreement (the “Adimab Agreement”) for the discovery and optimization of proprietary antibodies as potential therapeutic product candidates. Under the Adimab Agreement, the Company will select biological targets against which Adimab will use its proprietary platform technology to research and develop antibody proteins using a mutually agreed upon research plan.</w:t>
      </w:r>
    </w:p>
    <w:p>
      <w:pPr>
        <w:spacing w:after="0" w:line="14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Upon the Company’s selection of a target, the Company and Adimab will initiate a research plan and the discovery term begins. During the discovery term, Adimab will grant the Company a non-exclusive, non-sublicensable license under its technology with respect to the target, to research, design and preclinically develop and use antibodies that were modified or derived using Adimab technology, solely to evaluate such antibodies, perform the Company’s responsibilities under the research plan and use such antibodies for certain diagnostic purposes. The Company will also grant to Adimab a non-exclusive, non-sublicensable and non-transferable license with respect to the target under the Company’s technology that covers or relates to such target, solely to perform its responsibilities under the research plan during the discovery period. The Company is required to pay Adimab at an agreed upon rate for its full-time employees during the discovery period while Adimab performs research on each target under the applicable research plan.</w:t>
      </w:r>
    </w:p>
    <w:p>
      <w:pPr>
        <w:spacing w:after="0" w:line="12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Adimab granted the Company an exclusive option to obtain a worldwide, royalty-bearing, sublicensable license under Adimab platform patents and other Adimab technology to research, develop and commercialize up to twenty-four antibodies selected by the Company (the “Program Antibodies”) against specific biological targets (the “Commercialization Option”). Upon the exercise of a Commercialization Option, and payment of the applicable option fee to Adimab, Adimab will assign the patents that cover the Program Antibodies to Company.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2" w:name="page133"/>
    <w:bookmarkEnd w:id="132"/>
    <w:p>
      <w:pPr>
        <w:ind w:firstLine="494"/>
        <w:spacing w:after="0" w:line="255" w:lineRule="auto"/>
        <w:rPr>
          <w:sz w:val="20"/>
          <w:szCs w:val="20"/>
          <w:color w:val="auto"/>
        </w:rPr>
      </w:pPr>
      <w:r>
        <w:rPr>
          <w:rFonts w:ascii="Arial" w:cs="Arial" w:eastAsia="Arial" w:hAnsi="Arial"/>
          <w:sz w:val="18"/>
          <w:szCs w:val="18"/>
          <w:color w:val="auto"/>
        </w:rPr>
        <w:t>Pursuant to the Adimab Agreement, the Company is obligated to (i) make a nonrefundable upfront license fee payment for access to Adimab’s technology; (ii) pay Adimab at an agreed upon rate for each full-time employee (“FTE”) during the research period; (iii) make additional payments upon the Company making other research related elections; (iv) pay up to a dollar amount in the low double digit millions for the achievement of certain research and development milestones for each research target program which can vary by target type; (v) make royalty payments to Adimab on Company net sales of its products covered under the Adimab Agreement, subject to varying royalty payments on certain product types. Currently, no product types have been selected by the Company.</w:t>
      </w:r>
    </w:p>
    <w:p>
      <w:pPr>
        <w:spacing w:after="0" w:line="165" w:lineRule="exact"/>
        <w:rPr>
          <w:sz w:val="20"/>
          <w:szCs w:val="20"/>
          <w:color w:val="auto"/>
        </w:rPr>
      </w:pPr>
    </w:p>
    <w:p>
      <w:pPr>
        <w:ind w:right="360" w:firstLine="494"/>
        <w:spacing w:after="0" w:line="277" w:lineRule="auto"/>
        <w:rPr>
          <w:sz w:val="20"/>
          <w:szCs w:val="20"/>
          <w:color w:val="auto"/>
        </w:rPr>
      </w:pPr>
      <w:r>
        <w:rPr>
          <w:rFonts w:ascii="Arial" w:cs="Arial" w:eastAsia="Arial" w:hAnsi="Arial"/>
          <w:sz w:val="18"/>
          <w:szCs w:val="18"/>
          <w:color w:val="auto"/>
        </w:rPr>
        <w:t>During the years ended December 31, 2020, the Company recognized research and development expenses under the Adimab Agreement of $0.2 million related to FTE costs.</w:t>
      </w:r>
    </w:p>
    <w:p>
      <w:pPr>
        <w:spacing w:after="0" w:line="130" w:lineRule="exact"/>
        <w:rPr>
          <w:sz w:val="20"/>
          <w:szCs w:val="20"/>
          <w:color w:val="auto"/>
        </w:rPr>
      </w:pPr>
    </w:p>
    <w:p>
      <w:pPr>
        <w:ind w:right="400" w:firstLine="514"/>
        <w:spacing w:after="0" w:line="277" w:lineRule="auto"/>
        <w:rPr>
          <w:sz w:val="20"/>
          <w:szCs w:val="20"/>
          <w:color w:val="auto"/>
        </w:rPr>
      </w:pPr>
      <w:r>
        <w:rPr>
          <w:rFonts w:ascii="Arial" w:cs="Arial" w:eastAsia="Arial" w:hAnsi="Arial"/>
          <w:sz w:val="18"/>
          <w:szCs w:val="18"/>
          <w:color w:val="auto"/>
        </w:rPr>
        <w:t>During the years ended December 31, 2019, the Company recognized research and development expense under the Adimab Agreement of $0.1 million related to antibody discovery fees and $0.2 million related to the FTE costs.</w:t>
      </w:r>
    </w:p>
    <w:p>
      <w:pPr>
        <w:spacing w:after="0" w:line="220"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w:t>
      </w:r>
    </w:p>
    <w:p>
      <w:pPr>
        <w:spacing w:after="0" w:line="76" w:lineRule="exact"/>
        <w:rPr>
          <w:sz w:val="20"/>
          <w:szCs w:val="20"/>
          <w:color w:val="auto"/>
        </w:rPr>
      </w:pPr>
    </w:p>
    <w:p>
      <w:pPr>
        <w:ind w:right="700" w:firstLine="510"/>
        <w:spacing w:after="0" w:line="308" w:lineRule="auto"/>
        <w:rPr>
          <w:sz w:val="20"/>
          <w:szCs w:val="20"/>
          <w:color w:val="auto"/>
        </w:rPr>
      </w:pPr>
      <w:r>
        <w:rPr>
          <w:rFonts w:ascii="Arial" w:cs="Arial" w:eastAsia="Arial" w:hAnsi="Arial"/>
          <w:sz w:val="17"/>
          <w:szCs w:val="17"/>
          <w:color w:val="auto"/>
        </w:rPr>
        <w:t>Upon the closing of the Company’s IPO in June 2020, all outstanding convertible preferred stock was converted into common shares of the Company, as a result there was no authorized or outstanding redeemable convertible preferred stock as of December 31, 2020.</w:t>
      </w:r>
    </w:p>
    <w:p>
      <w:pPr>
        <w:spacing w:after="0" w:line="106" w:lineRule="exact"/>
        <w:rPr>
          <w:sz w:val="20"/>
          <w:szCs w:val="20"/>
          <w:color w:val="auto"/>
        </w:rPr>
      </w:pPr>
    </w:p>
    <w:p>
      <w:pPr>
        <w:ind w:right="720" w:firstLine="494"/>
        <w:spacing w:after="0" w:line="277" w:lineRule="auto"/>
        <w:rPr>
          <w:sz w:val="20"/>
          <w:szCs w:val="20"/>
          <w:color w:val="auto"/>
        </w:rPr>
      </w:pPr>
      <w:r>
        <w:rPr>
          <w:rFonts w:ascii="Arial" w:cs="Arial" w:eastAsia="Arial" w:hAnsi="Arial"/>
          <w:sz w:val="18"/>
          <w:szCs w:val="18"/>
          <w:color w:val="auto"/>
        </w:rPr>
        <w:t>The following is a summary of the Company’s redeemable convertible preferred stock as of December 31, 2019 (in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Preferred</w:t>
            </w:r>
          </w:p>
        </w:tc>
        <w:tc>
          <w:tcPr>
            <w:tcW w:w="15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Redemption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Value/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15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52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Preference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5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5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56,000,000</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56,000,000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62,468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62,468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Series B</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49,501,221</w:t>
            </w:r>
          </w:p>
        </w:tc>
        <w:tc>
          <w:tcPr>
            <w:tcW w:w="16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49,501,221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75,860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75,860</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5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44,000,000</w:t>
            </w:r>
          </w:p>
        </w:tc>
        <w:tc>
          <w:tcPr>
            <w:tcW w:w="16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26,360,745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47,947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149,501,221</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131,861,966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186,275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186,275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225" w:lineRule="exact"/>
        <w:rPr>
          <w:sz w:val="20"/>
          <w:szCs w:val="20"/>
          <w:color w:val="auto"/>
        </w:rPr>
      </w:pPr>
    </w:p>
    <w:p>
      <w:pPr>
        <w:ind w:right="140" w:firstLine="494"/>
        <w:spacing w:after="0" w:line="301" w:lineRule="auto"/>
        <w:rPr>
          <w:sz w:val="20"/>
          <w:szCs w:val="20"/>
          <w:color w:val="auto"/>
        </w:rPr>
      </w:pPr>
      <w:r>
        <w:rPr>
          <w:rFonts w:ascii="Arial" w:cs="Arial" w:eastAsia="Arial" w:hAnsi="Arial"/>
          <w:sz w:val="16"/>
          <w:szCs w:val="16"/>
          <w:color w:val="auto"/>
        </w:rPr>
        <w:t>In August 2015, the Company entered into a Series A Preferred Stock Purchase Agreement (the “Series A Purchase Agreement”) in which the Company agreed to sell up to $45.0 million of Series A Redeemable Convertible Preferred Stock (“Series A Preferred”) in three anticipated tranches. In March 2018, the Series A Purchase Agreement was amended to allow the Company to sell an additional $11.0 million of Series A Preferred. Under the Series A Purchase Agreements, the Company issued a total of 56.0 million shares of Series A Preferred for cash proceeds of approximately $56.0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117" w:lineRule="exact"/>
        <w:rPr>
          <w:sz w:val="20"/>
          <w:szCs w:val="20"/>
          <w:color w:val="auto"/>
        </w:rPr>
      </w:pPr>
    </w:p>
    <w:p>
      <w:pPr>
        <w:ind w:right="460" w:firstLine="510"/>
        <w:spacing w:after="0" w:line="311" w:lineRule="auto"/>
        <w:rPr>
          <w:sz w:val="20"/>
          <w:szCs w:val="20"/>
          <w:color w:val="auto"/>
        </w:rPr>
      </w:pPr>
      <w:r>
        <w:rPr>
          <w:rFonts w:ascii="Arial" w:cs="Arial" w:eastAsia="Arial" w:hAnsi="Arial"/>
          <w:sz w:val="16"/>
          <w:szCs w:val="16"/>
          <w:color w:val="auto"/>
        </w:rPr>
        <w:t>In July 2018, the Company entered into a Series B Preferred Stock Purchase Agreement (the “Series B Purchase Agreement”) in which the Company agreed to sell up to $70.0 million of Series B Redeemable Convertible Preferred Stock (“Series B Preferred”). Under the Series B Purchase Agreements, the Company issued a total of 49.5 million shares of Series B Preferred for cash proceeds of approximately $68.1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w:t>
      </w:r>
    </w:p>
    <w:p>
      <w:pPr>
        <w:spacing w:after="0" w:line="117" w:lineRule="exact"/>
        <w:rPr>
          <w:sz w:val="20"/>
          <w:szCs w:val="20"/>
          <w:color w:val="auto"/>
        </w:rPr>
      </w:pPr>
    </w:p>
    <w:p>
      <w:pPr>
        <w:ind w:right="280" w:firstLine="510"/>
        <w:spacing w:after="0" w:line="287" w:lineRule="auto"/>
        <w:rPr>
          <w:sz w:val="20"/>
          <w:szCs w:val="20"/>
          <w:color w:val="auto"/>
        </w:rPr>
      </w:pPr>
      <w:r>
        <w:rPr>
          <w:rFonts w:ascii="Arial" w:cs="Arial" w:eastAsia="Arial" w:hAnsi="Arial"/>
          <w:sz w:val="16"/>
          <w:szCs w:val="16"/>
          <w:color w:val="auto"/>
        </w:rPr>
        <w:t>In December 2019, the Company entered into a Series C Preferred Stock Purchase Agreement (the “Series C Purchase Agreement”) in which the Company agreed to sell up to $80.5 million of Series C Redeemable Convertible Preferred Stock (“Series C Preferred”). Under the Series C Purchase Agreements, the Company issued 26.4 million shares of Series C Preferred for cash proceeds of approximately $48.2 million. Novartis purchased</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10.9 million shares of this allotment of Series C Preferred for cash proceeds of $20.0 million. Novartis became a related party following its purchase of our Series C Preferred. Novartis holdings represent of 6.1%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and 7.4% of our outstanding shares of common stock on a fully diluted basis as of December 31, 2020 and December 31, 2019, respectively.</w:t>
      </w:r>
    </w:p>
    <w:p>
      <w:pPr>
        <w:spacing w:after="0" w:line="19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February 2020, the Company issued an additional 28.5 million additional shares of Series C Preferred at $1.83 per share in exchange for gross cash proceeds of $52.2 million and incurred $0.2 million of issuance costs.</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Series A Preferred, Series B Preferred and Series C Preferred (collectively, the “Preferred Stock”) had the following rights and privileges prior to the Preferred Stock being converted to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Each holder of shares of Preferred Stock was entitled to the number of votes equal to the number of shares of common stock into which such shares could have been converted and had voting rights and powers equal to the voting rights and powers of the common stock, and except as provided by law or by other provisions of the Company’s Certificate of Incorporation, as amended, could have voted together with the common stock as a single class on an as-converted basis on all matters as to which holders of common stock have the right to vote.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Shares of the Preferred Stock were convertible at any time at the option of the holder into such number of shares as is determined by dividing the original issuance price by the conversion price in effect at the time. The conversion price was the original issuance price for each series of Preferred Stock, as adjusted for the 1-for-7.15 reverse stock split of the Common Stock. Following such adjustment, the per-share conversion price was $7.15 for Series A Preferred, $9.843405 for Series B Preferred and $13.0845 for Series C Preferred, subject to certain adjustments. All outstanding shares of Preferred Stock converted to shares of common stock upon the completion of the Company’s IPO.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holders of Series A Preferred were originally entitled to receive cumulative dividends from their respective dates of issuance at the rate of 8.0% on their original issue price. In July 2018, in conjunction with the execution of the Series B Purchase Agreement, the Series A Preferred accreted dividends were cancelled. Under the Series B Purchase Agreement, the holders of both shares of Series A and Series B Preferred were entitled to receive cumulative dividends commencing on July 10, 2018, the issuance date of Series B Preferred, at an annual rate of 8.0% on their original issuance price. The Series A Preferred and Series B Preferred dividends accrue from day-to-day, whether declared or not, and were payable only when and if declared by the Company’s board of directors. As such, the Company recorded accretion charges to adjust the carrying values of the Series A Preferred and Series B Preferred to their redemption values up until the date the Series C Purchase Agreement was executed. In December 2019, in conjunction with the execution of the Series C Purchase agreement, the Series A preferred and Series B preferred accreted dividends were cancelled.</w:t>
      </w:r>
    </w:p>
    <w:p>
      <w:pPr>
        <w:spacing w:after="0" w:line="13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Under the Series C Purchase Agreement, the holders of Series A, Series B and Series C Preferred were entitled to receive non-cumulative dividends commencing on December 19, 2019 at an annual rate of 8.0% on their original issuance price. The Series A, Series B and Series C Preferred dividends accrue from day-to-day, whether declared or not, and were payable only when and if declared by the Company’s board of directors. The holders of all shares of preferred stock were entitled to receive dividends prior and in preference to any declaration or payment of any dividend on the common stock. Since inception, the Company has never declared or paid any dividends.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8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Upon liquidation, dissolution, or winding up of the Company or a deemed liquidation event as defined in the Company’s Certificate of Incorporation, the holders of shares of Series C and Series B Preferred Stock were entitled to receive, on a pari passu basis, a per share amount equal to the Series C purchase price of $1.83 (plus any declared but unpaid dividends) and equal to the original Series B purchase of $1.3767 (plus any declared but unpaid dividends), collectively (the “Series C and Series B Liquidation Preference”) or such amount per share as would have been payable had all shares of Series C and Series B been converted into common stock immediately prior to such liquidation event. The payment of Series C and Series B Liquidation Preference was to be made before any payment made to the holders of Series A Preferred Stock and Common Stock. Thereafter, the Series A Preferred holders were entitled to receive their liquidation preference before any distributions were made to common stockholders, a per share amount equal to $1.00 (plus any declared but unpaid dividends) (the “Series A Liquidation Preference”) or such amount per share as would have been payable had all shares of Series A had been converted into common stock immediately prior to such liquidation event. After payments of the full liquidation preferences of the Series C and Series B Liquidation Preference and the Series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4" w:name="page135"/>
    <w:bookmarkEnd w:id="134"/>
    <w:p>
      <w:pPr>
        <w:ind w:right="720"/>
        <w:spacing w:after="0" w:line="308" w:lineRule="auto"/>
        <w:rPr>
          <w:sz w:val="20"/>
          <w:szCs w:val="20"/>
          <w:color w:val="auto"/>
        </w:rPr>
      </w:pPr>
      <w:r>
        <w:rPr>
          <w:rFonts w:ascii="Arial" w:cs="Arial" w:eastAsia="Arial" w:hAnsi="Arial"/>
          <w:sz w:val="18"/>
          <w:szCs w:val="18"/>
          <w:color w:val="auto"/>
        </w:rPr>
        <w:t>Liquidation Preference described above, any remaining assets of the Company would have been distributed to the holders of the common stock in proportion to the number of shares of common stock that they held.</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December 2019, in conjunction with the execution of the Series C Preferred Purchase Agreement, the Series A Preferred and Series B Preferred redemption provisions were modified as follows:</w:t>
      </w:r>
    </w:p>
    <w:p>
      <w:pPr>
        <w:spacing w:after="0" w:line="170"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All outstanding shares of Preferred Stock shall be redeemed by the Company at a price equal to the original issuance price per share, plus any dividends declared but unpaid, in three annual installments commencing not more than sixty (60) days after receipt by the Company at any time on or after five years from the Series C Preferred original issuance date, December 19, 2019, a written notice from the holders of a majority of the shares of Preferred Stock. The Company accounted for the changes in Series A Preferred redemption and Series B Preferred redemption provisions as a modification as there was no significant difference in Series A Preferred and Series B Preferred fair values before and after the modification.</w:t>
      </w:r>
    </w:p>
    <w:p>
      <w:pPr>
        <w:spacing w:after="0" w:line="226"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ind w:right="40" w:firstLine="494"/>
        <w:spacing w:after="0" w:line="286" w:lineRule="auto"/>
        <w:rPr>
          <w:sz w:val="20"/>
          <w:szCs w:val="20"/>
          <w:color w:val="auto"/>
        </w:rPr>
      </w:pPr>
      <w:r>
        <w:rPr>
          <w:rFonts w:ascii="Arial" w:cs="Arial" w:eastAsia="Arial" w:hAnsi="Arial"/>
          <w:sz w:val="17"/>
          <w:szCs w:val="17"/>
          <w:color w:val="auto"/>
        </w:rPr>
        <w:t>The voting, dividend, and liquidation rights of the holders of the common stock are subject to and qualified by the rights, powers, and preferences of the holders of the Preferred Stock. As of December 31, 2020 and 2019, the Company had 300,000,000 and 181,000,000 authorized shares of common stock, respectively, at a par value of $0.0001 per share. The common stock has the following rights and privileges: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5" w:lineRule="exact"/>
        <w:rPr>
          <w:sz w:val="20"/>
          <w:szCs w:val="20"/>
          <w:color w:val="auto"/>
        </w:rPr>
      </w:pPr>
    </w:p>
    <w:p>
      <w:pPr>
        <w:ind w:right="140" w:firstLine="501"/>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180" w:firstLine="501"/>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85" w:lineRule="exact"/>
        <w:rPr>
          <w:sz w:val="20"/>
          <w:szCs w:val="20"/>
          <w:color w:val="auto"/>
        </w:rPr>
      </w:pPr>
    </w:p>
    <w:p>
      <w:pPr>
        <w:jc w:val="both"/>
        <w:ind w:right="540" w:firstLine="501"/>
        <w:spacing w:after="0" w:line="286" w:lineRule="auto"/>
        <w:rPr>
          <w:sz w:val="20"/>
          <w:szCs w:val="20"/>
          <w:color w:val="auto"/>
        </w:rPr>
      </w:pPr>
      <w:r>
        <w:rPr>
          <w:rFonts w:ascii="Arial" w:cs="Arial" w:eastAsia="Arial" w:hAnsi="Arial"/>
          <w:sz w:val="17"/>
          <w:szCs w:val="17"/>
          <w:color w:val="auto"/>
        </w:rPr>
        <w:t>After payment of the respective liquidation preferences to the holders of shares of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98"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900" w:type="dxa"/>
            <w:vAlign w:val="bottom"/>
            <w:tcBorders>
              <w:top w:val="single" w:sz="8" w:color="auto"/>
              <w:bottom w:val="single" w:sz="8" w:color="auto"/>
            </w:tcBorders>
          </w:tcPr>
          <w:p>
            <w:pPr>
              <w:jc w:val="right"/>
              <w:ind w:right="77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0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18,442,233</w:t>
            </w: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Exercises of outstanding stock option awards</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2,993,855</w:t>
            </w:r>
          </w:p>
        </w:tc>
        <w:tc>
          <w:tcPr>
            <w:tcW w:w="160" w:type="dxa"/>
            <w:vAlign w:val="bottom"/>
          </w:tcPr>
          <w:p>
            <w:pPr>
              <w:spacing w:after="0"/>
              <w:rPr>
                <w:sz w:val="19"/>
                <w:szCs w:val="19"/>
                <w:color w:val="auto"/>
              </w:rPr>
            </w:pPr>
          </w:p>
        </w:tc>
        <w:tc>
          <w:tcPr>
            <w:tcW w:w="1900" w:type="dxa"/>
            <w:vAlign w:val="bottom"/>
          </w:tcPr>
          <w:p>
            <w:pPr>
              <w:jc w:val="right"/>
              <w:ind w:right="53"/>
              <w:spacing w:after="0"/>
              <w:rPr>
                <w:sz w:val="20"/>
                <w:szCs w:val="20"/>
                <w:color w:val="auto"/>
              </w:rPr>
            </w:pPr>
            <w:r>
              <w:rPr>
                <w:rFonts w:ascii="Arial" w:cs="Arial" w:eastAsia="Arial" w:hAnsi="Arial"/>
                <w:sz w:val="18"/>
                <w:szCs w:val="18"/>
                <w:color w:val="auto"/>
              </w:rPr>
              <w:t>1,337,501</w:t>
            </w:r>
          </w:p>
        </w:tc>
      </w:tr>
      <w:tr>
        <w:trPr>
          <w:trHeight w:val="215"/>
        </w:trPr>
        <w:tc>
          <w:tcPr>
            <w:tcW w:w="8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common stock available for future grants under the 2015 Equity Incentive</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30"/>
        </w:trPr>
        <w:tc>
          <w:tcPr>
            <w:tcW w:w="8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 as amended</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567,110</w:t>
            </w:r>
          </w:p>
        </w:tc>
      </w:tr>
      <w:tr>
        <w:trPr>
          <w:trHeight w:val="215"/>
        </w:trPr>
        <w:tc>
          <w:tcPr>
            <w:tcW w:w="8340" w:type="dxa"/>
            <w:vAlign w:val="bottom"/>
            <w:gridSpan w:val="2"/>
          </w:tcPr>
          <w:p>
            <w:pPr>
              <w:spacing w:after="0"/>
              <w:rPr>
                <w:sz w:val="20"/>
                <w:szCs w:val="20"/>
                <w:color w:val="auto"/>
              </w:rPr>
            </w:pPr>
            <w:r>
              <w:rPr>
                <w:rFonts w:ascii="Arial" w:cs="Arial" w:eastAsia="Arial" w:hAnsi="Arial"/>
                <w:sz w:val="18"/>
                <w:szCs w:val="18"/>
                <w:color w:val="auto"/>
              </w:rPr>
              <w:t>Shares of common stock available for future grants under the 2020 Equity Incentive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Plan</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3,644,459</w:t>
            </w:r>
          </w:p>
        </w:tc>
        <w:tc>
          <w:tcPr>
            <w:tcW w:w="160" w:type="dxa"/>
            <w:vAlign w:val="bottom"/>
          </w:tcPr>
          <w:p>
            <w:pPr>
              <w:spacing w:after="0"/>
              <w:rPr>
                <w:sz w:val="20"/>
                <w:szCs w:val="20"/>
                <w:color w:val="auto"/>
              </w:rPr>
            </w:pPr>
          </w:p>
        </w:tc>
        <w:tc>
          <w:tcPr>
            <w:tcW w:w="190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common stock available for future issuance under the 2020 ESPP</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700,000</w:t>
            </w: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40"/>
              <w:spacing w:after="0"/>
              <w:rPr>
                <w:sz w:val="20"/>
                <w:szCs w:val="20"/>
                <w:color w:val="auto"/>
              </w:rPr>
            </w:pPr>
            <w:r>
              <w:rPr>
                <w:rFonts w:ascii="Arial" w:cs="Arial" w:eastAsia="Arial" w:hAnsi="Arial"/>
                <w:sz w:val="18"/>
                <w:szCs w:val="18"/>
                <w:color w:val="auto"/>
              </w:rPr>
              <w:t>Total shares reserved for future issuance</w:t>
            </w:r>
          </w:p>
        </w:tc>
        <w:tc>
          <w:tcPr>
            <w:tcW w:w="10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7,338,314</w:t>
            </w:r>
          </w:p>
        </w:tc>
        <w:tc>
          <w:tcPr>
            <w:tcW w:w="1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20,346,844</w:t>
            </w:r>
          </w:p>
        </w:tc>
      </w:tr>
      <w:tr>
        <w:trPr>
          <w:trHeight w:val="20"/>
        </w:trPr>
        <w:tc>
          <w:tcPr>
            <w:tcW w:w="7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 Awards</w:t>
      </w:r>
    </w:p>
    <w:p>
      <w:pPr>
        <w:spacing w:after="0" w:line="185" w:lineRule="exact"/>
        <w:rPr>
          <w:sz w:val="20"/>
          <w:szCs w:val="20"/>
          <w:color w:val="auto"/>
        </w:rPr>
      </w:pPr>
    </w:p>
    <w:p>
      <w:pPr>
        <w:ind w:right="160" w:firstLine="501"/>
        <w:spacing w:after="0" w:line="263" w:lineRule="auto"/>
        <w:rPr>
          <w:sz w:val="20"/>
          <w:szCs w:val="20"/>
          <w:color w:val="auto"/>
        </w:rPr>
      </w:pPr>
      <w:r>
        <w:rPr>
          <w:rFonts w:ascii="Arial" w:cs="Arial" w:eastAsia="Arial" w:hAnsi="Arial"/>
          <w:sz w:val="18"/>
          <w:szCs w:val="18"/>
          <w:color w:val="auto"/>
        </w:rPr>
        <w:t>During 2015, the Company’s board of directors granted common stock awards to the Company’s founders in exchange for services provided to the Company. The purchase price of the common stock awards was the estimated fair value at the issuance date. The shares vest from one to four years and vesting could be accelerated upon a change in control. The vesting of certain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based grants of restricted stock awards were contingent upon the filing of an Investigational New Drug Application by the Company with the FDA.</w:t>
      </w:r>
    </w:p>
    <w:p>
      <w:pPr>
        <w:spacing w:after="0" w:line="210" w:lineRule="exact"/>
        <w:rPr>
          <w:sz w:val="20"/>
          <w:szCs w:val="20"/>
          <w:color w:val="auto"/>
        </w:rPr>
      </w:pPr>
    </w:p>
    <w:p>
      <w:pPr>
        <w:ind w:right="180" w:firstLine="501"/>
        <w:spacing w:after="0" w:line="273" w:lineRule="auto"/>
        <w:rPr>
          <w:sz w:val="20"/>
          <w:szCs w:val="20"/>
          <w:color w:val="auto"/>
        </w:rPr>
      </w:pPr>
      <w:r>
        <w:rPr>
          <w:rFonts w:ascii="Arial" w:cs="Arial" w:eastAsia="Arial" w:hAnsi="Arial"/>
          <w:sz w:val="17"/>
          <w:szCs w:val="17"/>
          <w:color w:val="auto"/>
        </w:rPr>
        <w:t>If the holder of founders’ common stock award terminates their relationship with the Company during the vesting period, the Company may repurchase any unvested restricted common stock held by these individuals at their original purchase price. During the vesting term, holders of founders’ common stock awards are deemed to be common stockholders and have dividend and voting rights. The Company issued 745,244 shares of founders’ common stock during 2015. No founders’ common stock awards were granted in subsequent years. Total compensation expense was $25,000 for these founders’ common stock awards, which are recorded to operating expenses in the statements of operations over their respective vesting period. As of December 31, 2019, all shares of founders’ common stock awards were fully vested.</w:t>
      </w:r>
    </w:p>
    <w:p>
      <w:pPr>
        <w:spacing w:after="0" w:line="228"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w:t>
      </w:r>
    </w:p>
    <w:p>
      <w:pPr>
        <w:spacing w:after="0" w:line="189"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In August 2015, the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137"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registrant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As of December 31, 2020, 3.6 million shares remained available for issuance under the 2020 Plan.</w:t>
      </w:r>
    </w:p>
    <w:p>
      <w:pPr>
        <w:spacing w:after="0" w:line="14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Prior to the adoption of the 2020 Plan, options under the 2015 Plan could be granted for periods of up to 10 years and at prices no less than 100% of the estimated fair value of the shares on the date of grant as determined by the board of directors, provided, however, that the exercise price of an incentive stock option granted to a 10.0% shareholder could not be less than 110.0% of the estimated fair value of the shares on the date of grant and the option was not exercisable after the expiration of five years from the date of grant.</w:t>
      </w:r>
    </w:p>
    <w:p>
      <w:pPr>
        <w:spacing w:after="0" w:line="146" w:lineRule="exact"/>
        <w:rPr>
          <w:sz w:val="20"/>
          <w:szCs w:val="20"/>
          <w:color w:val="auto"/>
        </w:rPr>
      </w:pPr>
    </w:p>
    <w:p>
      <w:pPr>
        <w:jc w:val="both"/>
        <w:ind w:right="320" w:firstLine="510"/>
        <w:spacing w:after="0" w:line="259" w:lineRule="auto"/>
        <w:rPr>
          <w:sz w:val="20"/>
          <w:szCs w:val="20"/>
          <w:color w:val="auto"/>
        </w:rPr>
      </w:pPr>
      <w:r>
        <w:rPr>
          <w:rFonts w:ascii="Arial" w:cs="Arial" w:eastAsia="Arial" w:hAnsi="Arial"/>
          <w:sz w:val="18"/>
          <w:szCs w:val="18"/>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98" w:lineRule="exact"/>
        <w:rPr>
          <w:sz w:val="20"/>
          <w:szCs w:val="20"/>
          <w:color w:val="auto"/>
        </w:rPr>
      </w:pPr>
    </w:p>
    <w:p>
      <w:pPr>
        <w:ind w:firstLine="494"/>
        <w:spacing w:after="0" w:line="293" w:lineRule="auto"/>
        <w:rPr>
          <w:sz w:val="20"/>
          <w:szCs w:val="20"/>
          <w:color w:val="auto"/>
        </w:rPr>
      </w:pPr>
      <w:r>
        <w:rPr>
          <w:rFonts w:ascii="Arial" w:cs="Arial" w:eastAsia="Arial" w:hAnsi="Arial"/>
          <w:sz w:val="16"/>
          <w:szCs w:val="16"/>
          <w:color w:val="auto"/>
        </w:rPr>
        <w:t>The Company granted restricted stock awards under the 2015 Plan. The purchase price of the restricted common stock awards was the estimated fair value as determined by the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a common stock shareholder and have dividends and voting rights.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36" w:name="page137"/>
    <w:bookmarkEnd w:id="136"/>
    <w:p>
      <w:pPr>
        <w:ind w:right="140" w:firstLine="501"/>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December 31, 2020 and 2019, the Company recorded a liability included in accrued expenses and other liabilities of $10,000 and $22,000, respectively.</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restricted stock awards granted during the years ended December 31, 2020 and 2019.</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restricted stock activity during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of Shares</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and unvested, as of December 31, 2019</w:t>
            </w:r>
          </w:p>
        </w:tc>
        <w:tc>
          <w:tcPr>
            <w:tcW w:w="16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302,211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(163,568)</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Repurchases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420" w:type="dxa"/>
            <w:vAlign w:val="bottom"/>
            <w:tcBorders>
              <w:bottom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tcPr>
          <w:p>
            <w:pPr>
              <w:jc w:val="right"/>
              <w:ind w:right="58"/>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and unvested, as of December 31, 2020</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126,522</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01"/>
        <w:spacing w:after="0" w:line="308" w:lineRule="auto"/>
        <w:rPr>
          <w:sz w:val="20"/>
          <w:szCs w:val="20"/>
          <w:color w:val="auto"/>
        </w:rPr>
      </w:pPr>
      <w:r>
        <w:rPr>
          <w:rFonts w:ascii="Arial" w:cs="Arial" w:eastAsia="Arial" w:hAnsi="Arial"/>
          <w:sz w:val="17"/>
          <w:szCs w:val="17"/>
          <w:color w:val="auto"/>
        </w:rPr>
        <w:t>Restricted stock awards of 4,195 shares with a weighted-average grant date fair value of $0.08 per share, were not purchased by the award holders as of December 31, 2020. As these shares of the restricted common stock awards were not issued, they are not included in the table above.</w:t>
      </w:r>
    </w:p>
    <w:p>
      <w:pPr>
        <w:spacing w:after="0" w:line="106"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The aggregate fair value of restricted stock awards vested during the years ended December 31, 2020 and 2019 was $0.2 million and $0.4 million, respectively. Total intrinsic value of outstanding unvested restricted stock awards as of December 31, 2020 and 2019 was $2.9 million and $2.1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 options issued under either the 2015 Plan or the 2020 Plan generally vest over a four-year period and expire ten years from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options provide for accelerated vesting if there is a change in control, as defined in the respective plans.</w:t>
      </w:r>
    </w:p>
    <w:p>
      <w:pPr>
        <w:spacing w:after="0" w:line="170" w:lineRule="exact"/>
        <w:rPr>
          <w:sz w:val="20"/>
          <w:szCs w:val="20"/>
          <w:color w:val="auto"/>
        </w:rPr>
      </w:pPr>
    </w:p>
    <w:p>
      <w:pPr>
        <w:ind w:right="200" w:firstLine="501"/>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214"/>
              <w:spacing w:after="0" w:line="155"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537"/>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72.10% - 77.50%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80" w:type="dxa"/>
            <w:vAlign w:val="bottom"/>
            <w:gridSpan w:val="5"/>
            <w:shd w:val="clear" w:color="auto" w:fill="CFF0FC"/>
          </w:tcPr>
          <w:p>
            <w:pPr>
              <w:jc w:val="center"/>
              <w:ind w:right="37"/>
              <w:spacing w:after="0"/>
              <w:rPr>
                <w:sz w:val="20"/>
                <w:szCs w:val="20"/>
                <w:color w:val="auto"/>
              </w:rPr>
            </w:pPr>
            <w:r>
              <w:rPr>
                <w:rFonts w:ascii="Arial" w:cs="Arial" w:eastAsia="Arial" w:hAnsi="Arial"/>
                <w:sz w:val="18"/>
                <w:szCs w:val="18"/>
                <w:color w:val="auto"/>
                <w:w w:val="91"/>
              </w:rPr>
              <w:t>74.80% - 82.53%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left="74"/>
              <w:spacing w:after="0"/>
              <w:rPr>
                <w:sz w:val="20"/>
                <w:szCs w:val="20"/>
                <w:color w:val="auto"/>
              </w:rPr>
            </w:pPr>
            <w:r>
              <w:rPr>
                <w:rFonts w:ascii="Arial" w:cs="Arial" w:eastAsia="Arial" w:hAnsi="Arial"/>
                <w:sz w:val="18"/>
                <w:szCs w:val="18"/>
                <w:color w:val="auto"/>
                <w:w w:val="91"/>
              </w:rPr>
              <w:t>0.27% - 0.82%</w:t>
            </w:r>
          </w:p>
        </w:tc>
        <w:tc>
          <w:tcPr>
            <w:tcW w:w="80" w:type="dxa"/>
            <w:vAlign w:val="bottom"/>
          </w:tcPr>
          <w:p>
            <w:pPr>
              <w:spacing w:after="0"/>
              <w:rPr>
                <w:sz w:val="19"/>
                <w:szCs w:val="19"/>
                <w:color w:val="auto"/>
              </w:rPr>
            </w:pPr>
          </w:p>
        </w:tc>
        <w:tc>
          <w:tcPr>
            <w:tcW w:w="2560" w:type="dxa"/>
            <w:vAlign w:val="bottom"/>
            <w:gridSpan w:val="7"/>
          </w:tcPr>
          <w:p>
            <w:pPr>
              <w:jc w:val="center"/>
              <w:ind w:left="399"/>
              <w:spacing w:after="0"/>
              <w:rPr>
                <w:sz w:val="20"/>
                <w:szCs w:val="20"/>
                <w:color w:val="auto"/>
              </w:rPr>
            </w:pPr>
            <w:r>
              <w:rPr>
                <w:rFonts w:ascii="Arial" w:cs="Arial" w:eastAsia="Arial" w:hAnsi="Arial"/>
                <w:sz w:val="18"/>
                <w:szCs w:val="18"/>
                <w:color w:val="auto"/>
                <w:w w:val="91"/>
              </w:rPr>
              <w:t>1.43% - 2.59%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w:t>
            </w:r>
          </w:p>
        </w:tc>
        <w:tc>
          <w:tcPr>
            <w:tcW w:w="1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194"/>
              <w:spacing w:after="0"/>
              <w:rPr>
                <w:sz w:val="20"/>
                <w:szCs w:val="20"/>
                <w:color w:val="auto"/>
              </w:rPr>
            </w:pPr>
            <w:r>
              <w:rPr>
                <w:rFonts w:ascii="Arial" w:cs="Arial" w:eastAsia="Arial" w:hAnsi="Arial"/>
                <w:sz w:val="18"/>
                <w:szCs w:val="18"/>
                <w:color w:val="auto"/>
                <w:w w:val="90"/>
              </w:rPr>
              <w:t>5.26 - 6.75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center"/>
              <w:ind w:right="537"/>
              <w:spacing w:after="0"/>
              <w:rPr>
                <w:sz w:val="20"/>
                <w:szCs w:val="20"/>
                <w:color w:val="auto"/>
              </w:rPr>
            </w:pPr>
            <w:r>
              <w:rPr>
                <w:rFonts w:ascii="Arial" w:cs="Arial" w:eastAsia="Arial" w:hAnsi="Arial"/>
                <w:sz w:val="18"/>
                <w:szCs w:val="18"/>
                <w:color w:val="auto"/>
                <w:w w:val="90"/>
              </w:rPr>
              <w:t>5.00 - 6.08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Underlying common stock fair value</w:t>
            </w:r>
          </w:p>
        </w:tc>
        <w:tc>
          <w:tcPr>
            <w:tcW w:w="1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54"/>
              <w:spacing w:after="0"/>
              <w:rPr>
                <w:sz w:val="20"/>
                <w:szCs w:val="20"/>
                <w:color w:val="auto"/>
              </w:rPr>
            </w:pPr>
            <w:r>
              <w:rPr>
                <w:rFonts w:ascii="Arial" w:cs="Arial" w:eastAsia="Arial" w:hAnsi="Arial"/>
                <w:sz w:val="18"/>
                <w:szCs w:val="18"/>
                <w:color w:val="auto"/>
                <w:w w:val="89"/>
              </w:rPr>
              <w:t>6.22 - 28.79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center"/>
              <w:ind w:right="537"/>
              <w:spacing w:after="0"/>
              <w:rPr>
                <w:sz w:val="20"/>
                <w:szCs w:val="20"/>
                <w:color w:val="auto"/>
              </w:rPr>
            </w:pPr>
            <w:r>
              <w:rPr>
                <w:rFonts w:ascii="Arial" w:cs="Arial" w:eastAsia="Arial" w:hAnsi="Arial"/>
                <w:sz w:val="18"/>
                <w:szCs w:val="18"/>
                <w:color w:val="auto"/>
                <w:w w:val="90"/>
              </w:rPr>
              <w:t>5.15 - 7.08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140" w:type="dxa"/>
            <w:vAlign w:val="bottom"/>
            <w:gridSpan w:val="4"/>
          </w:tcPr>
          <w:p>
            <w:pPr>
              <w:ind w:left="500"/>
              <w:spacing w:after="0"/>
              <w:rPr>
                <w:sz w:val="20"/>
                <w:szCs w:val="20"/>
                <w:color w:val="auto"/>
              </w:rPr>
            </w:pPr>
            <w:r>
              <w:rPr>
                <w:rFonts w:ascii="Arial" w:cs="Arial" w:eastAsia="Arial" w:hAnsi="Arial"/>
                <w:sz w:val="18"/>
                <w:szCs w:val="18"/>
                <w:color w:val="auto"/>
              </w:rPr>
              <w:t>A summary of option activity under the 2015 Plan and the 2020 Plan is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08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8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4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08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9"/>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Price per Share</w:t>
            </w:r>
          </w:p>
        </w:tc>
        <w:tc>
          <w:tcPr>
            <w:tcW w:w="108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4"/>
              </w:rPr>
              <w:t>Term (in Years)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1,337,501</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ind w:right="38"/>
              <w:spacing w:after="0"/>
              <w:rPr>
                <w:sz w:val="20"/>
                <w:szCs w:val="20"/>
                <w:color w:val="auto"/>
              </w:rPr>
            </w:pPr>
            <w:r>
              <w:rPr>
                <w:rFonts w:ascii="Arial" w:cs="Arial" w:eastAsia="Arial" w:hAnsi="Arial"/>
                <w:sz w:val="18"/>
                <w:szCs w:val="18"/>
                <w:color w:val="auto"/>
              </w:rPr>
              <w:t>1,830,738</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(136,223)</w:t>
            </w: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(38,161)</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2,993,855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36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43,890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2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4"/>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auto"/>
              </w:rPr>
              <w:t>8.22</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color w:val="auto"/>
              </w:rPr>
              <w:t>13,664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736,601</w:t>
            </w: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gridSpan w:val="3"/>
            <w:vMerge w:val="continue"/>
          </w:tcPr>
          <w:p>
            <w:pPr>
              <w:spacing w:after="0"/>
              <w:rPr>
                <w:sz w:val="21"/>
                <w:szCs w:val="21"/>
                <w:color w:val="auto"/>
              </w:rPr>
            </w:pPr>
          </w:p>
        </w:tc>
        <w:tc>
          <w:tcPr>
            <w:tcW w:w="360" w:type="dxa"/>
            <w:vAlign w:val="bottom"/>
            <w:tcBorders>
              <w:bottom w:val="single" w:sz="8" w:color="CFF0FC"/>
            </w:tcBorders>
            <w:gridSpan w:val="3"/>
            <w:vMerge w:val="continue"/>
          </w:tcPr>
          <w:p>
            <w:pPr>
              <w:spacing w:after="0"/>
              <w:rPr>
                <w:sz w:val="21"/>
                <w:szCs w:val="21"/>
                <w:color w:val="auto"/>
              </w:rPr>
            </w:pPr>
          </w:p>
        </w:tc>
        <w:tc>
          <w:tcPr>
            <w:tcW w:w="1120" w:type="dxa"/>
            <w:vAlign w:val="bottom"/>
            <w:tcBorders>
              <w:bottom w:val="single" w:sz="8" w:color="CFF0FC"/>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December 31, 2020</w:t>
            </w:r>
          </w:p>
        </w:tc>
        <w:tc>
          <w:tcPr>
            <w:tcW w:w="1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2,993,855</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3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43,890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37" w:name="page138"/>
    <w:bookmarkEnd w:id="137"/>
    <w:p>
      <w:pPr>
        <w:ind w:right="40" w:firstLine="501"/>
        <w:spacing w:after="0" w:line="263" w:lineRule="auto"/>
        <w:rPr>
          <w:sz w:val="20"/>
          <w:szCs w:val="20"/>
          <w:color w:val="auto"/>
        </w:rPr>
      </w:pPr>
      <w:r>
        <w:rPr>
          <w:rFonts w:ascii="Arial" w:cs="Arial" w:eastAsia="Arial" w:hAnsi="Arial"/>
          <w:sz w:val="18"/>
          <w:szCs w:val="18"/>
          <w:color w:val="auto"/>
        </w:rPr>
        <w:t>Aggregate intrinsic value represents the difference between the fair value of the underlying common stock and the exercise price as of December 31, 2020 and 2019. The weighted-average grant date fair value of options granted during years ended December 31, 2020 and 2019 was $7.27 per share and $4.37 per share, respectively.</w:t>
      </w:r>
    </w:p>
    <w:p>
      <w:pPr>
        <w:spacing w:after="0" w:line="184" w:lineRule="exact"/>
        <w:rPr>
          <w:sz w:val="20"/>
          <w:szCs w:val="20"/>
          <w:color w:val="auto"/>
        </w:rPr>
      </w:pPr>
    </w:p>
    <w:p>
      <w:pPr>
        <w:ind w:right="180" w:firstLine="501"/>
        <w:spacing w:after="0" w:line="286" w:lineRule="auto"/>
        <w:rPr>
          <w:sz w:val="20"/>
          <w:szCs w:val="20"/>
          <w:color w:val="auto"/>
        </w:rPr>
      </w:pPr>
      <w:r>
        <w:rPr>
          <w:rFonts w:ascii="Arial" w:cs="Arial" w:eastAsia="Arial" w:hAnsi="Arial"/>
          <w:sz w:val="17"/>
          <w:szCs w:val="17"/>
          <w:color w:val="auto"/>
        </w:rPr>
        <w:t>As of December 31, 2020, there was $0.2 million of unrecognized compensation costs that is expected to be recognized over the weighted-average periods of 1.22 years related to restricted stock awards. As of December 31, 2020, there was $14.3 million of unrecognized compensation costs that is expected to be recognized over the weighted-average periods of 2.72 years related to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98" w:lineRule="exact"/>
        <w:rPr>
          <w:sz w:val="20"/>
          <w:szCs w:val="20"/>
          <w:color w:val="auto"/>
        </w:rPr>
      </w:pPr>
    </w:p>
    <w:p>
      <w:pPr>
        <w:ind w:right="20" w:firstLine="494"/>
        <w:spacing w:after="0" w:line="257" w:lineRule="auto"/>
        <w:rPr>
          <w:sz w:val="20"/>
          <w:szCs w:val="20"/>
          <w:color w:val="auto"/>
        </w:rPr>
      </w:pPr>
      <w:r>
        <w:rPr>
          <w:rFonts w:ascii="Arial" w:cs="Arial" w:eastAsia="Arial" w:hAnsi="Arial"/>
          <w:sz w:val="18"/>
          <w:szCs w:val="18"/>
          <w:color w:val="auto"/>
        </w:rPr>
        <w:t>In June 2020, the Company adopted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(i) 1.0% of the total number of shares of common stock outstanding on December 31 of the preceding calendar year, (ii) 700,000 shares or (iii) such lesser amount as determined by the administrator of the 2020 ESPP, which is the compensation committee of the board of directors.</w:t>
      </w:r>
    </w:p>
    <w:p>
      <w:pPr>
        <w:spacing w:after="0" w:line="147" w:lineRule="exact"/>
        <w:rPr>
          <w:sz w:val="20"/>
          <w:szCs w:val="20"/>
          <w:color w:val="auto"/>
        </w:rPr>
      </w:pPr>
    </w:p>
    <w:p>
      <w:pPr>
        <w:ind w:right="40" w:firstLine="494"/>
        <w:spacing w:after="0" w:line="271" w:lineRule="auto"/>
        <w:rPr>
          <w:sz w:val="20"/>
          <w:szCs w:val="20"/>
          <w:color w:val="auto"/>
        </w:rPr>
      </w:pPr>
      <w:r>
        <w:rPr>
          <w:rFonts w:ascii="Arial" w:cs="Arial" w:eastAsia="Arial" w:hAnsi="Arial"/>
          <w:sz w:val="17"/>
          <w:szCs w:val="17"/>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$0.5 million in stock-based compensation expense for year ended December 31, 2020. There was no stock-based compensation expense attributed to the 2020 ESPP for the year ended December 31, 2019 as the 2020 ESPP was adopted in 2020. As of December 31, 2020, no shares of common stock were issued under the 2020 ESPP. The Company used Black-Scholes option pricing model to estimate stock-based compensation expense for the 2020 ESPP with the following assumptions:</w:t>
      </w:r>
    </w:p>
    <w:p>
      <w:pPr>
        <w:spacing w:after="0" w:line="251"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4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gridSpan w:val="2"/>
          </w:tcPr>
          <w:p>
            <w:pPr>
              <w:spacing w:after="0"/>
              <w:rPr>
                <w:sz w:val="20"/>
                <w:szCs w:val="20"/>
                <w:color w:val="auto"/>
              </w:rPr>
            </w:pPr>
            <w:r>
              <w:rPr>
                <w:rFonts w:ascii="Arial" w:cs="Arial" w:eastAsia="Arial" w:hAnsi="Arial"/>
                <w:sz w:val="18"/>
                <w:szCs w:val="18"/>
                <w:color w:val="auto"/>
              </w:rPr>
              <w:t>Expected term of options (in years)</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9"/>
                <w:szCs w:val="19"/>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40" w:type="dxa"/>
            <w:vAlign w:val="bottom"/>
          </w:tcPr>
          <w:p>
            <w:pPr>
              <w:ind w:left="1340"/>
              <w:spacing w:after="0"/>
              <w:rPr>
                <w:sz w:val="20"/>
                <w:szCs w:val="20"/>
                <w:color w:val="auto"/>
              </w:rPr>
            </w:pPr>
            <w:r>
              <w:rPr>
                <w:rFonts w:ascii="Arial" w:cs="Arial" w:eastAsia="Arial" w:hAnsi="Arial"/>
                <w:sz w:val="18"/>
                <w:szCs w:val="18"/>
                <w:color w:val="auto"/>
              </w:rPr>
              <w:t>—</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ind w:right="840" w:firstLine="501"/>
        <w:spacing w:after="0" w:line="277" w:lineRule="auto"/>
        <w:rPr>
          <w:sz w:val="20"/>
          <w:szCs w:val="20"/>
          <w:color w:val="auto"/>
        </w:rPr>
      </w:pPr>
      <w:r>
        <w:rPr>
          <w:rFonts w:ascii="Arial" w:cs="Arial" w:eastAsia="Arial" w:hAnsi="Arial"/>
          <w:sz w:val="18"/>
          <w:szCs w:val="18"/>
          <w:color w:val="auto"/>
        </w:rPr>
        <w:t>The following table presents the classification of stock-based compensation expense for the years ended December 31, 2020 and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3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34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4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0" w:type="dxa"/>
            <w:vAlign w:val="bottom"/>
            <w:vMerge w:val="restart"/>
          </w:tcPr>
          <w:p>
            <w:pPr>
              <w:jc w:val="right"/>
              <w:ind w:right="1870"/>
              <w:spacing w:after="0"/>
              <w:rPr>
                <w:sz w:val="20"/>
                <w:szCs w:val="20"/>
                <w:color w:val="auto"/>
              </w:rPr>
            </w:pPr>
            <w:r>
              <w:rPr>
                <w:rFonts w:ascii="Arial" w:cs="Arial" w:eastAsia="Arial" w:hAnsi="Arial"/>
                <w:sz w:val="18"/>
                <w:szCs w:val="18"/>
                <w:color w:val="auto"/>
              </w:rPr>
              <w:t>136</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3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38" w:name="page139"/>
    <w:bookmarkEnd w:id="138"/>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40" w:firstLine="501"/>
        <w:spacing w:after="0" w:line="311" w:lineRule="auto"/>
        <w:rPr>
          <w:sz w:val="20"/>
          <w:szCs w:val="20"/>
          <w:color w:val="auto"/>
        </w:rPr>
      </w:pPr>
      <w:r>
        <w:rPr>
          <w:rFonts w:ascii="Arial" w:cs="Arial" w:eastAsia="Arial" w:hAnsi="Arial"/>
          <w:sz w:val="16"/>
          <w:szCs w:val="16"/>
          <w:color w:val="auto"/>
        </w:rPr>
        <w:t>The Company had a pre-tax U.S. book loss of $41.5 million and $0.6 million for the years ended December 31, 2020 and 2019, respectively. For the years ended December 31, 2020 and 2019, the Company did not record an income tax provision. The Company will continue to maintain a 100% valuation allowance on total deferred tax assets. The Company believes it is more likely than not that the related deferred tax asset will not be realized.</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10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CCEEFF"/>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Income tax computed at federal statutory rate</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business credit—federal</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9"/>
        </w:trPr>
        <w:tc>
          <w:tcPr>
            <w:tcW w:w="75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Change in valuation allowance</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Effective income tax rate</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500"/>
              <w:spacing w:after="0"/>
              <w:rPr>
                <w:sz w:val="20"/>
                <w:szCs w:val="20"/>
                <w:color w:val="auto"/>
              </w:rPr>
            </w:pPr>
            <w:r>
              <w:rPr>
                <w:rFonts w:ascii="Arial" w:cs="Arial" w:eastAsia="Arial" w:hAnsi="Arial"/>
                <w:sz w:val="18"/>
                <w:szCs w:val="18"/>
                <w:color w:val="auto"/>
              </w:rPr>
              <w:t>Net deferred tax assets and liabilities consisted of the following (in thousands):</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13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60"/>
              <w:spacing w:after="0"/>
              <w:rPr>
                <w:sz w:val="20"/>
                <w:szCs w:val="20"/>
                <w:color w:val="auto"/>
              </w:rPr>
            </w:pPr>
            <w:r>
              <w:rPr>
                <w:rFonts w:ascii="Arial" w:cs="Arial" w:eastAsia="Arial" w:hAnsi="Arial"/>
                <w:sz w:val="18"/>
                <w:szCs w:val="18"/>
                <w:color w:val="auto"/>
              </w:rPr>
              <w:t>Net operating losses</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27,047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260"/>
              <w:spacing w:after="0"/>
              <w:rPr>
                <w:sz w:val="20"/>
                <w:szCs w:val="20"/>
                <w:color w:val="auto"/>
              </w:rPr>
            </w:pPr>
            <w:r>
              <w:rPr>
                <w:rFonts w:ascii="Arial" w:cs="Arial" w:eastAsia="Arial" w:hAnsi="Arial"/>
                <w:sz w:val="18"/>
                <w:szCs w:val="18"/>
                <w:color w:val="auto"/>
              </w:rPr>
              <w:t>Deferred rent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520" w:type="dxa"/>
            <w:vAlign w:val="bottom"/>
            <w:gridSpan w:val="2"/>
          </w:tcPr>
          <w:p>
            <w:pPr>
              <w:ind w:left="500"/>
              <w:spacing w:after="0"/>
              <w:rPr>
                <w:sz w:val="20"/>
                <w:szCs w:val="20"/>
                <w:color w:val="auto"/>
              </w:rPr>
            </w:pPr>
            <w:r>
              <w:rPr>
                <w:rFonts w:ascii="Arial" w:cs="Arial" w:eastAsia="Arial" w:hAnsi="Arial"/>
                <w:sz w:val="18"/>
                <w:szCs w:val="18"/>
                <w:color w:val="auto"/>
              </w:rPr>
              <w:t>Total deferred tax 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60"/>
              <w:spacing w:after="0"/>
              <w:rPr>
                <w:sz w:val="20"/>
                <w:szCs w:val="20"/>
                <w:color w:val="auto"/>
              </w:rPr>
            </w:pPr>
            <w:r>
              <w:rPr>
                <w:rFonts w:ascii="Arial" w:cs="Arial" w:eastAsia="Arial" w:hAnsi="Arial"/>
                <w:sz w:val="18"/>
                <w:szCs w:val="18"/>
                <w:color w:val="auto"/>
              </w:rPr>
              <w:t>Asset basis</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deferred tax liabilities</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35,441</w:t>
            </w: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Net deferred 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ind w:left="500"/>
              <w:spacing w:after="0"/>
              <w:rPr>
                <w:sz w:val="20"/>
                <w:szCs w:val="20"/>
                <w:color w:val="auto"/>
              </w:rPr>
            </w:pPr>
            <w:r>
              <w:rPr>
                <w:rFonts w:ascii="Arial" w:cs="Arial" w:eastAsia="Arial" w:hAnsi="Arial"/>
                <w:sz w:val="18"/>
                <w:szCs w:val="18"/>
                <w:color w:val="auto"/>
              </w:rPr>
              <w:t>Net operating losses and tax credit carryforwards were as follows (in thousands):</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5"/>
              </w:rPr>
              <w:t>Expiration Year</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operating losses, federal (starting from January 1, 2018)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66,963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0"/>
              </w:rPr>
              <w:t>Does not expire</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Net operating losses, federal (before January 1, 2018)</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29,486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12"/>
              <w:spacing w:after="0"/>
              <w:rPr>
                <w:sz w:val="20"/>
                <w:szCs w:val="20"/>
                <w:color w:val="auto"/>
              </w:rPr>
            </w:pPr>
            <w:r>
              <w:rPr>
                <w:rFonts w:ascii="Arial" w:cs="Arial" w:eastAsia="Arial" w:hAnsi="Arial"/>
                <w:sz w:val="18"/>
                <w:szCs w:val="18"/>
                <w:color w:val="auto"/>
                <w:w w:val="90"/>
              </w:rPr>
              <w:t>2035-2037</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operating losses, state</w:t>
            </w:r>
          </w:p>
        </w:tc>
        <w:tc>
          <w:tcPr>
            <w:tcW w:w="4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0"/>
              </w:rPr>
              <w:t>2035-2040</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Tax credits, federal</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12"/>
              <w:spacing w:after="0"/>
              <w:rPr>
                <w:sz w:val="20"/>
                <w:szCs w:val="20"/>
                <w:color w:val="auto"/>
              </w:rPr>
            </w:pPr>
            <w:r>
              <w:rPr>
                <w:rFonts w:ascii="Arial" w:cs="Arial" w:eastAsia="Arial" w:hAnsi="Arial"/>
                <w:sz w:val="18"/>
                <w:szCs w:val="18"/>
                <w:color w:val="auto"/>
                <w:w w:val="90"/>
              </w:rPr>
              <w:t>2036-2040</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 state</w:t>
            </w:r>
          </w:p>
        </w:tc>
        <w:tc>
          <w:tcPr>
            <w:tcW w:w="4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0"/>
              </w:rPr>
              <w:t>Does not expire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Utilization of the net operating loss carryforwards and research credit carryforwards may be subject to an annual limitation due to the ownership percentage change limitations provided by the Internal Revenue Code (“IRC”) and similar state provisions. Annual limitations may result in the expiration of the net operating losses and tax credit carryforwards before they are utilized. The Company performed a IRC Section 382 analysis through December 31, 2020 and does not expect any previous ownership changes to result in a limitation that will reduce the total amount of net operating loss and tax credit carryforwards disclosed that can be utilized. Subsequent ownership changes may affect the limitation in future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9" w:name="page140"/>
    <w:bookmarkEnd w:id="139"/>
    <w:p>
      <w:pPr>
        <w:ind w:right="80" w:firstLine="501"/>
        <w:spacing w:after="0" w:line="259" w:lineRule="auto"/>
        <w:rPr>
          <w:sz w:val="20"/>
          <w:szCs w:val="20"/>
          <w:color w:val="auto"/>
        </w:rPr>
      </w:pPr>
      <w:r>
        <w:rPr>
          <w:rFonts w:ascii="Arial" w:cs="Arial" w:eastAsia="Arial" w:hAnsi="Arial"/>
          <w:sz w:val="18"/>
          <w:szCs w:val="18"/>
          <w:color w:val="auto"/>
        </w:rPr>
        <w:t>During the years ended December 31, 2020 and 2019, the Company recorded a full valuation allowance on federal and state deferred balances since management does not forecast the Company to be in a profitable position in the near future. Changes in the valuation allowance for deferred tax assets during the years ended December 31, 2020 and 2019 related primarily to the increases in net operating loss carryforwards and research and development tax credit carryforwards and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the beginning of the year</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21,929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20,240</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recorded to income tax provision</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13,512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1,689</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 at the end of the year</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35,441</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21,929</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501"/>
        <w:spacing w:after="0" w:line="259" w:lineRule="auto"/>
        <w:rPr>
          <w:sz w:val="20"/>
          <w:szCs w:val="20"/>
          <w:color w:val="auto"/>
        </w:rPr>
      </w:pPr>
      <w:r>
        <w:rPr>
          <w:rFonts w:ascii="Arial" w:cs="Arial" w:eastAsia="Arial" w:hAnsi="Arial"/>
          <w:sz w:val="18"/>
          <w:szCs w:val="18"/>
          <w:color w:val="auto"/>
        </w:rPr>
        <w:t>The Company’s U.S. federal and state income tax returns are generally subject to tax examinations for the tax years ended December 31, 2017 through December 31, 2020.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60"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2020 and 2019,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January 1</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570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Additions (reductions) for tax positions of prior year</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1,355</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494"/>
        <w:spacing w:after="0" w:line="263" w:lineRule="auto"/>
        <w:rPr>
          <w:sz w:val="20"/>
          <w:szCs w:val="20"/>
          <w:color w:val="auto"/>
        </w:rPr>
      </w:pPr>
      <w:r>
        <w:rPr>
          <w:rFonts w:ascii="Arial" w:cs="Arial" w:eastAsia="Arial" w:hAnsi="Arial"/>
          <w:sz w:val="18"/>
          <w:szCs w:val="18"/>
          <w:color w:val="auto"/>
        </w:rPr>
        <w:t>On March 27, 2020, the Coronavirus Aid, Relief, and Economic Security Act (the "Cares Act") was enacted. The CARES Act changed net loss carryforward and back provisions and the business interest expenses limitation. The Company has evaluated the impact of the CARES Act and determined that none of the changes would result in a material cash benefit to the Company.</w:t>
      </w:r>
    </w:p>
    <w:p>
      <w:pPr>
        <w:spacing w:after="0" w:line="274"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85" w:lineRule="exact"/>
        <w:rPr>
          <w:sz w:val="20"/>
          <w:szCs w:val="20"/>
          <w:color w:val="auto"/>
        </w:rPr>
      </w:pPr>
    </w:p>
    <w:p>
      <w:pPr>
        <w:ind w:right="420" w:firstLine="501"/>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cancelable on 30 days’ notice and the obligations under these contracts are largely based on services performed.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 Notes 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December 31, 2020 and 2019.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0" w:name="page141"/>
    <w:bookmarkEnd w:id="140"/>
    <w:p>
      <w:pPr>
        <w:ind w:left="500"/>
        <w:spacing w:after="0"/>
        <w:rPr>
          <w:sz w:val="20"/>
          <w:szCs w:val="20"/>
          <w:color w:val="auto"/>
        </w:rPr>
      </w:pPr>
      <w:r>
        <w:rPr>
          <w:rFonts w:ascii="Arial" w:cs="Arial" w:eastAsia="Arial" w:hAnsi="Arial"/>
          <w:sz w:val="17"/>
          <w:szCs w:val="17"/>
          <w:color w:val="auto"/>
        </w:rPr>
        <w:t>Rent expense, including common area maintenance expense, was $2.5 million for each of the year ended December 31, 2020 and 2019.</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Lease as of December 31, 2020 were as follows (in thousands):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740" w:type="dxa"/>
            <w:vAlign w:val="bottom"/>
          </w:tcPr>
          <w:p>
            <w:pPr>
              <w:jc w:val="right"/>
              <w:ind w:right="473"/>
              <w:spacing w:after="0"/>
              <w:rPr>
                <w:sz w:val="20"/>
                <w:szCs w:val="20"/>
                <w:color w:val="auto"/>
              </w:rPr>
            </w:pPr>
            <w:r>
              <w:rPr>
                <w:rFonts w:ascii="Arial" w:cs="Arial" w:eastAsia="Arial" w:hAnsi="Arial"/>
                <w:sz w:val="14"/>
                <w:szCs w:val="14"/>
                <w:b w:val="1"/>
                <w:bCs w:val="1"/>
                <w:color w:val="auto"/>
              </w:rPr>
              <w:t>Operating Lease</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7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2,027</w:t>
            </w: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2022</w:t>
            </w:r>
          </w:p>
        </w:tc>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2,098</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2,171</w:t>
            </w: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2024</w:t>
            </w:r>
          </w:p>
        </w:tc>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2,247</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7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1,144</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9,687</w:t>
            </w:r>
          </w:p>
        </w:tc>
      </w:tr>
      <w:tr>
        <w:trPr>
          <w:trHeight w:val="20"/>
        </w:trPr>
        <w:tc>
          <w:tcPr>
            <w:tcW w:w="22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5"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42"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2019, certain employees of Third Rock Ventures, a stockholder of the Company, provided consulting services to the Company. Commencing January 2020, Third Rock Ventures ceased providing management consulting services to the Company. The Company recorded no consulting expenses for consulting services provided by Third Rock Ventures during the year ended December 31, 2020. The Company recorded Third Rock Ventures consulting expenses to general and administrative expense of $36,000 for the year ended December 31, 2019.</w:t>
      </w:r>
    </w:p>
    <w:p>
      <w:pPr>
        <w:spacing w:after="0" w:line="144"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In March 2020, the Company granted 26,573 stock options with a grant date fair value of $0.1 million to a partner at Third Rock Ventures, who is also serving as a non-employee director on the Company’s Board of Directors. The common shares subject to these options vest 1/12th on the last day of each calendar quarter over a three-year period and commenced vesting upon our IPO. In order to vest at each calendar quarter end date, the shareholder must be providing continuous service to the Company through such vesting date. The stock-based compensation expense related to these options was immaterial during the years ended December 31, 2020.</w:t>
      </w:r>
    </w:p>
    <w:p>
      <w:pPr>
        <w:spacing w:after="0" w:line="14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From time to time, the Company makes charitable contributions to the University of California, San Francisco Foundation (the “UCSF Foundation”), which are directed to support research performed in the laboratories of three of the Company’s scientific founders. The Company made charitable contributions to the UCSF Foundation in the amount of $0.7 million and $0.4 million during the years ended December 31, 2020 and 2019, respectively. The Company paid its scientific founders, who are members of the Company’s scientific advisory board, $0.2 million during the years ended December 31, 2020 and 2019.</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October 2019, the Company entered into the Novartis Agreement with Novartis covering the development and commercialization of Pliant’s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shares as a part of a Series C equity offering and the remaining $10.0 million was completed in a private placement for common shares upon the Company’s IPO. As of December 31, 2020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1" w:name="page142"/>
    <w:bookmarkEnd w:id="141"/>
    <w:p>
      <w:pPr>
        <w:ind w:right="280"/>
        <w:spacing w:after="0" w:line="277" w:lineRule="auto"/>
        <w:rPr>
          <w:sz w:val="20"/>
          <w:szCs w:val="20"/>
          <w:color w:val="auto"/>
        </w:rPr>
      </w:pPr>
      <w:r>
        <w:rPr>
          <w:rFonts w:ascii="Arial" w:cs="Arial" w:eastAsia="Arial" w:hAnsi="Arial"/>
          <w:sz w:val="18"/>
          <w:szCs w:val="18"/>
          <w:color w:val="auto"/>
        </w:rPr>
        <w:t>2019, Novartis owned approximately 6.1% and 7.4 %, respectively, of our outstanding shares of common stock on a fully diluted basis. See Notes 6 and Note 9 for additional information.</w:t>
      </w:r>
    </w:p>
    <w:p>
      <w:pPr>
        <w:spacing w:after="0" w:line="220"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89" w:lineRule="exact"/>
        <w:rPr>
          <w:sz w:val="20"/>
          <w:szCs w:val="20"/>
          <w:color w:val="auto"/>
        </w:rPr>
      </w:pPr>
    </w:p>
    <w:p>
      <w:pPr>
        <w:ind w:right="160" w:firstLine="494"/>
        <w:spacing w:after="0" w:line="31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$0.4 million and $0.2 million for the years ended December 31, 2020 and 2019, respectively.</w:t>
      </w:r>
    </w:p>
    <w:p>
      <w:pPr>
        <w:spacing w:after="0" w:line="199"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202" w:lineRule="exact"/>
        <w:rPr>
          <w:sz w:val="20"/>
          <w:szCs w:val="20"/>
          <w:color w:val="auto"/>
        </w:rPr>
      </w:pPr>
    </w:p>
    <w:p>
      <w:pPr>
        <w:ind w:right="220" w:firstLine="501"/>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16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18,442,233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2,993,855</w:t>
            </w:r>
          </w:p>
        </w:tc>
        <w:tc>
          <w:tcPr>
            <w:tcW w:w="160" w:type="dxa"/>
            <w:vAlign w:val="bottom"/>
          </w:tcPr>
          <w:p>
            <w:pPr>
              <w:spacing w:after="0"/>
              <w:rPr>
                <w:sz w:val="19"/>
                <w:szCs w:val="19"/>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1,337,501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granted and not purchased</w:t>
            </w:r>
          </w:p>
        </w:tc>
        <w:tc>
          <w:tcPr>
            <w:tcW w:w="16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4,195</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4,195</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shares</w:t>
            </w:r>
          </w:p>
        </w:tc>
        <w:tc>
          <w:tcPr>
            <w:tcW w:w="1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126,522</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302,211</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3,124,572</w:t>
            </w:r>
          </w:p>
        </w:tc>
        <w:tc>
          <w:tcPr>
            <w:tcW w:w="1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20,086,140</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501"/>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Less: accretion to redemption value and dividends on redeemable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convertible preferred shares</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i w:val="1"/>
                <w:iCs w:val="1"/>
                <w:color w:val="auto"/>
              </w:rPr>
              <w:t>Denominator</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used to calculate net loss per</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attributable to common stockholders: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21,344,236</w:t>
            </w:r>
          </w:p>
        </w:tc>
        <w:tc>
          <w:tcPr>
            <w:tcW w:w="1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1,623,358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21,344,236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1,623,358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As of December 31, 2020,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65" w:lineRule="exact"/>
        <w:rPr>
          <w:sz w:val="20"/>
          <w:szCs w:val="20"/>
          <w:color w:val="auto"/>
        </w:rPr>
      </w:pPr>
    </w:p>
    <w:p>
      <w:pPr>
        <w:jc w:val="both"/>
        <w:ind w:right="240" w:firstLine="501"/>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2020, the design and operation of our disclosure controls and procedures were effective at a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80" w:firstLine="501"/>
        <w:spacing w:after="0" w:line="301" w:lineRule="auto"/>
        <w:rPr>
          <w:sz w:val="20"/>
          <w:szCs w:val="20"/>
          <w:color w:val="auto"/>
        </w:rPr>
      </w:pPr>
      <w:r>
        <w:rPr>
          <w:rFonts w:ascii="Arial" w:cs="Arial" w:eastAsia="Arial" w:hAnsi="Arial"/>
          <w:sz w:val="16"/>
          <w:szCs w:val="16"/>
          <w:color w:val="auto"/>
        </w:rPr>
        <w:t>There was no change in our internal controls over financial reporting identified in connection with the evaluation required by Rule 13a-15(d) and 15d-15(d) of the Exchange Act that occurred during the quarter ended December 31, 2020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220" w:firstLine="501"/>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3" w:name="page144"/>
    <w:bookmarkEnd w:id="143"/>
    <w:p>
      <w:pPr>
        <w:ind w:left="552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100" w:firstLine="501"/>
        <w:spacing w:after="0" w:line="275" w:lineRule="auto"/>
        <w:rPr>
          <w:sz w:val="20"/>
          <w:szCs w:val="20"/>
          <w:color w:val="auto"/>
        </w:rPr>
      </w:pPr>
      <w:r>
        <w:rPr>
          <w:rFonts w:ascii="Arial" w:cs="Arial" w:eastAsia="Arial" w:hAnsi="Arial"/>
          <w:sz w:val="17"/>
          <w:szCs w:val="17"/>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Matters” and “Executive Officers” in our Proxy Statement for our 2021 Annual Meeting of Stockholders. Information required by this item regarding compliance with Section 16(a) of the Exchange Act is incorporated by reference to the information set forth under the caption “Security Ownership of Certain Beneficial Owners and Management” in our Proxy Statement.</w:t>
      </w:r>
    </w:p>
    <w:p>
      <w:pPr>
        <w:spacing w:after="0" w:line="136"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https://pliantrx.com.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360" w:firstLine="501"/>
        <w:spacing w:after="0" w:line="277"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our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ind w:right="280" w:firstLine="501"/>
        <w:spacing w:after="0" w:line="263" w:lineRule="auto"/>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in our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2" w:lineRule="exact"/>
        <w:rPr>
          <w:sz w:val="20"/>
          <w:szCs w:val="20"/>
          <w:color w:val="auto"/>
        </w:rPr>
      </w:pPr>
    </w:p>
    <w:p>
      <w:pPr>
        <w:ind w:firstLine="501"/>
        <w:spacing w:after="0" w:line="308" w:lineRule="auto"/>
        <w:rPr>
          <w:sz w:val="20"/>
          <w:szCs w:val="20"/>
          <w:color w:val="auto"/>
        </w:rPr>
      </w:pPr>
      <w:r>
        <w:rPr>
          <w:rFonts w:ascii="Arial" w:cs="Arial" w:eastAsia="Arial" w:hAnsi="Arial"/>
          <w:sz w:val="17"/>
          <w:szCs w:val="17"/>
          <w:color w:val="auto"/>
        </w:rPr>
        <w:t>Information required by this item regarding principal accounting fees and services is incorporated by reference to the information set forth under the caption “Proposal No. 2—Ratification of Selection of Independent Registered Public Accounting Firm” in our Proxy Statement.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85"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84" w:lineRule="exact"/>
        <w:rPr>
          <w:rFonts w:ascii="Arial" w:cs="Arial" w:eastAsia="Arial" w:hAnsi="Arial"/>
          <w:sz w:val="18"/>
          <w:szCs w:val="18"/>
          <w:color w:val="auto"/>
        </w:rPr>
      </w:pPr>
    </w:p>
    <w:p>
      <w:pPr>
        <w:ind w:left="500" w:right="760" w:hanging="492"/>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 All financial statement schedules are omitted because they are not applicable, not required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or the requested information is included in the financial statements or notes thereto.</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40" w:type="dxa"/>
            <w:vAlign w:val="bottom"/>
            <w:gridSpan w:val="28"/>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0"/>
                <w:szCs w:val="10"/>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8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jc w:val="center"/>
              <w:ind w:right="192"/>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4820" w:type="dxa"/>
            <w:vAlign w:val="bottom"/>
            <w:gridSpan w:val="36"/>
          </w:tcPr>
          <w:p>
            <w:pPr>
              <w:spacing w:after="0"/>
              <w:rPr>
                <w:rFonts w:ascii="Arial" w:cs="Arial" w:eastAsia="Arial" w:hAnsi="Arial"/>
                <w:sz w:val="18"/>
                <w:szCs w:val="18"/>
                <w:color w:val="0000EE"/>
              </w:rPr>
            </w:pPr>
            <w:hyperlink r:id="rId211">
              <w:r>
                <w:rPr>
                  <w:rFonts w:ascii="Arial" w:cs="Arial" w:eastAsia="Arial" w:hAnsi="Arial"/>
                  <w:sz w:val="18"/>
                  <w:szCs w:val="18"/>
                  <w:color w:val="0000EE"/>
                </w:rPr>
                <w:t>Amended and Restated Certificate of Incorporation of the</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001-39303</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11, 2020</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Registrant, as currently in effect.</w:t>
              </w:r>
            </w:hyperlink>
          </w:p>
        </w:tc>
        <w:tc>
          <w:tcPr>
            <w:tcW w:w="68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7"/>
                <w:szCs w:val="17"/>
                <w:color w:val="auto"/>
              </w:rPr>
            </w:pPr>
          </w:p>
        </w:tc>
        <w:tc>
          <w:tcPr>
            <w:tcW w:w="46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Amended and Restated Bylaws of the Registrant, as currently in</w:t>
              </w:r>
            </w:hyperlink>
          </w:p>
        </w:tc>
        <w:tc>
          <w:tcPr>
            <w:tcW w:w="200" w:type="dxa"/>
            <w:vAlign w:val="bottom"/>
            <w:gridSpan w:val="4"/>
          </w:tcPr>
          <w:p>
            <w:pPr>
              <w:spacing w:after="0"/>
              <w:rPr>
                <w:sz w:val="17"/>
                <w:szCs w:val="17"/>
                <w:color w:val="auto"/>
              </w:rPr>
            </w:pPr>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001-39303</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186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9"/>
              </w:rPr>
              <w:t>December 15,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effect.</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Specimen Common Stock Certificate of the Registrant.</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7"/>
              </w:rPr>
              <w:t>S-1/A</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26,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Amended and Restated Investors’ Right Agreement by and</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7"/>
              </w:rPr>
              <w:t>S-1/A</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26,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among the Registrant and certain of its stockholders, dated</w:t>
              </w:r>
            </w:hyperlink>
          </w:p>
        </w:tc>
        <w:tc>
          <w:tcPr>
            <w:tcW w:w="20" w:type="dxa"/>
            <w:vAlign w:val="bottom"/>
            <w:tcBorders>
              <w:top w:val="single" w:sz="8" w:color="0000EE"/>
            </w:tcBorders>
          </w:tcPr>
          <w:p>
            <w:pPr>
              <w:spacing w:after="0"/>
              <w:rPr>
                <w:sz w:val="17"/>
                <w:szCs w:val="17"/>
                <w:color w:val="auto"/>
              </w:rPr>
            </w:pPr>
          </w:p>
        </w:tc>
        <w:tc>
          <w:tcPr>
            <w:tcW w:w="58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December 19, 2010.</w:t>
              </w:r>
            </w:hyperlink>
          </w:p>
        </w:tc>
        <w:tc>
          <w:tcPr>
            <w:tcW w:w="3360" w:type="dxa"/>
            <w:vAlign w:val="bottom"/>
            <w:gridSpan w:val="31"/>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95"/>
              </w:rPr>
              <w:t>4.3</w:t>
            </w:r>
          </w:p>
        </w:tc>
        <w:tc>
          <w:tcPr>
            <w:tcW w:w="8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Description of the Registrant’s Securities</w:t>
              </w:r>
            </w:hyperlink>
          </w:p>
        </w:tc>
        <w:tc>
          <w:tcPr>
            <w:tcW w:w="1860" w:type="dxa"/>
            <w:vAlign w:val="bottom"/>
            <w:gridSpan w:val="2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10.1#</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2020 Stock Option and Incentive Plan and forms of award</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7"/>
              </w:rPr>
              <w:t>S-1/A</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26,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agreement.</w:t>
              </w:r>
            </w:hyperlink>
          </w:p>
        </w:tc>
        <w:tc>
          <w:tcPr>
            <w:tcW w:w="64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10.2#</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2015 Equity Incentive Plan and forms of award agreements</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thereunder</w:t>
              </w:r>
              <w:r>
                <w:rPr>
                  <w:rFonts w:ascii="Arial" w:cs="Arial" w:eastAsia="Arial" w:hAnsi="Arial"/>
                  <w:sz w:val="18"/>
                  <w:szCs w:val="18"/>
                  <w:color w:val="000000"/>
                </w:rPr>
                <w:t>.</w:t>
              </w:r>
            </w:hyperlink>
          </w:p>
        </w:tc>
        <w:tc>
          <w:tcPr>
            <w:tcW w:w="56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10.3#</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2020 Employee Stock Purchase Plan.</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7"/>
              </w:rPr>
              <w:t>S-1/A</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26,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10.4#</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Senior Executive Cash Incentive Bonus Plan.</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10.5#</w:t>
            </w:r>
          </w:p>
        </w:tc>
        <w:tc>
          <w:tcPr>
            <w:tcW w:w="80" w:type="dxa"/>
            <w:vAlign w:val="bottom"/>
          </w:tcPr>
          <w:p>
            <w:pPr>
              <w:spacing w:after="0"/>
              <w:rPr>
                <w:sz w:val="17"/>
                <w:szCs w:val="17"/>
                <w:color w:val="auto"/>
              </w:rPr>
            </w:pPr>
          </w:p>
        </w:tc>
        <w:tc>
          <w:tcPr>
            <w:tcW w:w="33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Non-Employee Director Compensation Policy.</w:t>
              </w:r>
            </w:hyperlink>
          </w:p>
        </w:tc>
        <w:tc>
          <w:tcPr>
            <w:tcW w:w="1460" w:type="dxa"/>
            <w:vAlign w:val="bottom"/>
            <w:gridSpan w:val="21"/>
          </w:tcPr>
          <w:p>
            <w:pPr>
              <w:spacing w:after="0"/>
              <w:rPr>
                <w:sz w:val="17"/>
                <w:szCs w:val="17"/>
                <w:color w:val="auto"/>
              </w:rPr>
            </w:pPr>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7"/>
              </w:rPr>
              <w:t>S-1/A</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26,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10.6#</w:t>
            </w:r>
          </w:p>
        </w:tc>
        <w:tc>
          <w:tcPr>
            <w:tcW w:w="8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Prior Non-Employee Director Compensation Policy.</w:t>
              </w:r>
            </w:hyperlink>
          </w:p>
        </w:tc>
        <w:tc>
          <w:tcPr>
            <w:tcW w:w="1040" w:type="dxa"/>
            <w:vAlign w:val="bottom"/>
            <w:gridSpan w:val="19"/>
          </w:tcPr>
          <w:p>
            <w:pPr>
              <w:spacing w:after="0"/>
              <w:rPr>
                <w:sz w:val="17"/>
                <w:szCs w:val="17"/>
                <w:color w:val="auto"/>
              </w:rPr>
            </w:pPr>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10.7#</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Executive Severance Plan.</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10.8#</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4"/>
              </w:rPr>
            </w:pPr>
            <w:hyperlink r:id="rId222">
              <w:r>
                <w:rPr>
                  <w:rFonts w:ascii="Arial" w:cs="Arial" w:eastAsia="Arial" w:hAnsi="Arial"/>
                  <w:sz w:val="18"/>
                  <w:szCs w:val="18"/>
                  <w:color w:val="0000EE"/>
                  <w:w w:val="94"/>
                </w:rPr>
                <w:t>Offer Letter, by and between the Registrant and Mike Ouimette,</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001-39303</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November 10.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dated August 17, 2020</w:t>
              </w:r>
              <w:r>
                <w:rPr>
                  <w:rFonts w:ascii="Arial" w:cs="Arial" w:eastAsia="Arial" w:hAnsi="Arial"/>
                  <w:sz w:val="18"/>
                  <w:szCs w:val="18"/>
                  <w:color w:val="000000"/>
                </w:rPr>
                <w:t>.</w:t>
              </w:r>
            </w:hyperlink>
          </w:p>
        </w:tc>
        <w:tc>
          <w:tcPr>
            <w:tcW w:w="2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8"/>
              </w:rPr>
              <w:t>10.9#</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Offer Letter, by and between the Registrant and Barbara Howes,</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w w:val="97"/>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dated May 1, 2019.</w:t>
              </w:r>
            </w:hyperlink>
          </w:p>
        </w:tc>
        <w:tc>
          <w:tcPr>
            <w:tcW w:w="2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92"/>
              <w:spacing w:after="0" w:line="196" w:lineRule="exact"/>
              <w:rPr>
                <w:sz w:val="20"/>
                <w:szCs w:val="20"/>
                <w:color w:val="auto"/>
              </w:rPr>
            </w:pPr>
            <w:r>
              <w:rPr>
                <w:rFonts w:ascii="Arial" w:cs="Arial" w:eastAsia="Arial" w:hAnsi="Arial"/>
                <w:sz w:val="18"/>
                <w:szCs w:val="18"/>
                <w:color w:val="auto"/>
                <w:w w:val="90"/>
              </w:rPr>
              <w:t>10.10#</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6"/>
              </w:rPr>
            </w:pPr>
            <w:hyperlink r:id="rId224">
              <w:r>
                <w:rPr>
                  <w:rFonts w:ascii="Arial" w:cs="Arial" w:eastAsia="Arial" w:hAnsi="Arial"/>
                  <w:sz w:val="18"/>
                  <w:szCs w:val="18"/>
                  <w:color w:val="0000EE"/>
                  <w:w w:val="96"/>
                </w:rPr>
                <w:t>Offer Letter, by and between the Registrant and Éric Lefebvre,</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M.D., dated February 28, 2018</w:t>
              </w:r>
              <w:r>
                <w:rPr>
                  <w:rFonts w:ascii="Arial" w:cs="Arial" w:eastAsia="Arial" w:hAnsi="Arial"/>
                  <w:sz w:val="18"/>
                  <w:szCs w:val="18"/>
                  <w:color w:val="000000"/>
                </w:rPr>
                <w:t>.</w:t>
              </w:r>
            </w:hyperlink>
          </w:p>
        </w:tc>
        <w:tc>
          <w:tcPr>
            <w:tcW w:w="3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87"/>
              </w:rPr>
              <w:t>10.11#</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Offer Letter, by and between the Registrant and Keith</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Cummings, M.D., MBA, dated November 29, 2018.</w:t>
              </w:r>
            </w:hyperlink>
          </w:p>
        </w:tc>
        <w:tc>
          <w:tcPr>
            <w:tcW w:w="100" w:type="dxa"/>
            <w:vAlign w:val="bottom"/>
            <w:tcBorders>
              <w:top w:val="single" w:sz="8" w:color="0000EE"/>
            </w:tcBorders>
            <w:gridSpan w:val="2"/>
          </w:tcPr>
          <w:p>
            <w:pPr>
              <w:spacing w:after="0"/>
              <w:rPr>
                <w:sz w:val="17"/>
                <w:szCs w:val="17"/>
                <w:color w:val="auto"/>
              </w:rPr>
            </w:pPr>
          </w:p>
        </w:tc>
        <w:tc>
          <w:tcPr>
            <w:tcW w:w="96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92"/>
              <w:spacing w:after="0" w:line="196" w:lineRule="exact"/>
              <w:rPr>
                <w:sz w:val="20"/>
                <w:szCs w:val="20"/>
                <w:color w:val="auto"/>
              </w:rPr>
            </w:pPr>
            <w:r>
              <w:rPr>
                <w:rFonts w:ascii="Arial" w:cs="Arial" w:eastAsia="Arial" w:hAnsi="Arial"/>
                <w:sz w:val="18"/>
                <w:szCs w:val="18"/>
                <w:color w:val="auto"/>
                <w:w w:val="90"/>
              </w:rPr>
              <w:t>10.12#</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4"/>
              </w:rPr>
            </w:pPr>
            <w:hyperlink r:id="rId226">
              <w:r>
                <w:rPr>
                  <w:rFonts w:ascii="Arial" w:cs="Arial" w:eastAsia="Arial" w:hAnsi="Arial"/>
                  <w:sz w:val="18"/>
                  <w:szCs w:val="18"/>
                  <w:color w:val="0000EE"/>
                  <w:w w:val="94"/>
                </w:rPr>
                <w:t>Offer Letter, by and between the Registrant and Hans Hull, J.D.,</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226">
              <w:r>
                <w:rPr>
                  <w:rFonts w:ascii="Arial" w:cs="Arial" w:eastAsia="Arial" w:hAnsi="Arial"/>
                  <w:sz w:val="18"/>
                  <w:szCs w:val="18"/>
                  <w:color w:val="0000EE"/>
                  <w:w w:val="88"/>
                </w:rPr>
                <w:t>dated February 10, 2016.</w:t>
              </w:r>
            </w:hyperlink>
          </w:p>
        </w:tc>
        <w:tc>
          <w:tcPr>
            <w:tcW w:w="2820" w:type="dxa"/>
            <w:vAlign w:val="bottom"/>
            <w:tcBorders>
              <w:top w:val="single" w:sz="8" w:color="0000EE"/>
            </w:tcBorders>
            <w:gridSpan w:val="25"/>
          </w:tcPr>
          <w:p>
            <w:pPr>
              <w:spacing w:after="0"/>
              <w:rPr>
                <w:sz w:val="17"/>
                <w:szCs w:val="17"/>
                <w:color w:val="auto"/>
              </w:rPr>
            </w:pPr>
          </w:p>
        </w:tc>
        <w:tc>
          <w:tcPr>
            <w:tcW w:w="2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92"/>
              <w:spacing w:after="0" w:line="196" w:lineRule="exact"/>
              <w:rPr>
                <w:sz w:val="20"/>
                <w:szCs w:val="20"/>
                <w:color w:val="auto"/>
              </w:rPr>
            </w:pPr>
            <w:r>
              <w:rPr>
                <w:rFonts w:ascii="Arial" w:cs="Arial" w:eastAsia="Arial" w:hAnsi="Arial"/>
                <w:sz w:val="18"/>
                <w:szCs w:val="18"/>
                <w:color w:val="auto"/>
                <w:w w:val="90"/>
              </w:rPr>
              <w:t>10.13#</w:t>
            </w:r>
          </w:p>
        </w:tc>
        <w:tc>
          <w:tcPr>
            <w:tcW w:w="80" w:type="dxa"/>
            <w:vAlign w:val="bottom"/>
          </w:tcPr>
          <w:p>
            <w:pPr>
              <w:spacing w:after="0"/>
              <w:rPr>
                <w:sz w:val="17"/>
                <w:szCs w:val="17"/>
                <w:color w:val="auto"/>
              </w:rPr>
            </w:pPr>
          </w:p>
        </w:tc>
        <w:tc>
          <w:tcPr>
            <w:tcW w:w="46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Offer Letter, by and between the Registrant and Bernard Coulie,</w:t>
              </w:r>
            </w:hyperlink>
          </w:p>
        </w:tc>
        <w:tc>
          <w:tcPr>
            <w:tcW w:w="200" w:type="dxa"/>
            <w:vAlign w:val="bottom"/>
            <w:gridSpan w:val="4"/>
          </w:tcPr>
          <w:p>
            <w:pPr>
              <w:spacing w:after="0"/>
              <w:rPr>
                <w:sz w:val="17"/>
                <w:szCs w:val="17"/>
                <w:color w:val="auto"/>
              </w:rPr>
            </w:pPr>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M.D., Ph.D., dated October 12, 2015</w:t>
              </w:r>
              <w:r>
                <w:rPr>
                  <w:rFonts w:ascii="Arial" w:cs="Arial" w:eastAsia="Arial" w:hAnsi="Arial"/>
                  <w:sz w:val="18"/>
                  <w:szCs w:val="18"/>
                  <w:color w:val="000000"/>
                </w:rPr>
                <w:t>.</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Form of Indemnification Agreement, by and between the</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r:id="rId228">
              <w:r>
                <w:rPr>
                  <w:rFonts w:ascii="Arial" w:cs="Arial" w:eastAsia="Arial" w:hAnsi="Arial"/>
                  <w:sz w:val="18"/>
                  <w:szCs w:val="18"/>
                  <w:color w:val="0000EE"/>
                  <w:w w:val="89"/>
                </w:rPr>
                <w:t>Registrant and each of its directors and certain officers.</w:t>
              </w:r>
            </w:hyperlink>
          </w:p>
        </w:tc>
        <w:tc>
          <w:tcPr>
            <w:tcW w:w="120" w:type="dxa"/>
            <w:vAlign w:val="bottom"/>
            <w:tcBorders>
              <w:top w:val="single" w:sz="8" w:color="0000EE"/>
            </w:tcBorders>
          </w:tcPr>
          <w:p>
            <w:pPr>
              <w:spacing w:after="0"/>
              <w:rPr>
                <w:sz w:val="17"/>
                <w:szCs w:val="17"/>
                <w:color w:val="auto"/>
              </w:rPr>
            </w:pPr>
          </w:p>
        </w:tc>
        <w:tc>
          <w:tcPr>
            <w:tcW w:w="7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192"/>
              <w:spacing w:after="0" w:line="196" w:lineRule="exact"/>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5"/>
              </w:rPr>
            </w:pPr>
            <w:hyperlink r:id="rId229">
              <w:r>
                <w:rPr>
                  <w:rFonts w:ascii="Arial" w:cs="Arial" w:eastAsia="Arial" w:hAnsi="Arial"/>
                  <w:sz w:val="18"/>
                  <w:szCs w:val="18"/>
                  <w:color w:val="0000EE"/>
                  <w:w w:val="95"/>
                </w:rPr>
                <w:t>Office Lease, by and between the Registrant and 260 Littlefield</w:t>
              </w:r>
            </w:hyperlink>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Avenue South San Francisco, California 94080, dated February</w:t>
              </w:r>
            </w:hyperlink>
          </w:p>
        </w:tc>
        <w:tc>
          <w:tcPr>
            <w:tcW w:w="2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29">
              <w:r>
                <w:rPr>
                  <w:rFonts w:ascii="Arial" w:cs="Arial" w:eastAsia="Arial" w:hAnsi="Arial"/>
                  <w:sz w:val="18"/>
                  <w:szCs w:val="18"/>
                  <w:color w:val="0000EE"/>
                  <w:w w:val="86"/>
                </w:rPr>
                <w:t>6, 2018.</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90"/>
              </w:rPr>
              <w:t>10.16†</w:t>
            </w:r>
          </w:p>
        </w:tc>
        <w:tc>
          <w:tcPr>
            <w:tcW w:w="42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30">
              <w:r>
                <w:rPr>
                  <w:rFonts w:ascii="Arial" w:cs="Arial" w:eastAsia="Arial" w:hAnsi="Arial"/>
                  <w:sz w:val="18"/>
                  <w:szCs w:val="18"/>
                  <w:color w:val="0000EE"/>
                  <w:w w:val="89"/>
                </w:rPr>
                <w:t>Collaboration and License Agreement, by and between the</w:t>
              </w:r>
            </w:hyperlink>
          </w:p>
        </w:tc>
        <w:tc>
          <w:tcPr>
            <w:tcW w:w="600" w:type="dxa"/>
            <w:vAlign w:val="bottom"/>
            <w:gridSpan w:val="12"/>
          </w:tcPr>
          <w:p>
            <w:pPr>
              <w:spacing w:after="0"/>
              <w:rPr>
                <w:sz w:val="17"/>
                <w:szCs w:val="17"/>
                <w:color w:val="auto"/>
              </w:rPr>
            </w:pPr>
          </w:p>
        </w:tc>
        <w:tc>
          <w:tcPr>
            <w:tcW w:w="66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333-238146</w:t>
            </w:r>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7"/>
                <w:szCs w:val="17"/>
                <w:color w:val="auto"/>
              </w:rPr>
            </w:pPr>
          </w:p>
        </w:tc>
        <w:tc>
          <w:tcPr>
            <w:tcW w:w="18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May 11, 2020</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Registrant and Novartis Institutes For Biomedical Research,</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230">
              <w:r>
                <w:rPr>
                  <w:rFonts w:ascii="Arial" w:cs="Arial" w:eastAsia="Arial" w:hAnsi="Arial"/>
                  <w:sz w:val="18"/>
                  <w:szCs w:val="18"/>
                  <w:color w:val="0000EE"/>
                  <w:w w:val="89"/>
                </w:rPr>
                <w:t>Inc., dated October 17, 2019.</w:t>
              </w:r>
            </w:hyperlink>
          </w:p>
        </w:tc>
        <w:tc>
          <w:tcPr>
            <w:tcW w:w="2220" w:type="dxa"/>
            <w:vAlign w:val="bottom"/>
            <w:tcBorders>
              <w:top w:val="single" w:sz="8" w:color="0000EE"/>
            </w:tcBorders>
            <w:gridSpan w:val="18"/>
          </w:tcPr>
          <w:p>
            <w:pPr>
              <w:spacing w:after="0"/>
              <w:rPr>
                <w:sz w:val="17"/>
                <w:szCs w:val="17"/>
                <w:color w:val="auto"/>
              </w:rPr>
            </w:pPr>
          </w:p>
        </w:tc>
        <w:tc>
          <w:tcPr>
            <w:tcW w:w="50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448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Certification of Chief Executive Officer required by Rule 13a</w:t>
              </w:r>
              <w:r>
                <w:rPr>
                  <w:rFonts w:ascii="Arial" w:cs="Arial" w:eastAsia="Arial" w:hAnsi="Arial"/>
                  <w:sz w:val="14"/>
                  <w:szCs w:val="14"/>
                  <w:color w:val="0000EE"/>
                  <w:w w:val="92"/>
                </w:rPr>
                <w:t>-</w:t>
              </w:r>
            </w:hyperlink>
          </w:p>
        </w:tc>
        <w:tc>
          <w:tcPr>
            <w:tcW w:w="34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14(a) or Rule 15d-14(a) of the Securities Exchange Act of 1934,</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920" w:type="dxa"/>
            <w:vAlign w:val="bottom"/>
            <w:gridSpan w:val="14"/>
            <w:shd w:val="clear" w:color="auto" w:fill="0000EE"/>
          </w:tcPr>
          <w:p>
            <w:pPr>
              <w:spacing w:after="0" w:line="20" w:lineRule="exact"/>
              <w:rPr>
                <w:sz w:val="1"/>
                <w:szCs w:val="1"/>
                <w:color w:val="auto"/>
              </w:rPr>
            </w:pPr>
          </w:p>
        </w:tc>
        <w:tc>
          <w:tcPr>
            <w:tcW w:w="126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36"/>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as adopted pursuant to Section 302 of the Sarbanes</w:t>
              </w:r>
              <w:r>
                <w:rPr>
                  <w:rFonts w:ascii="Arial" w:cs="Arial" w:eastAsia="Arial" w:hAnsi="Arial"/>
                  <w:sz w:val="14"/>
                  <w:szCs w:val="14"/>
                  <w:color w:val="0000EE"/>
                  <w:w w:val="92"/>
                </w:rPr>
                <w:t>-</w:t>
              </w:r>
              <w:r>
                <w:rPr>
                  <w:rFonts w:ascii="Arial" w:cs="Arial" w:eastAsia="Arial" w:hAnsi="Arial"/>
                  <w:sz w:val="18"/>
                  <w:szCs w:val="18"/>
                  <w:color w:val="0000EE"/>
                  <w:w w:val="92"/>
                </w:rPr>
                <w:t>Oxley Act of</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2002.</w:t>
              </w:r>
            </w:hyperlink>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36"/>
          </w:tcPr>
          <w:p>
            <w:pPr>
              <w:ind w:left="4520"/>
              <w:spacing w:after="0"/>
              <w:rPr>
                <w:sz w:val="20"/>
                <w:szCs w:val="20"/>
                <w:color w:val="auto"/>
              </w:rPr>
            </w:pPr>
            <w:r>
              <w:rPr>
                <w:rFonts w:ascii="Arial" w:cs="Arial" w:eastAsia="Arial" w:hAnsi="Arial"/>
                <w:sz w:val="18"/>
                <w:szCs w:val="18"/>
                <w:color w:val="auto"/>
                <w:w w:val="93"/>
              </w:rPr>
              <w:t>143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20" w:type="dxa"/>
            <w:vAlign w:val="bottom"/>
            <w:gridSpan w:val="8"/>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8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File</w:t>
            </w:r>
          </w:p>
        </w:tc>
        <w:tc>
          <w:tcPr>
            <w:tcW w:w="0" w:type="dxa"/>
            <w:vAlign w:val="bottom"/>
          </w:tcPr>
          <w:p>
            <w:pPr>
              <w:spacing w:after="0"/>
              <w:rPr>
                <w:sz w:val="1"/>
                <w:szCs w:val="1"/>
                <w:color w:val="auto"/>
              </w:rPr>
            </w:pPr>
          </w:p>
        </w:tc>
      </w:tr>
      <w:tr>
        <w:trPr>
          <w:trHeight w:val="176"/>
        </w:trPr>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20" w:type="dxa"/>
            <w:vAlign w:val="bottom"/>
            <w:gridSpan w:val="8"/>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4"/>
                <w:szCs w:val="14"/>
                <w:color w:val="auto"/>
              </w:rPr>
            </w:pPr>
          </w:p>
        </w:tc>
        <w:tc>
          <w:tcPr>
            <w:tcW w:w="4660" w:type="dxa"/>
            <w:vAlign w:val="bottom"/>
            <w:tcBorders>
              <w:top w:val="single" w:sz="8" w:color="auto"/>
            </w:tcBorders>
            <w:gridSpan w:val="9"/>
          </w:tcPr>
          <w:p>
            <w:pPr>
              <w:spacing w:after="0" w:line="169" w:lineRule="exact"/>
              <w:rPr>
                <w:rFonts w:ascii="Arial" w:cs="Arial" w:eastAsia="Arial" w:hAnsi="Arial"/>
                <w:sz w:val="18"/>
                <w:szCs w:val="18"/>
                <w:color w:val="0000EE"/>
                <w:w w:val="97"/>
              </w:rPr>
            </w:pPr>
            <w:hyperlink w:anchor="page152">
              <w:r>
                <w:rPr>
                  <w:rFonts w:ascii="Arial" w:cs="Arial" w:eastAsia="Arial" w:hAnsi="Arial"/>
                  <w:sz w:val="18"/>
                  <w:szCs w:val="18"/>
                  <w:color w:val="0000EE"/>
                  <w:w w:val="97"/>
                </w:rPr>
                <w:t>Certification of Chief Financial Officer required by Rule 13a</w:t>
              </w:r>
              <w:r>
                <w:rPr>
                  <w:rFonts w:ascii="Arial" w:cs="Arial" w:eastAsia="Arial" w:hAnsi="Arial"/>
                  <w:sz w:val="14"/>
                  <w:szCs w:val="14"/>
                  <w:color w:val="0000EE"/>
                  <w:w w:val="97"/>
                </w:rPr>
                <w:t>-</w:t>
              </w:r>
            </w:hyperlink>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14(a) or Rule 15d-14(a) of the Securities Exchange Act of 1934,</w:t>
              </w:r>
            </w:hyperlink>
          </w:p>
        </w:tc>
        <w:tc>
          <w:tcPr>
            <w:tcW w:w="1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10"/>
          </w:tcPr>
          <w:p>
            <w:pPr>
              <w:spacing w:after="0" w:line="196"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as adopted pursuant to Section 302 of the Sarbanes</w:t>
              </w:r>
              <w:r>
                <w:rPr>
                  <w:rFonts w:ascii="Arial" w:cs="Arial" w:eastAsia="Arial" w:hAnsi="Arial"/>
                  <w:sz w:val="14"/>
                  <w:szCs w:val="14"/>
                  <w:color w:val="0000EE"/>
                  <w:w w:val="91"/>
                </w:rPr>
                <w:t>-</w:t>
              </w:r>
              <w:r>
                <w:rPr>
                  <w:rFonts w:ascii="Arial" w:cs="Arial" w:eastAsia="Arial" w:hAnsi="Arial"/>
                  <w:sz w:val="18"/>
                  <w:szCs w:val="18"/>
                  <w:color w:val="0000EE"/>
                  <w:w w:val="91"/>
                </w:rPr>
                <w:t>Oxley Act of</w:t>
              </w:r>
            </w:hyperlink>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4"/>
              </w:rPr>
            </w:pPr>
            <w:hyperlink w:anchor="page152">
              <w:r>
                <w:rPr>
                  <w:rFonts w:ascii="Arial" w:cs="Arial" w:eastAsia="Arial" w:hAnsi="Arial"/>
                  <w:sz w:val="18"/>
                  <w:szCs w:val="18"/>
                  <w:color w:val="0000EE"/>
                  <w:w w:val="84"/>
                </w:rPr>
                <w:t>2002.</w:t>
              </w:r>
            </w:hyperlink>
          </w:p>
        </w:tc>
        <w:tc>
          <w:tcPr>
            <w:tcW w:w="114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Certification of Chief Executive Officer and Chief Financial</w:t>
              </w:r>
            </w:hyperlink>
          </w:p>
        </w:tc>
        <w:tc>
          <w:tcPr>
            <w:tcW w:w="4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60" w:type="dxa"/>
            <w:vAlign w:val="bottom"/>
            <w:gridSpan w:val="10"/>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Officer pursuant to 18 U.S.C. Section 1350, as adopted pursuant</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to Section 906 of the Sarbanes-Oxley Act of 2002.</w:t>
              </w:r>
            </w:hyperlink>
          </w:p>
        </w:tc>
        <w:tc>
          <w:tcPr>
            <w:tcW w:w="98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Document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7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right="420" w:hanging="492"/>
        <w:spacing w:after="0" w:line="369" w:lineRule="auto"/>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them by reference</w:t>
      </w:r>
    </w:p>
    <w:p>
      <w:pPr>
        <w:spacing w:after="0" w:line="8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management compensation plan, contract or arrangement.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16, 2021</w:t>
      </w:r>
    </w:p>
    <w:p>
      <w:pPr>
        <w:spacing w:after="0" w:line="10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PLIANT THERAPEUTICS, INC.</w:t>
      </w:r>
    </w:p>
    <w:p>
      <w:pPr>
        <w:spacing w:after="0" w:line="158"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346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Bernard Coulie, M.D., Ph.D.</w:t>
      </w: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2"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346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Keith Cummings, M.D., M.B.A.</w:t>
      </w:r>
    </w:p>
    <w:p>
      <w:pPr>
        <w:ind w:left="6620"/>
        <w:spacing w:after="0"/>
        <w:rPr>
          <w:sz w:val="20"/>
          <w:szCs w:val="20"/>
          <w:color w:val="auto"/>
        </w:rPr>
      </w:pPr>
      <w:r>
        <w:rPr>
          <w:rFonts w:ascii="Arial" w:cs="Arial" w:eastAsia="Arial" w:hAnsi="Arial"/>
          <w:sz w:val="18"/>
          <w:szCs w:val="18"/>
          <w:color w:val="auto"/>
        </w:rPr>
        <w:t>Chief Financial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40" w:firstLine="49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Bernard Coulie and Keith Cummings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37"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5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Bernard Coulie</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Bernard Coulie, M.D., Ph.D.</w:t>
            </w:r>
          </w:p>
        </w:tc>
        <w:tc>
          <w:tcPr>
            <w:tcW w:w="1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Keith Cummings</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5"/>
              </w:rPr>
              <w:t>Keith Cummings, M.D., M.B.A.</w:t>
            </w:r>
          </w:p>
        </w:tc>
        <w:tc>
          <w:tcPr>
            <w:tcW w:w="1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Hoyoung Huh</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Chairman of the Board, 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Hoyoung Huh, M.D.,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Bruhn</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Suzanne Bruhn,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Gayle Crowell</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Gayle Crowell</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Curnutte</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John Curnutte, M.D.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Neil Exter</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Neil Exter</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Homcy</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Charles Homcy, M.D.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Smital Shah</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Smital Shah</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Pyott</w:t>
            </w:r>
          </w:p>
        </w:tc>
        <w:tc>
          <w:tcPr>
            <w:tcW w:w="1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16,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David Pyott</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647"/>
        </w:trPr>
        <w:tc>
          <w:tcPr>
            <w:tcW w:w="3720" w:type="dxa"/>
            <w:vAlign w:val="bottom"/>
          </w:tcPr>
          <w:p>
            <w:pPr>
              <w:spacing w:after="0"/>
              <w:rPr>
                <w:sz w:val="24"/>
                <w:szCs w:val="24"/>
                <w:color w:val="auto"/>
              </w:rPr>
            </w:pPr>
          </w:p>
        </w:tc>
        <w:tc>
          <w:tcPr>
            <w:tcW w:w="5000" w:type="dxa"/>
            <w:vAlign w:val="bottom"/>
            <w:gridSpan w:val="2"/>
          </w:tcPr>
          <w:p>
            <w:pPr>
              <w:jc w:val="right"/>
              <w:ind w:right="287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4.3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0" w:firstLine="864"/>
        <w:spacing w:after="0" w:line="277" w:lineRule="auto"/>
        <w:rPr>
          <w:sz w:val="20"/>
          <w:szCs w:val="20"/>
          <w:color w:val="auto"/>
        </w:rPr>
      </w:pPr>
      <w:r>
        <w:rPr>
          <w:rFonts w:ascii="Arial" w:cs="Arial" w:eastAsia="Arial" w:hAnsi="Arial"/>
          <w:sz w:val="18"/>
          <w:szCs w:val="18"/>
          <w:color w:val="auto"/>
        </w:rPr>
        <w:t>As of December 31, 2020, Pliant Therapeutics, Inc. (the “Company,” “we,” “us,” and “our”) had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(“Certificate of Incorporation”) and our Amended and Restated Bylaws (“Bylaws”), each of which are incorporated by reference as an exhibit to the Annual Report on Form 10-K of which this Exhibit 4.3 is a part, and by applicable law. We encourage you to read our Certificate of Incorporation, our Bylaws and the applicable provisions of the Delaware General Corporation Law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authorized capital stock consists of 300,000,000 shares of common stock, par value $0.001 per share (the “Common Stock”),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10,000,000 shares of preferred stock, par value $0.001 per share (the “Preferred Stock”), all of which shares of Preferred Stock are undesignated.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firstLine="864"/>
        <w:spacing w:after="0" w:line="288" w:lineRule="auto"/>
        <w:rPr>
          <w:sz w:val="20"/>
          <w:szCs w:val="20"/>
          <w:color w:val="auto"/>
        </w:rPr>
      </w:pPr>
      <w:r>
        <w:rPr>
          <w:rFonts w:ascii="Arial" w:cs="Arial" w:eastAsia="Arial" w:hAnsi="Arial"/>
          <w:sz w:val="16"/>
          <w:szCs w:val="16"/>
          <w:color w:val="auto"/>
        </w:rPr>
        <w:t>We are authorized to issue one class of Common Stock. Holders of our common stock are entitled to one vote for each share of Common Stock held of record for the election of directors and on all matters submitted to a vote of stockholders. Except as described under “Anti-takeover Effects of Delaware Law and Provisions of our Amended and Restated Certificate of Incorporation and Bylaws” below, a majority vote of the holders of Common Stock is generally required to take action under our amended and restated certificate of incorporation and bylaws.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and no sinking fund provisions are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Common Stock is listed on The Nasdaq Global Select Market under the symbol “PLRX.”</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40" w:firstLine="864"/>
        <w:spacing w:after="0" w:line="291" w:lineRule="auto"/>
        <w:rPr>
          <w:sz w:val="20"/>
          <w:szCs w:val="20"/>
          <w:color w:val="auto"/>
        </w:rPr>
      </w:pPr>
      <w:r>
        <w:rPr>
          <w:rFonts w:ascii="Arial" w:cs="Arial" w:eastAsia="Arial" w:hAnsi="Arial"/>
          <w:sz w:val="16"/>
          <w:szCs w:val="16"/>
          <w:color w:val="auto"/>
        </w:rPr>
        <w:t>Our board of directors is authorized, without action by the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ACTIVE/107121561.1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Anti-Takeover Effects of Delaware Law and Provisions of Our Amended and Restated Certificate of Incorporation and Bylaws</w:t>
      </w:r>
    </w:p>
    <w:p>
      <w:pPr>
        <w:spacing w:after="0" w:line="229"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Our amended and restated certificate of incorporation and bylaws to be in effect immediately prior to completion of this offering will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7"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i w:val="1"/>
          <w:iCs w:val="1"/>
          <w:color w:val="auto"/>
        </w:rPr>
        <w:t xml:space="preserve">Board composition and filling vacancies. </w:t>
      </w:r>
      <w:r>
        <w:rPr>
          <w:rFonts w:ascii="Arial" w:cs="Arial" w:eastAsia="Arial" w:hAnsi="Arial"/>
          <w:sz w:val="16"/>
          <w:szCs w:val="16"/>
          <w:color w:val="auto"/>
        </w:rPr>
        <w:t>In accordance with our amended and restated certificate of incorporation, our board is divided into</w:t>
      </w:r>
      <w:r>
        <w:rPr>
          <w:rFonts w:ascii="Arial" w:cs="Arial" w:eastAsia="Arial" w:hAnsi="Arial"/>
          <w:sz w:val="16"/>
          <w:szCs w:val="16"/>
          <w:i w:val="1"/>
          <w:iCs w:val="1"/>
          <w:color w:val="auto"/>
        </w:rPr>
        <w:t xml:space="preserve"> </w:t>
      </w:r>
      <w:r>
        <w:rPr>
          <w:rFonts w:ascii="Arial" w:cs="Arial" w:eastAsia="Arial" w:hAnsi="Arial"/>
          <w:sz w:val="16"/>
          <w:szCs w:val="16"/>
          <w:color w:val="auto"/>
        </w:rPr>
        <w:t>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61"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amended and restated certificate of incorporation provides that all stockholder actions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87"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amended and restated bylaws provide that only a majority of the members of our board of directors then in office</w:t>
      </w:r>
      <w:r>
        <w:rPr>
          <w:rFonts w:ascii="Arial" w:cs="Arial" w:eastAsia="Arial" w:hAnsi="Arial"/>
          <w:sz w:val="18"/>
          <w:szCs w:val="18"/>
          <w:i w:val="1"/>
          <w:iCs w:val="1"/>
          <w:color w:val="auto"/>
        </w:rPr>
        <w:t xml:space="preserve"> </w:t>
      </w:r>
      <w:r>
        <w:rPr>
          <w:rFonts w:ascii="Arial" w:cs="Arial" w:eastAsia="Arial" w:hAnsi="Arial"/>
          <w:sz w:val="18"/>
          <w:szCs w:val="18"/>
          <w:color w:val="auto"/>
        </w:rPr>
        <w:t>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7" w:lineRule="exact"/>
        <w:rPr>
          <w:sz w:val="20"/>
          <w:szCs w:val="20"/>
          <w:color w:val="auto"/>
        </w:rPr>
      </w:pPr>
    </w:p>
    <w:p>
      <w:pPr>
        <w:ind w:right="180" w:firstLine="864"/>
        <w:spacing w:after="0" w:line="296" w:lineRule="auto"/>
        <w:rPr>
          <w:sz w:val="20"/>
          <w:szCs w:val="20"/>
          <w:color w:val="auto"/>
        </w:rPr>
      </w:pPr>
      <w:r>
        <w:rPr>
          <w:rFonts w:ascii="Arial" w:cs="Arial" w:eastAsia="Arial" w:hAnsi="Arial"/>
          <w:sz w:val="16"/>
          <w:szCs w:val="16"/>
          <w:i w:val="1"/>
          <w:iCs w:val="1"/>
          <w:color w:val="auto"/>
        </w:rPr>
        <w:t>Advance notice requirements</w:t>
      </w:r>
      <w:r>
        <w:rPr>
          <w:rFonts w:ascii="Arial" w:cs="Arial" w:eastAsia="Arial" w:hAnsi="Arial"/>
          <w:sz w:val="16"/>
          <w:szCs w:val="16"/>
          <w:color w:val="auto"/>
        </w:rPr>
        <w:t>. Our amended and restated bylaws establish advance notice procedures with regard to stockholder proposals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w:t>
      </w:r>
    </w:p>
    <w:p>
      <w:pPr>
        <w:spacing w:after="0" w:line="161"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i w:val="1"/>
          <w:iCs w:val="1"/>
          <w:color w:val="auto"/>
        </w:rPr>
        <w:t>Amendment to certificate of incorporation and bylaws</w:t>
      </w:r>
      <w:r>
        <w:rPr>
          <w:rFonts w:ascii="Arial" w:cs="Arial" w:eastAsia="Arial" w:hAnsi="Arial"/>
          <w:sz w:val="18"/>
          <w:szCs w:val="18"/>
          <w:color w:val="auto"/>
        </w:rPr>
        <w:t>. As required by the Delaware General Corporation Law, any amendment of our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two thirds of the outstanding shares entitled to vote on the amendment, voting together as a single class.</w:t>
      </w:r>
    </w:p>
    <w:p>
      <w:pPr>
        <w:spacing w:after="0" w:line="196" w:lineRule="exact"/>
        <w:rPr>
          <w:sz w:val="20"/>
          <w:szCs w:val="20"/>
          <w:color w:val="auto"/>
        </w:rPr>
      </w:pPr>
    </w:p>
    <w:p>
      <w:pPr>
        <w:ind w:right="80" w:firstLine="864"/>
        <w:spacing w:after="0" w:line="257"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Our amended and restated certificate of incorporation provides for authorized shares of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ACTIVE/107121561.1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9" w:name="page150"/>
    <w:bookmarkEnd w:id="149"/>
    <w:p>
      <w:pPr>
        <w:ind w:right="60"/>
        <w:spacing w:after="0" w:line="275" w:lineRule="auto"/>
        <w:rPr>
          <w:sz w:val="20"/>
          <w:szCs w:val="20"/>
          <w:color w:val="auto"/>
        </w:rPr>
      </w:pPr>
      <w:r>
        <w:rPr>
          <w:rFonts w:ascii="Arial" w:cs="Arial" w:eastAsia="Arial" w:hAnsi="Arial"/>
          <w:sz w:val="17"/>
          <w:szCs w:val="17"/>
          <w:color w:val="auto"/>
        </w:rPr>
        <w:t>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6" w:lineRule="exact"/>
        <w:rPr>
          <w:sz w:val="20"/>
          <w:szCs w:val="20"/>
          <w:color w:val="auto"/>
        </w:rPr>
      </w:pPr>
    </w:p>
    <w:p>
      <w:pPr>
        <w:ind w:right="20" w:firstLine="864"/>
        <w:spacing w:after="0" w:line="269" w:lineRule="auto"/>
        <w:rPr>
          <w:sz w:val="20"/>
          <w:szCs w:val="20"/>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Our amended and restated bylaws provide that the Court of Chancery of the State of Delaware shall be the sole and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any state law claims for: (i) any derivative action or proceeding brought on behalf of our company, (ii) any action asserting a claim of breach of a fiduciary duty owed by any of our directors or officers to the company or our stockholders, (iii) any action asserting a claim against our company arising pursuant to any provision of the Delaware General Corporation Law or our certificate of incorporation or bylaws, (iv) any action to interpret, apply, enforce, or determine the validity of our certificate of incorporation or bylaws, or (v) any action asserting a claim against our company governed by the internal affairs doctrine.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of the United States of America shall be the sole and exclusive forum for resolving any action asserting a claim arising under the Securities Act. Although our amended and restated bylaws contain the choice of forum provision described above, it is possible that a court could rule that such provisions are inapplicable for a particular claim or action or that such provisions are unenforceable.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29"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2"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 before the stockholder became interested, the Board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the corporation and authorized at an annual or special meeting of the stockholders by the affirmative vote of at least two-thirds of the outstanding voting stock which is not owned by the interested stockholder.</w:t>
      </w:r>
    </w:p>
    <w:p>
      <w:pPr>
        <w:spacing w:after="0" w:line="192" w:lineRule="exact"/>
        <w:rPr>
          <w:sz w:val="20"/>
          <w:szCs w:val="20"/>
          <w:color w:val="auto"/>
        </w:rPr>
      </w:pPr>
    </w:p>
    <w:p>
      <w:pPr>
        <w:ind w:right="200" w:firstLine="864"/>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ACTIVE/107121561.1</w:t>
      </w:r>
    </w:p>
    <w:p>
      <w:pPr>
        <w:sectPr>
          <w:pgSz w:w="11900" w:h="16838" w:orient="portrait"/>
          <w:cols w:equalWidth="0" w:num="1">
            <w:col w:w="11220"/>
          </w:cols>
          <w:pgMar w:left="320" w:top="368"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Bernard Coulie, certify that:</w:t>
      </w:r>
    </w:p>
    <w:p>
      <w:pPr>
        <w:spacing w:after="0" w:line="185"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Pliant Therapeutics, Inc.;</w:t>
      </w:r>
    </w:p>
    <w:p>
      <w:pPr>
        <w:spacing w:after="0" w:line="184"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80" w:right="380" w:hanging="572"/>
        <w:spacing w:after="0" w:line="277"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16,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Bernard Coulie</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Bernard Coulie, M.D., Ph.D.</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Keith Cummings, certify that:</w:t>
      </w:r>
    </w:p>
    <w:p>
      <w:pPr>
        <w:spacing w:after="0" w:line="185"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Pliant Therapeutics, Inc.;</w:t>
      </w:r>
    </w:p>
    <w:p>
      <w:pPr>
        <w:spacing w:after="0" w:line="184"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80" w:right="380" w:hanging="572"/>
        <w:spacing w:after="0" w:line="277"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Date: March 16, 2021</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Keith Cummings</w:t>
            </w:r>
          </w:p>
        </w:tc>
      </w:tr>
      <w:tr>
        <w:trPr>
          <w:trHeight w:val="222"/>
        </w:trPr>
        <w:tc>
          <w:tcPr>
            <w:tcW w:w="60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Keith Cummings, M.D., MBA</w:t>
            </w:r>
          </w:p>
        </w:tc>
      </w:tr>
      <w:tr>
        <w:trPr>
          <w:trHeight w:val="216"/>
        </w:trPr>
        <w:tc>
          <w:tcPr>
            <w:tcW w:w="60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60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40"/>
          </w:cols>
          <w:pgMar w:left="320" w:top="35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the Annual Report of Pliant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Date: March 16, 2021</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Bernard Coulie</w:t>
            </w:r>
          </w:p>
        </w:tc>
      </w:tr>
      <w:tr>
        <w:trPr>
          <w:trHeight w:val="222"/>
        </w:trPr>
        <w:tc>
          <w:tcPr>
            <w:tcW w:w="60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Bernard Coulie, M.D., Ph.D.</w:t>
            </w:r>
          </w:p>
        </w:tc>
      </w:tr>
      <w:tr>
        <w:trPr>
          <w:trHeight w:val="216"/>
        </w:trPr>
        <w:tc>
          <w:tcPr>
            <w:tcW w:w="60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60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602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Keith Cummings</w:t>
            </w:r>
          </w:p>
        </w:tc>
      </w:tr>
      <w:tr>
        <w:trPr>
          <w:trHeight w:val="222"/>
        </w:trPr>
        <w:tc>
          <w:tcPr>
            <w:tcW w:w="60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Keith Cummings, M.D., MBA</w:t>
            </w:r>
          </w:p>
        </w:tc>
      </w:tr>
      <w:tr>
        <w:trPr>
          <w:trHeight w:val="216"/>
        </w:trPr>
        <w:tc>
          <w:tcPr>
            <w:tcW w:w="60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60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lvl w:ilvl="1">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lvl w:ilvl="1">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2"/>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3"/>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4"/>
    </w:lvl>
  </w:abstractNum>
  <w:abstractNum w:abstractNumId="57">
    <w:nsid w:val="1F48EAA1"/>
    <w:multiLevelType w:val="hybridMultilevel"/>
    <w:lvl w:ilvl="0">
      <w:lvlJc w:val="left"/>
      <w:lvlText w:val="%1."/>
      <w:numFmt w:val="decimal"/>
      <w:start w:val="6"/>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decimal"/>
      <w:start w:val="7"/>
    </w:lvl>
  </w:abstractNum>
  <w:abstractNum w:abstractNumId="60">
    <w:nsid w:val="100F8FCA"/>
    <w:multiLevelType w:val="hybridMultilevel"/>
    <w:lvl w:ilvl="0">
      <w:lvlJc w:val="left"/>
      <w:lvlText w:val="%1."/>
      <w:numFmt w:val="decimal"/>
      <w:start w:val="8"/>
    </w:lvl>
  </w:abstractNum>
  <w:abstractNum w:abstractNumId="61">
    <w:nsid w:val="6590700B"/>
    <w:multiLevelType w:val="hybridMultilevel"/>
    <w:lvl w:ilvl="0">
      <w:lvlJc w:val="left"/>
      <w:lvlText w:val="%1."/>
      <w:numFmt w:val="decimal"/>
      <w:start w:val="9"/>
    </w:lvl>
  </w:abstractNum>
  <w:abstractNum w:abstractNumId="62">
    <w:nsid w:val="15014ACB"/>
    <w:multiLevelType w:val="hybridMultilevel"/>
    <w:lvl w:ilvl="0">
      <w:lvlJc w:val="left"/>
      <w:lvlText w:val="%1."/>
      <w:numFmt w:val="decimal"/>
      <w:start w:val="10"/>
    </w:lvl>
  </w:abstractNum>
  <w:abstractNum w:abstractNumId="63">
    <w:nsid w:val="5F5E7FD0"/>
    <w:multiLevelType w:val="hybridMultilevel"/>
    <w:lvl w:ilvl="0">
      <w:lvlJc w:val="left"/>
      <w:lvlText w:val="%1."/>
      <w:numFmt w:val="decimal"/>
      <w:start w:val="11"/>
    </w:lvl>
  </w:abstractNum>
  <w:abstractNum w:abstractNumId="64">
    <w:nsid w:val="98A3148"/>
    <w:multiLevelType w:val="hybridMultilevel"/>
    <w:lvl w:ilvl="0">
      <w:lvlJc w:val="left"/>
      <w:lvlText w:val="%1."/>
      <w:numFmt w:val="decimal"/>
      <w:start w:val="12"/>
    </w:lvl>
  </w:abstractNum>
  <w:abstractNum w:abstractNumId="65">
    <w:nsid w:val="799D0247"/>
    <w:multiLevelType w:val="hybridMultilevel"/>
    <w:lvl w:ilvl="0">
      <w:lvlJc w:val="left"/>
      <w:lvlText w:val="%1."/>
      <w:numFmt w:val="decimal"/>
      <w:start w:val="13"/>
    </w:lvl>
  </w:abstractNum>
  <w:abstractNum w:abstractNumId="66">
    <w:nsid w:val="6B94764"/>
    <w:multiLevelType w:val="hybridMultilevel"/>
    <w:lvl w:ilvl="0">
      <w:lvlJc w:val="left"/>
      <w:lvlText w:val="%1."/>
      <w:numFmt w:val="decimal"/>
      <w:start w:val="14"/>
    </w:lvl>
  </w:abstractNum>
  <w:abstractNum w:abstractNumId="67">
    <w:nsid w:val="42C296BD"/>
    <w:multiLevelType w:val="hybridMultilevel"/>
    <w:lvl w:ilvl="0">
      <w:lvlJc w:val="left"/>
      <w:lvlText w:val="%1."/>
      <w:numFmt w:val="decimal"/>
      <w:start w:val="15"/>
    </w:lvl>
  </w:abstractNum>
  <w:abstractNum w:abstractNumId="68">
    <w:nsid w:val="168E121F"/>
    <w:multiLevelType w:val="hybridMultilevel"/>
    <w:lvl w:ilvl="0">
      <w:lvlJc w:val="left"/>
      <w:lvlText w:val="%1."/>
      <w:numFmt w:val="decimal"/>
      <w:start w:val="16"/>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11" Type="http://schemas.openxmlformats.org/officeDocument/2006/relationships/hyperlink" Target="http://www.sec.gov/Archives/edgar/data/0001746473/000156459020039327/plrx-ex31_301.htm" TargetMode="External"/><Relationship Id="rId212" Type="http://schemas.openxmlformats.org/officeDocument/2006/relationships/hyperlink" Target="http://www.sec.gov/Archives/edgar/data/0001746473/000119312520322128/d61993dex31.htm" TargetMode="External"/><Relationship Id="rId213" Type="http://schemas.openxmlformats.org/officeDocument/2006/relationships/hyperlink" Target="http://www.sec.gov/Archives/edgar/data/0001746473/000119312520150643/d729258dex41.htm" TargetMode="External"/><Relationship Id="rId214" Type="http://schemas.openxmlformats.org/officeDocument/2006/relationships/hyperlink" Target="http://www.sec.gov/Archives/edgar/data/0001746473/000119312520137876/d729258dex42.htm" TargetMode="External"/><Relationship Id="rId215" Type="http://schemas.openxmlformats.org/officeDocument/2006/relationships/hyperlink" Target="http://www.sec.gov/Archives/edgar/data/0001746473/000119312520150643/d729258dex102.htm" TargetMode="External"/><Relationship Id="rId216" Type="http://schemas.openxmlformats.org/officeDocument/2006/relationships/hyperlink" Target="http://www.sec.gov/Archives/edgar/data/0001746473/000119312520137876/d729258dex101.htm" TargetMode="External"/><Relationship Id="rId217" Type="http://schemas.openxmlformats.org/officeDocument/2006/relationships/hyperlink" Target="http://www.sec.gov/Archives/edgar/data/0001746473/000119312520150643/d729258dex103.htm" TargetMode="External"/><Relationship Id="rId218" Type="http://schemas.openxmlformats.org/officeDocument/2006/relationships/hyperlink" Target="http://www.sec.gov/Archives/edgar/data/0001746473/000119312520137876/d729258dex106.htm" TargetMode="External"/><Relationship Id="rId219" Type="http://schemas.openxmlformats.org/officeDocument/2006/relationships/hyperlink" Target="http://www.sec.gov/Archives/edgar/data/0001746473/000119312520150643/d729258dex106.htm" TargetMode="External"/><Relationship Id="rId220" Type="http://schemas.openxmlformats.org/officeDocument/2006/relationships/hyperlink" Target="http://www.sec.gov/Archives/edgar/data/0001746473/000119312520137876/d729258dex105.htm" TargetMode="External"/><Relationship Id="rId221" Type="http://schemas.openxmlformats.org/officeDocument/2006/relationships/hyperlink" Target="http://www.sec.gov/Archives/edgar/data/0001746473/000119312520137876/d729258dex107.htm" TargetMode="External"/><Relationship Id="rId222" Type="http://schemas.openxmlformats.org/officeDocument/2006/relationships/hyperlink" Target="http://www.sec.gov/Archives/edgar/data/0001746473/000156459020052990/plrx-ex101_224.htm" TargetMode="External"/><Relationship Id="rId223" Type="http://schemas.openxmlformats.org/officeDocument/2006/relationships/hyperlink" Target="http://www.sec.gov/Archives/edgar/data/0001746473/000119312520137876/d729258dex1012.htm" TargetMode="External"/><Relationship Id="rId224" Type="http://schemas.openxmlformats.org/officeDocument/2006/relationships/hyperlink" Target="http://www.sec.gov/Archives/edgar/data/0001746473/000119312520137876/d729258dex1011.htm" TargetMode="External"/><Relationship Id="rId225" Type="http://schemas.openxmlformats.org/officeDocument/2006/relationships/hyperlink" Target="http://www.sec.gov/Archives/edgar/data/0001746473/000119312520137876/d729258dex1010.htm" TargetMode="External"/><Relationship Id="rId226" Type="http://schemas.openxmlformats.org/officeDocument/2006/relationships/hyperlink" Target="http://www.sec.gov/Archives/edgar/data/0001746473/000119312520137876/d729258dex109.htm" TargetMode="External"/><Relationship Id="rId227" Type="http://schemas.openxmlformats.org/officeDocument/2006/relationships/hyperlink" Target="http://www.sec.gov/Archives/edgar/data/0001746473/000119312520137876/d729258dex108.htm" TargetMode="External"/><Relationship Id="rId228" Type="http://schemas.openxmlformats.org/officeDocument/2006/relationships/hyperlink" Target="http://www.sec.gov/Archives/edgar/data/0001746473/000119312520137876/d729258dex1013.htm" TargetMode="External"/><Relationship Id="rId229" Type="http://schemas.openxmlformats.org/officeDocument/2006/relationships/hyperlink" Target="http://www.sec.gov/Archives/edgar/data/0001746473/000119312520137876/d729258dex1014.htm" TargetMode="External"/><Relationship Id="rId230" Type="http://schemas.openxmlformats.org/officeDocument/2006/relationships/hyperlink" Target="http://www.sec.gov/Archives/edgar/data/0001746473/000119312520137876/d729258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2021-03-16T16:05:34Z</dcterms:created>
  <dcterms:modified xsi:type="dcterms:W3CDTF">2021-03-16T16:05:34Z</dcterms:modified>
</cp:coreProperties>
</file>