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-597535</wp:posOffset>
            </wp:positionV>
            <wp:extent cx="56515" cy="61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633730</wp:posOffset>
            </wp:positionV>
            <wp:extent cx="7049770" cy="6445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6445250"/>
                    </a:xfrm>
                    <a:prstGeom prst="rect">
                      <a:avLst/>
                    </a:prstGeom>
                    <a:noFill/>
                  </pic:spPr>
                </pic:pic>
              </a:graphicData>
            </a:graphic>
          </wp:anchor>
        </w:drawing>
      </w:r>
    </w:p>
    <w:p>
      <w:pPr>
        <w:spacing w:after="0" w:line="1009" w:lineRule="exact"/>
        <w:rPr>
          <w:sz w:val="24"/>
          <w:szCs w:val="24"/>
          <w:color w:val="auto"/>
        </w:rPr>
      </w:pPr>
    </w:p>
    <w:p>
      <w:pPr>
        <w:sectPr>
          <w:pgSz w:w="11900" w:h="16838" w:orient="portrait"/>
          <w:cols w:equalWidth="0" w:num="2">
            <w:col w:w="2280" w:space="440"/>
            <w:col w:w="8360"/>
          </w:cols>
          <w:pgMar w:left="460" w:top="213"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2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Cheung Lily</w:t>
              </w:r>
            </w:hyperlink>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4"/>
          </w:tcPr>
          <w:p>
            <w:pPr>
              <w:ind w:left="60"/>
              <w:spacing w:after="0" w:line="173"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PLIANT THERAPEUTICS,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PLRX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280" w:type="dxa"/>
            <w:vAlign w:val="bottom"/>
            <w:vMerge w:val="restart"/>
          </w:tcPr>
          <w:p>
            <w:pPr>
              <w:ind w:left="100"/>
              <w:spacing w:after="0"/>
              <w:rPr>
                <w:sz w:val="20"/>
                <w:szCs w:val="20"/>
                <w:color w:val="auto"/>
              </w:rPr>
            </w:pPr>
            <w:r>
              <w:rPr>
                <w:rFonts w:ascii="Arial" w:cs="Arial" w:eastAsia="Arial" w:hAnsi="Arial"/>
                <w:sz w:val="12"/>
                <w:szCs w:val="12"/>
                <w:color w:val="auto"/>
              </w:rPr>
              <w:t>(First)</w:t>
            </w: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5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PLIANT THERAPEUTICS, INC.</w:t>
            </w:r>
          </w:p>
        </w:tc>
        <w:tc>
          <w:tcPr>
            <w:tcW w:w="280" w:type="dxa"/>
            <w:vAlign w:val="bottom"/>
            <w:gridSpan w:val="3"/>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2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color w:val="0000FF"/>
              </w:rPr>
              <w:t>04/17/2026</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6"/>
          <w:szCs w:val="16"/>
          <w:color w:val="0000FF"/>
        </w:rPr>
        <w:t>331 OYSTER POINT BOULEVARD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 w:right="760" w:firstLine="2"/>
        <w:spacing w:after="0" w:line="26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6"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6"/>
          <w:szCs w:val="16"/>
          <w:color w:val="0000FF"/>
        </w:rPr>
        <w:t>Chief Human Resource Officer</w:t>
      </w:r>
    </w:p>
    <w:p>
      <w:pPr>
        <w:spacing w:after="0" w:line="586" w:lineRule="exact"/>
        <w:rPr>
          <w:sz w:val="20"/>
          <w:szCs w:val="20"/>
          <w:color w:val="auto"/>
        </w:rPr>
      </w:pPr>
    </w:p>
    <w:p>
      <w:pPr>
        <w:sectPr>
          <w:pgSz w:w="11900" w:h="16838" w:orient="portrait"/>
          <w:cols w:equalWidth="0" w:num="2">
            <w:col w:w="7660" w:space="62"/>
            <w:col w:w="3358"/>
          </w:cols>
          <w:pgMar w:left="460" w:top="213" w:right="35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20" w:type="dxa"/>
            <w:vAlign w:val="bottom"/>
            <w:vMerge w:val="restart"/>
          </w:tcPr>
          <w:p>
            <w:pPr>
              <w:spacing w:after="0"/>
              <w:rPr>
                <w:sz w:val="3"/>
                <w:szCs w:val="3"/>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9"/>
            <w:vMerge w:val="restart"/>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SOUTH SAN</w:t>
            </w: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94080</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0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00" w:type="dxa"/>
            <w:vAlign w:val="bottom"/>
            <w:gridSpan w:val="4"/>
          </w:tcPr>
          <w:p>
            <w:pPr>
              <w:ind w:left="9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00" w:type="dxa"/>
            <w:vAlign w:val="bottom"/>
            <w:gridSpan w:val="4"/>
          </w:tcPr>
          <w:p>
            <w:pPr>
              <w:ind w:left="9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7"/>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Derivative</w:t>
            </w:r>
          </w:p>
        </w:tc>
        <w:tc>
          <w:tcPr>
            <w:tcW w:w="520" w:type="dxa"/>
            <w:vAlign w:val="bottom"/>
          </w:tcPr>
          <w:p>
            <w:pPr>
              <w:spacing w:after="0"/>
              <w:rPr>
                <w:sz w:val="10"/>
                <w:szCs w:val="10"/>
                <w:color w:val="auto"/>
              </w:rPr>
            </w:pPr>
          </w:p>
        </w:tc>
        <w:tc>
          <w:tcPr>
            <w:tcW w:w="15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Securities</w:t>
            </w:r>
          </w:p>
        </w:tc>
        <w:tc>
          <w:tcPr>
            <w:tcW w:w="520" w:type="dxa"/>
            <w:vAlign w:val="bottom"/>
          </w:tcPr>
          <w:p>
            <w:pPr>
              <w:spacing w:after="0"/>
              <w:rPr>
                <w:sz w:val="10"/>
                <w:szCs w:val="10"/>
                <w:color w:val="auto"/>
              </w:rPr>
            </w:pPr>
          </w:p>
        </w:tc>
        <w:tc>
          <w:tcPr>
            <w:tcW w:w="15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21.935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7"/>
                <w:szCs w:val="17"/>
                <w:color w:val="auto"/>
              </w:rPr>
            </w:pPr>
          </w:p>
        </w:tc>
        <w:tc>
          <w:tcPr>
            <w:tcW w:w="52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0000FF"/>
              </w:rPr>
              <w:t>123,000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ind w:right="1"/>
              <w:spacing w:after="0" w:line="197" w:lineRule="exact"/>
              <w:rPr>
                <w:sz w:val="20"/>
                <w:szCs w:val="20"/>
                <w:color w:val="auto"/>
              </w:rPr>
            </w:pPr>
            <w:r>
              <w:rPr>
                <w:rFonts w:ascii="Times New Roman" w:cs="Times New Roman" w:eastAsia="Times New Roman" w:hAnsi="Times New Roman"/>
                <w:sz w:val="12"/>
                <w:szCs w:val="12"/>
                <w:color w:val="0000FF"/>
                <w:w w:val="96"/>
              </w:rPr>
              <w:t>01/19/2033</w:t>
            </w:r>
            <w:r>
              <w:rPr>
                <w:rFonts w:ascii="Times New Roman" w:cs="Times New Roman" w:eastAsia="Times New Roman" w:hAnsi="Times New Roman"/>
                <w:sz w:val="20"/>
                <w:szCs w:val="20"/>
                <w:color w:val="008000"/>
                <w:w w:val="96"/>
                <w:vertAlign w:val="superscript"/>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123,000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7"/>
                <w:szCs w:val="17"/>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ind w:left="14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tcPr>
          <w:p>
            <w:pPr>
              <w:jc w:val="center"/>
              <w:ind w:left="46"/>
              <w:spacing w:after="0" w:line="198" w:lineRule="exact"/>
              <w:rPr>
                <w:sz w:val="20"/>
                <w:szCs w:val="20"/>
                <w:color w:val="auto"/>
              </w:rPr>
            </w:pPr>
            <w:r>
              <w:rPr>
                <w:rFonts w:ascii="Arial" w:cs="Arial" w:eastAsia="Arial" w:hAnsi="Arial"/>
                <w:sz w:val="20"/>
                <w:szCs w:val="20"/>
                <w:color w:val="000000"/>
                <w:w w:val="92"/>
                <w:vertAlign w:val="subscript"/>
              </w:rPr>
              <w:t>$</w:t>
            </w:r>
            <w:r>
              <w:rPr>
                <w:rFonts w:ascii="Times New Roman" w:cs="Times New Roman" w:eastAsia="Times New Roman" w:hAnsi="Times New Roman"/>
                <w:sz w:val="22"/>
                <w:szCs w:val="22"/>
                <w:color w:val="0000FF"/>
                <w:w w:val="92"/>
                <w:vertAlign w:val="subscript"/>
              </w:rPr>
              <w:t>1.33</w:t>
            </w:r>
            <w:r>
              <w:rPr>
                <w:rFonts w:ascii="Times New Roman" w:cs="Times New Roman" w:eastAsia="Times New Roman" w:hAnsi="Times New Roman"/>
                <w:sz w:val="10"/>
                <w:szCs w:val="10"/>
                <w:color w:val="008000"/>
                <w:w w:val="92"/>
              </w:rPr>
              <w:t>(4)(5)</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7"/>
                <w:szCs w:val="17"/>
                <w:color w:val="auto"/>
              </w:rPr>
            </w:pPr>
          </w:p>
        </w:tc>
        <w:tc>
          <w:tcPr>
            <w:tcW w:w="8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2"/>
                <w:szCs w:val="12"/>
                <w:color w:val="0000FF"/>
              </w:rPr>
              <w:t>123,000</w:t>
            </w:r>
          </w:p>
        </w:tc>
        <w:tc>
          <w:tcPr>
            <w:tcW w:w="520" w:type="dxa"/>
            <w:vAlign w:val="bottom"/>
          </w:tcPr>
          <w:p>
            <w:pPr>
              <w:spacing w:after="0"/>
              <w:rPr>
                <w:sz w:val="17"/>
                <w:szCs w:val="17"/>
                <w:color w:val="auto"/>
              </w:rPr>
            </w:pP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tcPr>
          <w:p>
            <w:pPr>
              <w:jc w:val="center"/>
              <w:ind w:right="1"/>
              <w:spacing w:after="0" w:line="197" w:lineRule="exact"/>
              <w:rPr>
                <w:sz w:val="20"/>
                <w:szCs w:val="20"/>
                <w:color w:val="auto"/>
              </w:rPr>
            </w:pPr>
            <w:r>
              <w:rPr>
                <w:rFonts w:ascii="Times New Roman" w:cs="Times New Roman" w:eastAsia="Times New Roman" w:hAnsi="Times New Roman"/>
                <w:sz w:val="12"/>
                <w:szCs w:val="12"/>
                <w:color w:val="0000FF"/>
                <w:w w:val="96"/>
              </w:rPr>
              <w:t>01/19/2033</w:t>
            </w:r>
            <w:r>
              <w:rPr>
                <w:rFonts w:ascii="Times New Roman" w:cs="Times New Roman" w:eastAsia="Times New Roman" w:hAnsi="Times New Roman"/>
                <w:sz w:val="20"/>
                <w:szCs w:val="20"/>
                <w:color w:val="008000"/>
                <w:w w:val="96"/>
                <w:vertAlign w:val="superscript"/>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123,000</w:t>
            </w: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ind w:right="5"/>
              <w:spacing w:after="0"/>
              <w:rPr>
                <w:sz w:val="20"/>
                <w:szCs w:val="20"/>
                <w:color w:val="auto"/>
              </w:rPr>
            </w:pPr>
            <w:r>
              <w:rPr>
                <w:rFonts w:ascii="Times New Roman" w:cs="Times New Roman" w:eastAsia="Times New Roman" w:hAnsi="Times New Roman"/>
                <w:sz w:val="12"/>
                <w:szCs w:val="12"/>
                <w:color w:val="0000FF"/>
              </w:rPr>
              <w:t>123,000</w:t>
            </w:r>
          </w:p>
        </w:tc>
        <w:tc>
          <w:tcPr>
            <w:tcW w:w="6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(Right to</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ind w:left="14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restart"/>
          </w:tcPr>
          <w:p>
            <w:pPr>
              <w:jc w:val="center"/>
              <w:ind w:left="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17.44</w:t>
            </w:r>
          </w:p>
        </w:tc>
        <w:tc>
          <w:tcPr>
            <w:tcW w:w="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1"/>
                <w:szCs w:val="11"/>
                <w:color w:val="auto"/>
              </w:rPr>
            </w:pPr>
          </w:p>
        </w:tc>
        <w:tc>
          <w:tcPr>
            <w:tcW w:w="840" w:type="dxa"/>
            <w:vAlign w:val="bottom"/>
            <w:gridSpan w:val="3"/>
            <w:vMerge w:val="restart"/>
          </w:tcPr>
          <w:p>
            <w:pPr>
              <w:ind w:left="100"/>
              <w:spacing w:after="0" w:line="25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1"/>
                <w:szCs w:val="11"/>
                <w:color w:val="auto"/>
              </w:rPr>
            </w:pPr>
          </w:p>
        </w:tc>
        <w:tc>
          <w:tcPr>
            <w:tcW w:w="52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52,000</w:t>
            </w: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01/23/2034</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52,000</w:t>
            </w:r>
          </w:p>
        </w:tc>
        <w:tc>
          <w:tcPr>
            <w:tcW w:w="74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262"/>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1"/>
                <w:szCs w:val="11"/>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restart"/>
          </w:tcPr>
          <w:p>
            <w:pPr>
              <w:jc w:val="center"/>
              <w:ind w:left="46"/>
              <w:spacing w:after="0" w:line="259" w:lineRule="exact"/>
              <w:rPr>
                <w:sz w:val="20"/>
                <w:szCs w:val="20"/>
                <w:color w:val="auto"/>
              </w:rPr>
            </w:pPr>
            <w:r>
              <w:rPr>
                <w:rFonts w:ascii="Arial" w:cs="Arial" w:eastAsia="Arial" w:hAnsi="Arial"/>
                <w:sz w:val="22"/>
                <w:szCs w:val="22"/>
                <w:color w:val="000000"/>
                <w:w w:val="87"/>
                <w:vertAlign w:val="subscript"/>
              </w:rPr>
              <w:t>$</w:t>
            </w:r>
            <w:r>
              <w:rPr>
                <w:rFonts w:ascii="Times New Roman" w:cs="Times New Roman" w:eastAsia="Times New Roman" w:hAnsi="Times New Roman"/>
                <w:sz w:val="24"/>
                <w:szCs w:val="24"/>
                <w:color w:val="0000FF"/>
                <w:w w:val="87"/>
                <w:vertAlign w:val="subscript"/>
              </w:rPr>
              <w:t>1.33</w:t>
            </w:r>
            <w:r>
              <w:rPr>
                <w:rFonts w:ascii="Times New Roman" w:cs="Times New Roman" w:eastAsia="Times New Roman" w:hAnsi="Times New Roman"/>
                <w:sz w:val="10"/>
                <w:szCs w:val="10"/>
                <w:color w:val="008000"/>
                <w:w w:val="87"/>
              </w:rPr>
              <w:t>(4)(5)</w:t>
            </w:r>
          </w:p>
        </w:tc>
        <w:tc>
          <w:tcPr>
            <w:tcW w:w="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1"/>
                <w:szCs w:val="11"/>
                <w:color w:val="auto"/>
              </w:rPr>
            </w:pPr>
          </w:p>
        </w:tc>
        <w:tc>
          <w:tcPr>
            <w:tcW w:w="840" w:type="dxa"/>
            <w:vAlign w:val="bottom"/>
            <w:gridSpan w:val="3"/>
            <w:vMerge w:val="restart"/>
          </w:tcPr>
          <w:p>
            <w:pPr>
              <w:ind w:left="100"/>
              <w:spacing w:after="0" w:line="25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2"/>
                <w:szCs w:val="12"/>
                <w:color w:val="0000FF"/>
              </w:rPr>
              <w:t>52,000</w:t>
            </w:r>
          </w:p>
        </w:tc>
        <w:tc>
          <w:tcPr>
            <w:tcW w:w="520" w:type="dxa"/>
            <w:vAlign w:val="bottom"/>
          </w:tcPr>
          <w:p>
            <w:pPr>
              <w:spacing w:after="0"/>
              <w:rPr>
                <w:sz w:val="11"/>
                <w:szCs w:val="11"/>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01/23/2034</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52,000</w:t>
            </w:r>
          </w:p>
        </w:tc>
        <w:tc>
          <w:tcPr>
            <w:tcW w:w="74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52,000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restart"/>
          </w:tcPr>
          <w:p>
            <w:pPr>
              <w:jc w:val="center"/>
              <w:ind w:left="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11.14</w:t>
            </w:r>
          </w:p>
        </w:tc>
        <w:tc>
          <w:tcPr>
            <w:tcW w:w="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1"/>
                <w:szCs w:val="11"/>
                <w:color w:val="auto"/>
              </w:rPr>
            </w:pPr>
          </w:p>
        </w:tc>
        <w:tc>
          <w:tcPr>
            <w:tcW w:w="840" w:type="dxa"/>
            <w:vAlign w:val="bottom"/>
            <w:gridSpan w:val="3"/>
            <w:vMerge w:val="restart"/>
          </w:tcPr>
          <w:p>
            <w:pPr>
              <w:ind w:left="100"/>
              <w:spacing w:after="0" w:line="25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20" w:type="dxa"/>
            <w:vAlign w:val="bottom"/>
          </w:tcPr>
          <w:p>
            <w:pPr>
              <w:spacing w:after="0"/>
              <w:rPr>
                <w:sz w:val="11"/>
                <w:szCs w:val="11"/>
                <w:color w:val="auto"/>
              </w:rPr>
            </w:pPr>
          </w:p>
        </w:tc>
        <w:tc>
          <w:tcPr>
            <w:tcW w:w="52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51,750</w:t>
            </w: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01/23/2035</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51,750</w:t>
            </w:r>
          </w:p>
        </w:tc>
        <w:tc>
          <w:tcPr>
            <w:tcW w:w="74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262"/>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1"/>
                <w:szCs w:val="11"/>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restart"/>
          </w:tcPr>
          <w:p>
            <w:pPr>
              <w:jc w:val="center"/>
              <w:ind w:left="46"/>
              <w:spacing w:after="0" w:line="259" w:lineRule="exact"/>
              <w:rPr>
                <w:sz w:val="20"/>
                <w:szCs w:val="20"/>
                <w:color w:val="auto"/>
              </w:rPr>
            </w:pPr>
            <w:r>
              <w:rPr>
                <w:rFonts w:ascii="Arial" w:cs="Arial" w:eastAsia="Arial" w:hAnsi="Arial"/>
                <w:sz w:val="22"/>
                <w:szCs w:val="22"/>
                <w:color w:val="000000"/>
                <w:w w:val="87"/>
                <w:vertAlign w:val="subscript"/>
              </w:rPr>
              <w:t>$</w:t>
            </w:r>
            <w:r>
              <w:rPr>
                <w:rFonts w:ascii="Times New Roman" w:cs="Times New Roman" w:eastAsia="Times New Roman" w:hAnsi="Times New Roman"/>
                <w:sz w:val="24"/>
                <w:szCs w:val="24"/>
                <w:color w:val="0000FF"/>
                <w:w w:val="87"/>
                <w:vertAlign w:val="subscript"/>
              </w:rPr>
              <w:t>1.33</w:t>
            </w:r>
            <w:r>
              <w:rPr>
                <w:rFonts w:ascii="Times New Roman" w:cs="Times New Roman" w:eastAsia="Times New Roman" w:hAnsi="Times New Roman"/>
                <w:sz w:val="10"/>
                <w:szCs w:val="10"/>
                <w:color w:val="008000"/>
                <w:w w:val="87"/>
              </w:rPr>
              <w:t>(4)(5)</w:t>
            </w:r>
          </w:p>
        </w:tc>
        <w:tc>
          <w:tcPr>
            <w:tcW w:w="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04/17/2026</w:t>
            </w:r>
          </w:p>
        </w:tc>
        <w:tc>
          <w:tcPr>
            <w:tcW w:w="1060" w:type="dxa"/>
            <w:vAlign w:val="bottom"/>
          </w:tcPr>
          <w:p>
            <w:pPr>
              <w:spacing w:after="0"/>
              <w:rPr>
                <w:sz w:val="11"/>
                <w:szCs w:val="11"/>
                <w:color w:val="auto"/>
              </w:rPr>
            </w:pPr>
          </w:p>
        </w:tc>
        <w:tc>
          <w:tcPr>
            <w:tcW w:w="840" w:type="dxa"/>
            <w:vAlign w:val="bottom"/>
            <w:gridSpan w:val="3"/>
            <w:vMerge w:val="restart"/>
          </w:tcPr>
          <w:p>
            <w:pPr>
              <w:ind w:left="100"/>
              <w:spacing w:after="0" w:line="25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2"/>
                <w:szCs w:val="12"/>
                <w:color w:val="0000FF"/>
              </w:rPr>
              <w:t>51,750</w:t>
            </w:r>
          </w:p>
        </w:tc>
        <w:tc>
          <w:tcPr>
            <w:tcW w:w="520" w:type="dxa"/>
            <w:vAlign w:val="bottom"/>
          </w:tcPr>
          <w:p>
            <w:pPr>
              <w:spacing w:after="0"/>
              <w:rPr>
                <w:sz w:val="11"/>
                <w:szCs w:val="11"/>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01/23/2035</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51,750</w:t>
            </w:r>
          </w:p>
        </w:tc>
        <w:tc>
          <w:tcPr>
            <w:tcW w:w="74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51,750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40" w:right="30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2026, the Issuer's board of directors approved an option repricing (the "Repricing"), effective April 17, 2026 (the "Effective Date"), for all stock options granted on or before March 1, 2025 to the Issuer's current employees, including the Reporting Person. All of the other terms of the options remain unchanged.</w:t>
      </w:r>
    </w:p>
    <w:p>
      <w:pPr>
        <w:spacing w:after="0" w:line="7" w:lineRule="exact"/>
        <w:rPr>
          <w:rFonts w:ascii="Times New Roman" w:cs="Times New Roman" w:eastAsia="Times New Roman" w:hAnsi="Times New Roman"/>
          <w:sz w:val="12"/>
          <w:szCs w:val="12"/>
          <w:color w:val="008000"/>
        </w:rPr>
      </w:pPr>
    </w:p>
    <w:p>
      <w:pPr>
        <w:ind w:left="40" w:right="26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award was issued pursuant to the Issuer's 2020 Stock Option and Incentive Plan, as amended (the "2020 Plan") and becomes exercisable in accordance with the vesting schedule specified in the award agreement and as previously reported on the Reporting Person's applicable Form 4, subject to the Reporting Person's continued service to the Issuer as of the applicable vesting date.</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has been updated from the Form 4 originally filed on January 23, 2023 from January 18, 2033 to the correct expiration date of January 19, 2033.</w:t>
      </w:r>
    </w:p>
    <w:p>
      <w:pPr>
        <w:spacing w:after="0" w:line="46" w:lineRule="exact"/>
        <w:rPr>
          <w:rFonts w:ascii="Times New Roman" w:cs="Times New Roman" w:eastAsia="Times New Roman" w:hAnsi="Times New Roman"/>
          <w:sz w:val="12"/>
          <w:szCs w:val="12"/>
          <w:color w:val="008000"/>
        </w:rPr>
      </w:pPr>
    </w:p>
    <w:p>
      <w:pPr>
        <w:ind w:left="40" w:right="140" w:hanging="5"/>
        <w:spacing w:after="0" w:line="247"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closing price per share of the Issuer's common stock on the Effective Date. Under the terms of the Repricing, a repriced stock option award will revert to its original exercise price if exercised during the Retention Period. The "Retention Period" commenced on the Effective Date and ends on the earliest of the following: (i) the eighteen-month anniversary of the Effective Date; (ii) the consummation of a Sale Event (as defined by the 2020 Plan); and (iii) the Reporting Person's (a) termination without cause (as defined in the Reporting Person's severance plan) or due to a reduction in force, (b) death or termination due to disability, or (c) resignation from service for good reason (as defined in the Reporting Person's severance plan).</w:t>
      </w:r>
    </w:p>
    <w:p>
      <w:pPr>
        <w:spacing w:after="0" w:line="22" w:lineRule="exact"/>
        <w:rPr>
          <w:rFonts w:ascii="Times New Roman" w:cs="Times New Roman" w:eastAsia="Times New Roman" w:hAnsi="Times New Roman"/>
          <w:sz w:val="12"/>
          <w:szCs w:val="12"/>
          <w:color w:val="008000"/>
        </w:rPr>
      </w:pPr>
    </w:p>
    <w:p>
      <w:pPr>
        <w:ind w:left="40" w:right="32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repriced options will also revert to its original exercise price if the Reporting Person (i) is terminated for cause (as defined in the Reporting Person's severance plan) or (ii) resigns prior to the end of the Retention Period, except for good reason (as defined in the Reporting Person's severance plan).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Jennifer Woo, attorney-in-fact 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-6350</wp:posOffset>
            </wp:positionV>
            <wp:extent cx="18605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40" w:hanging="5"/>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2207" TargetMode="External"/><Relationship Id="rId14" Type="http://schemas.openxmlformats.org/officeDocument/2006/relationships/hyperlink" Target="http://www.sec.gov/cgi-bin/browse-edgar?action=getcompany&amp;CIK=00017464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2026-04-17T15:50:15Z</dcterms:created>
  <dcterms:modified xsi:type="dcterms:W3CDTF">2026-04-17T15:50:15Z</dcterms:modified>
</cp:coreProperties>
</file>