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For the transition period from</w:t>
      </w:r>
      <w:r>
        <w:rPr>
          <w:color w:val="000000"/>
          <w:u w:val="single"/>
        </w:rPr>
        <w:t>           </w:t>
      </w:r>
      <w:r>
        <w:rPr>
          <w:rFonts w:ascii="Times New Roman;serif" w:hAnsi="Times New Roman;serif"/>
          <w:b/>
          <w:color w:val="000000"/>
          <w:sz w:val="20"/>
        </w:rPr>
        <w:t>to</w:t>
      </w:r>
      <w:r>
        <w:rPr>
          <w:color w:val="000000"/>
          <w:u w:val="single"/>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001-39303</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PLIANT THERAPEUTICS,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545" w:type="dxa"/>
        <w:jc w:val="left"/>
        <w:tblInd w:w="0" w:type="dxa"/>
        <w:tblLayout w:type="fixed"/>
        <w:tblCellMar>
          <w:top w:w="28" w:type="dxa"/>
          <w:left w:w="28" w:type="dxa"/>
          <w:bottom w:w="28" w:type="dxa"/>
          <w:right w:w="28" w:type="dxa"/>
        </w:tblCellMar>
      </w:tblPr>
      <w:tblGrid>
        <w:gridCol w:w="1350"/>
        <w:gridCol w:w="1183"/>
        <w:gridCol w:w="1201"/>
        <w:gridCol w:w="109"/>
        <w:gridCol w:w="109"/>
        <w:gridCol w:w="109"/>
        <w:gridCol w:w="433"/>
        <w:gridCol w:w="433"/>
        <w:gridCol w:w="618"/>
      </w:tblGrid>
      <w:tr>
        <w:trPr/>
        <w:tc>
          <w:tcPr>
            <w:tcW w:w="135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47-4272481</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331 Oyster Point Blvd., South San Francisco, 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94080</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(650) 481-6770</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86" w:type="dxa"/>
        <w:jc w:val="left"/>
        <w:tblInd w:w="0" w:type="dxa"/>
        <w:tblLayout w:type="fixed"/>
        <w:tblCellMar>
          <w:top w:w="28" w:type="dxa"/>
          <w:left w:w="28" w:type="dxa"/>
          <w:bottom w:w="28" w:type="dxa"/>
          <w:right w:w="28" w:type="dxa"/>
        </w:tblCellMar>
      </w:tblPr>
      <w:tblGrid>
        <w:gridCol w:w="1420"/>
        <w:gridCol w:w="1241"/>
        <w:gridCol w:w="1254"/>
        <w:gridCol w:w="270"/>
        <w:gridCol w:w="270"/>
        <w:gridCol w:w="271"/>
        <w:gridCol w:w="1157"/>
        <w:gridCol w:w="1157"/>
        <w:gridCol w:w="1646"/>
      </w:tblGrid>
      <w:tr>
        <w:trPr/>
        <w:tc>
          <w:tcPr>
            <w:tcW w:w="142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PLRX</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9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Series A Junior Participating Preferred Purchase Rights</w:t>
            </w:r>
          </w:p>
        </w:tc>
        <w:tc>
          <w:tcPr>
            <w:tcW w:w="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853" w:type="dxa"/>
        <w:jc w:val="left"/>
        <w:tblInd w:w="0" w:type="dxa"/>
        <w:tblLayout w:type="fixed"/>
        <w:tblCellMar>
          <w:top w:w="28" w:type="dxa"/>
          <w:left w:w="28" w:type="dxa"/>
          <w:bottom w:w="28" w:type="dxa"/>
          <w:right w:w="28" w:type="dxa"/>
        </w:tblCellMar>
      </w:tblPr>
      <w:tblGrid>
        <w:gridCol w:w="891"/>
        <w:gridCol w:w="783"/>
        <w:gridCol w:w="785"/>
        <w:gridCol w:w="285"/>
        <w:gridCol w:w="285"/>
        <w:gridCol w:w="286"/>
        <w:gridCol w:w="109"/>
        <w:gridCol w:w="109"/>
        <w:gridCol w:w="109"/>
        <w:gridCol w:w="769"/>
        <w:gridCol w:w="769"/>
        <w:gridCol w:w="772"/>
        <w:gridCol w:w="264"/>
        <w:gridCol w:w="264"/>
        <w:gridCol w:w="37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shell company (as defined in Rule 12b-2 of the Exchange Act). Yes ☐ No ☒ </w:t>
      </w:r>
    </w:p>
    <w:p>
      <w:pPr>
        <w:pStyle w:val="TextBody"/>
        <w:bidi w:val="0"/>
        <w:spacing w:lineRule="auto" w:line="288" w:before="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November 1, 2025, the registrant had 61,449,385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13" w:type="dxa"/>
        <w:jc w:val="left"/>
        <w:tblInd w:w="0" w:type="dxa"/>
        <w:tblLayout w:type="fixed"/>
        <w:tblCellMar>
          <w:top w:w="28" w:type="dxa"/>
          <w:left w:w="28" w:type="dxa"/>
          <w:bottom w:w="28" w:type="dxa"/>
          <w:right w:w="28" w:type="dxa"/>
        </w:tblCellMar>
      </w:tblPr>
      <w:tblGrid>
        <w:gridCol w:w="353"/>
        <w:gridCol w:w="309"/>
        <w:gridCol w:w="314"/>
        <w:gridCol w:w="2453"/>
        <w:gridCol w:w="2453"/>
        <w:gridCol w:w="245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0">
              <w:r>
                <w:rPr>
                  <w:rStyle w:val="InternetLink"/>
                  <w:rFonts w:ascii="Times New Roman;serif" w:hAnsi="Times New Roman;serif"/>
                  <w:b/>
                  <w:color w:val="112ADB"/>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0">
              <w:r>
                <w:rPr>
                  <w:rStyle w:val="InternetLink"/>
                  <w:rFonts w:ascii="Times New Roman;serif" w:hAnsi="Times New Roman;serif"/>
                  <w:b w:val="false"/>
                  <w:color w:val="0E32E1"/>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0">
              <w:r>
                <w:rPr>
                  <w:rStyle w:val="InternetLink"/>
                  <w:rFonts w:ascii="Times New Roman;serif" w:hAnsi="Times New Roman;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3">
              <w:r>
                <w:rPr>
                  <w:rStyle w:val="InternetLink"/>
                  <w:rFonts w:ascii="Times New Roman;serif" w:hAnsi="Times New Roman;serif"/>
                  <w:b w:val="false"/>
                  <w:color w:val="112ADB"/>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3">
              <w:r>
                <w:rPr>
                  <w:rStyle w:val="InternetLink"/>
                  <w:rFonts w:ascii="Times New Roman;serif" w:hAnsi="Times New Roman;serif"/>
                  <w:b w:val="false"/>
                  <w:color w:val="000080"/>
                  <w:sz w:val="20"/>
                  <w:u w:val="single"/>
                </w:rPr>
                <w:t>Condensed Financial Statements</w:t>
              </w:r>
            </w:hyperlink>
            <w:r>
              <w:rPr>
                <w:rFonts w:ascii="Times New Roman;serif" w:hAnsi="Times New Roman;serif"/>
                <w:b w:val="false"/>
                <w:color w:val="0E32E1"/>
                <w:sz w:val="20"/>
                <w:u w:val="single"/>
              </w:rPr>
              <w:t xml:space="preserve"> (Unaudited)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3">
              <w:r>
                <w:rPr>
                  <w:rStyle w:val="InternetLink"/>
                  <w:rFonts w:ascii="Times New Roman;serif" w:hAnsi="Times New Roman;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6">
              <w:r>
                <w:rPr>
                  <w:rStyle w:val="InternetLink"/>
                  <w:rFonts w:ascii="Times New Roman;serif" w:hAnsi="Times New Roman;serif"/>
                  <w:b w:val="false"/>
                  <w:color w:val="0E32E1"/>
                  <w:sz w:val="20"/>
                  <w:u w:val="single"/>
                </w:rPr>
                <w:t>Condensed Balance Sheets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6">
              <w:r>
                <w:rPr>
                  <w:rStyle w:val="InternetLink"/>
                  <w:rFonts w:ascii="Times New Roman;serif" w:hAnsi="Times New Roman;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9">
              <w:r>
                <w:rPr>
                  <w:rStyle w:val="InternetLink"/>
                  <w:rFonts w:ascii="Times New Roman;serif" w:hAnsi="Times New Roman;serif"/>
                  <w:b w:val="false"/>
                  <w:color w:val="0E32E1"/>
                  <w:sz w:val="20"/>
                  <w:u w:val="single"/>
                </w:rPr>
                <w:t>Condensed Statements of Operations and Comprehensive Loss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9">
              <w:r>
                <w:rPr>
                  <w:rStyle w:val="InternetLink"/>
                  <w:rFonts w:ascii="Times New Roman;serif" w:hAnsi="Times New Roman;serif"/>
                  <w:b w:val="false"/>
                  <w:color w:val="112ADB"/>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22">
              <w:r>
                <w:rPr>
                  <w:rStyle w:val="InternetLink"/>
                  <w:rFonts w:ascii="Times New Roman;serif" w:hAnsi="Times New Roman;serif"/>
                  <w:b w:val="false"/>
                  <w:color w:val="000080"/>
                  <w:sz w:val="20"/>
                  <w:u w:val="single"/>
                </w:rPr>
                <w:t>Condensed Statements of Stockholders’ Equity (</w:t>
              </w:r>
            </w:hyperlink>
            <w:hyperlink w:anchor="i1c3f450ba6f54c38be3277230a00f35d_22">
              <w:r>
                <w:rPr>
                  <w:rStyle w:val="InternetLink"/>
                  <w:rFonts w:ascii="Times New Roman;serif" w:hAnsi="Times New Roman;serif"/>
                  <w:b w:val="false"/>
                  <w:color w:val="000080"/>
                  <w:sz w:val="20"/>
                  <w:u w:val="single"/>
                </w:rPr>
                <w:t>Unaudited</w:t>
              </w:r>
            </w:hyperlink>
            <w:hyperlink w:anchor="i1c3f450ba6f54c38be3277230a00f35d_22">
              <w:r>
                <w:rPr>
                  <w:rStyle w:val="InternetLink"/>
                  <w:rFonts w:ascii="Times New Roman;serif" w:hAnsi="Times New Roman;serif"/>
                  <w:b w:val="false"/>
                  <w:color w:val="000080"/>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22">
              <w:r>
                <w:rPr>
                  <w:rStyle w:val="InternetLink"/>
                  <w:rFonts w:ascii="Times New Roman;serif" w:hAnsi="Times New Roman;serif"/>
                  <w:b w:val="false"/>
                  <w:color w:val="112ADB"/>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25">
              <w:r>
                <w:rPr>
                  <w:rStyle w:val="InternetLink"/>
                  <w:rFonts w:ascii="Times New Roman;serif" w:hAnsi="Times New Roman;serif"/>
                  <w:b w:val="false"/>
                  <w:color w:val="0E32E1"/>
                  <w:sz w:val="20"/>
                  <w:u w:val="single"/>
                </w:rPr>
                <w:t>Condensed Statements of Cash Flows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25">
              <w:r>
                <w:rPr>
                  <w:rStyle w:val="InternetLink"/>
                  <w:rFonts w:ascii="Times New Roman;serif" w:hAnsi="Times New Roman;serif"/>
                  <w:b w:val="false"/>
                  <w:color w:val="112ADB"/>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28">
              <w:r>
                <w:rPr>
                  <w:rStyle w:val="InternetLink"/>
                  <w:rFonts w:ascii="Times New Roman;serif" w:hAnsi="Times New Roman;serif"/>
                  <w:b w:val="false"/>
                  <w:color w:val="0E32E1"/>
                  <w:sz w:val="20"/>
                  <w:u w:val="single"/>
                </w:rPr>
                <w:t>Notes to Condensed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28">
              <w:r>
                <w:rPr>
                  <w:rStyle w:val="InternetLink"/>
                  <w:rFonts w:ascii="Times New Roman;serif" w:hAnsi="Times New Roman;serif"/>
                  <w:b w:val="false"/>
                  <w:color w:val="112ADB"/>
                  <w:sz w:val="20"/>
                  <w:u w:val="single"/>
                </w:rPr>
                <w:t>11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91">
              <w:r>
                <w:rPr>
                  <w:rStyle w:val="InternetLink"/>
                  <w:rFonts w:ascii="Times New Roman;serif" w:hAnsi="Times New Roman;serif"/>
                  <w:b w:val="false"/>
                  <w:color w:val="112ADB"/>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91">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91">
              <w:r>
                <w:rPr>
                  <w:rStyle w:val="InternetLink"/>
                  <w:rFonts w:ascii="Times New Roman;serif" w:hAnsi="Times New Roman;serif"/>
                  <w:b w:val="false"/>
                  <w:color w:val="112ADB"/>
                  <w:sz w:val="20"/>
                  <w:u w:val="single"/>
                </w:rPr>
                <w:t>22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21">
              <w:r>
                <w:rPr>
                  <w:rStyle w:val="InternetLink"/>
                  <w:rFonts w:ascii="Times New Roman;serif" w:hAnsi="Times New Roman;serif"/>
                  <w:b w:val="false"/>
                  <w:color w:val="112ADB"/>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21">
              <w:r>
                <w:rPr>
                  <w:rStyle w:val="InternetLink"/>
                  <w:rFonts w:ascii="Times New Roman;serif" w:hAnsi="Times New Roman;serif"/>
                  <w:b w:val="false"/>
                  <w:color w:val="0E32E1"/>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21">
              <w:r>
                <w:rPr>
                  <w:rStyle w:val="InternetLink"/>
                  <w:rFonts w:ascii="Times New Roman;serif" w:hAnsi="Times New Roman;serif"/>
                  <w:b w:val="false"/>
                  <w:color w:val="112ADB"/>
                  <w:sz w:val="20"/>
                  <w:u w:val="single"/>
                </w:rPr>
                <w:t>29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24">
              <w:r>
                <w:rPr>
                  <w:rStyle w:val="InternetLink"/>
                  <w:rFonts w:ascii="Times New Roman;serif" w:hAnsi="Times New Roman;serif"/>
                  <w:b w:val="false"/>
                  <w:color w:val="112ADB"/>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24">
              <w:r>
                <w:rPr>
                  <w:rStyle w:val="InternetLink"/>
                  <w:rFonts w:ascii="Times New Roman;serif" w:hAnsi="Times New Roman;serif"/>
                  <w:b w:val="false"/>
                  <w:color w:val="0E32E1"/>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24">
              <w:r>
                <w:rPr>
                  <w:rStyle w:val="InternetLink"/>
                  <w:rFonts w:ascii="Times New Roman;serif" w:hAnsi="Times New Roman;serif"/>
                  <w:b w:val="false"/>
                  <w:color w:val="112ADB"/>
                  <w:sz w:val="20"/>
                  <w:u w:val="single"/>
                </w:rPr>
                <w:t>29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27">
              <w:r>
                <w:rPr>
                  <w:rStyle w:val="InternetLink"/>
                  <w:rFonts w:ascii="Times New Roman;serif" w:hAnsi="Times New Roman;serif"/>
                  <w:b/>
                  <w:color w:val="112ADB"/>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27">
              <w:r>
                <w:rPr>
                  <w:rStyle w:val="InternetLink"/>
                  <w:rFonts w:ascii="Times New Roman;serif" w:hAnsi="Times New Roman;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27">
              <w:r>
                <w:rPr>
                  <w:rStyle w:val="InternetLink"/>
                  <w:rFonts w:ascii="Times New Roman;serif" w:hAnsi="Times New Roman;serif"/>
                  <w:b w:val="false"/>
                  <w:color w:val="112ADB"/>
                  <w:sz w:val="20"/>
                  <w:u w:val="single"/>
                </w:rPr>
                <w:t>29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30">
              <w:r>
                <w:rPr>
                  <w:rStyle w:val="InternetLink"/>
                  <w:rFonts w:ascii="Times New Roman;serif" w:hAnsi="Times New Roman;serif"/>
                  <w:b w:val="false"/>
                  <w:color w:val="112ADB"/>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30">
              <w:r>
                <w:rPr>
                  <w:rStyle w:val="InternetLink"/>
                  <w:rFonts w:ascii="Times New Roman;serif" w:hAnsi="Times New Roman;serif"/>
                  <w:b w:val="false"/>
                  <w:color w:val="0E32E1"/>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30">
              <w:r>
                <w:rPr>
                  <w:rStyle w:val="InternetLink"/>
                  <w:rFonts w:ascii="Times New Roman;serif" w:hAnsi="Times New Roman;serif"/>
                  <w:b w:val="false"/>
                  <w:color w:val="112ADB"/>
                  <w:sz w:val="20"/>
                  <w:u w:val="single"/>
                </w:rPr>
                <w:t>29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33">
              <w:r>
                <w:rPr>
                  <w:rStyle w:val="InternetLink"/>
                  <w:rFonts w:ascii="Times New Roman;serif" w:hAnsi="Times New Roman;serif"/>
                  <w:b w:val="false"/>
                  <w:color w:val="112ADB"/>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33">
              <w:r>
                <w:rPr>
                  <w:rStyle w:val="InternetLink"/>
                  <w:rFonts w:ascii="Times New Roman;serif" w:hAnsi="Times New Roman;serif"/>
                  <w:b w:val="false"/>
                  <w:color w:val="0E32E1"/>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33">
              <w:r>
                <w:rPr>
                  <w:rStyle w:val="InternetLink"/>
                  <w:rFonts w:ascii="Times New Roman;serif" w:hAnsi="Times New Roman;serif"/>
                  <w:b w:val="false"/>
                  <w:color w:val="112ADB"/>
                  <w:sz w:val="20"/>
                  <w:u w:val="singl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36">
              <w:r>
                <w:rPr>
                  <w:rStyle w:val="InternetLink"/>
                  <w:rFonts w:ascii="Times New Roman;serif" w:hAnsi="Times New Roman;serif"/>
                  <w:b w:val="false"/>
                  <w:color w:val="112ADB"/>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36">
              <w:r>
                <w:rPr>
                  <w:rStyle w:val="InternetLink"/>
                  <w:rFonts w:ascii="Times New Roman;serif" w:hAnsi="Times New Roman;serif"/>
                  <w:b w:val="false"/>
                  <w:color w:val="0E32E1"/>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36">
              <w:r>
                <w:rPr>
                  <w:rStyle w:val="InternetLink"/>
                  <w:rFonts w:ascii="Times New Roman;serif" w:hAnsi="Times New Roman;serif"/>
                  <w:b w:val="false"/>
                  <w:color w:val="112ADB"/>
                  <w:sz w:val="20"/>
                  <w:u w:val="singl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39">
              <w:r>
                <w:rPr>
                  <w:rStyle w:val="InternetLink"/>
                  <w:rFonts w:ascii="Times New Roman;serif" w:hAnsi="Times New Roman;serif"/>
                  <w:b w:val="false"/>
                  <w:color w:val="112ADB"/>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39">
              <w:r>
                <w:rPr>
                  <w:rStyle w:val="InternetLink"/>
                  <w:rFonts w:ascii="Times New Roman;serif" w:hAnsi="Times New Roman;serif"/>
                  <w:b w:val="false"/>
                  <w:color w:val="0E32E1"/>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39">
              <w:r>
                <w:rPr>
                  <w:rStyle w:val="InternetLink"/>
                  <w:rFonts w:ascii="Times New Roman;serif" w:hAnsi="Times New Roman;serif"/>
                  <w:b w:val="false"/>
                  <w:color w:val="112ADB"/>
                  <w:sz w:val="20"/>
                  <w:u w:val="singl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42">
              <w:r>
                <w:rPr>
                  <w:rStyle w:val="InternetLink"/>
                  <w:rFonts w:ascii="Times New Roman;serif" w:hAnsi="Times New Roman;serif"/>
                  <w:b w:val="false"/>
                  <w:color w:val="112ADB"/>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42">
              <w:r>
                <w:rPr>
                  <w:rStyle w:val="InternetLink"/>
                  <w:rFonts w:ascii="Times New Roman;serif" w:hAnsi="Times New Roman;serif"/>
                  <w:b w:val="false"/>
                  <w:color w:val="0E32E1"/>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42">
              <w:r>
                <w:rPr>
                  <w:rStyle w:val="InternetLink"/>
                  <w:rFonts w:ascii="Times New Roman;serif" w:hAnsi="Times New Roman;serif"/>
                  <w:b w:val="false"/>
                  <w:color w:val="112ADB"/>
                  <w:sz w:val="20"/>
                  <w:u w:val="singl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45">
              <w:r>
                <w:rPr>
                  <w:rStyle w:val="InternetLink"/>
                  <w:rFonts w:ascii="Times New Roman;serif" w:hAnsi="Times New Roman;serif"/>
                  <w:b w:val="false"/>
                  <w:color w:val="112ADB"/>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45">
              <w:r>
                <w:rPr>
                  <w:rStyle w:val="InternetLink"/>
                  <w:rFonts w:ascii="Times New Roman;serif" w:hAnsi="Times New Roman;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45">
              <w:r>
                <w:rPr>
                  <w:rStyle w:val="InternetLink"/>
                  <w:rFonts w:ascii="Times New Roman;serif" w:hAnsi="Times New Roman;serif"/>
                  <w:b w:val="false"/>
                  <w:color w:val="112ADB"/>
                  <w:sz w:val="20"/>
                  <w:u w:val="singl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51">
              <w:r>
                <w:rPr>
                  <w:rStyle w:val="InternetLink"/>
                  <w:rFonts w:ascii="Times New Roman;serif" w:hAnsi="Times New Roman;serif"/>
                  <w:b w:val="false"/>
                  <w:color w:val="112ADB"/>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51">
              <w:r>
                <w:rPr>
                  <w:rStyle w:val="InternetLink"/>
                  <w:rFonts w:ascii="Times New Roman;serif" w:hAnsi="Times New Roman;serif"/>
                  <w:b w:val="false"/>
                  <w:color w:val="0E32E1"/>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51">
              <w:r>
                <w:rPr>
                  <w:rStyle w:val="InternetLink"/>
                  <w:rFonts w:ascii="Times New Roman;serif" w:hAnsi="Times New Roman;serif"/>
                  <w:b w:val="false"/>
                  <w:color w:val="112ADB"/>
                  <w:sz w:val="20"/>
                  <w:u w:val="single"/>
                </w:rPr>
                <w:t>75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3f450ba6f54c38be3277230a00f35d_154">
              <w:r>
                <w:rPr>
                  <w:rStyle w:val="InternetLink"/>
                  <w:rFonts w:ascii="Times New Roman;serif" w:hAnsi="Times New Roman;serif"/>
                  <w:b w:val="false"/>
                  <w:color w:val="112ADB"/>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3f450ba6f54c38be3277230a00f35d_154">
              <w:r>
                <w:rPr>
                  <w:rStyle w:val="InternetLink"/>
                  <w:rFonts w:ascii="Times New Roman;serif" w:hAnsi="Times New Roman;serif"/>
                  <w:b w:val="false"/>
                  <w:color w:val="112ADB"/>
                  <w:sz w:val="20"/>
                  <w:u w:val="single"/>
                </w:rPr>
                <w:t>76</w:t>
              </w:r>
            </w:hyperlink>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The success, cost and timing of our product development activities and preclinical and clinical trials of our product candidates;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to initiate, recruit and enroll patients in, and conduct our clinical trials at the pace that we project;</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and strategy to obtain and maintain regulatory approvals of our product candidates;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and strategy to obtain funding for our operations, including funding necessary to complete further development and, upon successful development, if approved, commercialize any of our product candidates;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The effect and impact of new, existing and proposed laws and regulations;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The potential benefit of orphan drug and Fast Track designations for any of our product candidates;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ability to compete with companies currently marketing or engaged in the development of integrin-based therapeutics;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and strategy regarding obtaining and maintaining intellectual property protection for our product candidates and the duration of such protection;</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and strategy regarding the manufacture of our product candidates for clinical trials and for commercial use, if approved;</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ability to enter into successful new collaborations;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dependence on future collaborators for developing, obtaining regulatory approval for and commercializing product candidates in the collaboration;</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receipt and timing of any milestone payments or royalties under any future research collaboration or license agreements or arrangements;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and strategy regarding the commercialization of any products that are approved for marketing and our ability to establish adequate pricing in the U.S. and international markets;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The size and growth potential of the markets for our product candidates, and our ability to serve those markets, either alone or in combination with others;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 xml:space="preserve">Our ability to attract and retain qualified employees and key personnel; </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expectations regarding government and third-party payor coverage and reimbursement; and</w:t>
      </w:r>
    </w:p>
    <w:p>
      <w:pPr>
        <w:pStyle w:val="TextBody"/>
        <w:bidi w:val="0"/>
        <w:spacing w:lineRule="auto" w:line="288" w:before="0" w:after="0"/>
        <w:ind w:left="0" w:right="0" w:hanging="630"/>
        <w:jc w:val="left"/>
        <w:rPr/>
      </w:pPr>
      <w:r>
        <w:rPr>
          <w:color w:val="000000"/>
        </w:rPr>
        <w:t>•</w:t>
      </w:r>
      <w:r>
        <w:rPr>
          <w:rFonts w:ascii="Times New Roman;serif" w:hAnsi="Times New Roman;serif"/>
          <w:b w:val="false"/>
          <w:color w:val="000000"/>
          <w:sz w:val="20"/>
        </w:rPr>
        <w:t>Our expectations of obtaining a positive health technology assessment recommending our products.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 OF RISKS ASSOCIATED WITH OUR BUSINESS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involves significant risks, some of which are summarized below. The summary risk factors listed below should be read together with the text of the full risk factors discussed in "Part II, Item 1A -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pStyle w:val="TextBody"/>
        <w:bidi w:val="0"/>
        <w:spacing w:lineRule="auto" w:line="288" w:before="6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Risks Related to Our Financial Position, Need for Additional Capital and Operations</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We have incurred significant net losses since inception, and we expect to continue to incur significant net losses for the foreseeable future.</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6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Risks Related to Research and Development and the Biopharmaceutical Industry</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We have a limited operating history, which may make it difficult to evaluate our prospects and likelihood of success.</w:t>
      </w:r>
    </w:p>
    <w:p>
      <w:pPr>
        <w:pStyle w:val="TextBody"/>
        <w:bidi w:val="0"/>
        <w:spacing w:lineRule="auto" w:line="288" w:before="60" w:after="283"/>
        <w:ind w:left="0" w:right="0" w:hanging="630"/>
        <w:jc w:val="left"/>
        <w:rPr/>
      </w:pPr>
      <w:r>
        <w:rPr>
          <w:color w:val="000000"/>
        </w:rPr>
        <w:t>•</w:t>
      </w:r>
      <w:r>
        <w:rPr>
          <w:rFonts w:ascii="Times New Roman;serif" w:hAnsi="Times New Roman;serif"/>
          <w:b w:val="false"/>
          <w:color w:val="000000"/>
          <w:sz w:val="20"/>
        </w:rPr>
        <w:t xml:space="preserve">Our business is highly dependent on the success of our product candidates that we advance into the clinic. All of our product candidates will require significant additional development before we may be able to seek regulatory approval for and launch a product commercially. </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Clinical development involves a lengthy, complex, and expensive process, with an uncertain outcome to support either a marketing authorization or positive pricing and reimbursement decisions.</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We may incur additional costs or experience delays in completing, or ultimately be unable to complete, the development and commercialization of our product candidates.</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We may fail to obtain and maintain certain regulatory exclusivities and orphan designations in some jurisdictions and therefore fail to secure orphan exclusivity or other exclusivity extensions in those jurisdictions.</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60" w:after="283"/>
        <w:ind w:left="0" w:right="0" w:hanging="630"/>
        <w:jc w:val="left"/>
        <w:rPr/>
      </w:pPr>
      <w:r>
        <w:rPr>
          <w:color w:val="000000"/>
        </w:rPr>
        <w:t>•</w:t>
      </w:r>
      <w:r>
        <w:rPr>
          <w:rFonts w:ascii="Times New Roman;serif" w:hAnsi="Times New Roman;serif"/>
          <w:b w:val="false"/>
          <w:color w:val="000000"/>
          <w:sz w:val="20"/>
        </w:rPr>
        <w:t xml:space="preserve">We may fail to secure an appropriate reimbursement price or a positive health technology assessment. </w:t>
      </w:r>
    </w:p>
    <w:p>
      <w:pPr>
        <w:pStyle w:val="TextBody"/>
        <w:bidi w:val="0"/>
        <w:spacing w:lineRule="auto" w:line="288" w:before="6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Risks Related to Our Intellectual Property</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Our success depends in part on our ability to obtain patent term extensions and to protect our intellectual property. It is difficult and costly to protect our proprietary rights and technology, and we may not be able to ensure their protection.</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Our future collaborators may assert ownership or commercial rights to inventions they develop from research we support, or that we develop from our use of the tissue samples or other biological materials which they provide to us, or otherwise arising from such collaboration.</w:t>
      </w:r>
    </w:p>
    <w:p>
      <w:pPr>
        <w:pStyle w:val="TextBody"/>
        <w:bidi w:val="0"/>
        <w:spacing w:lineRule="auto" w:line="288" w:before="6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Risks Related to Our Reliance on Third Parties</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We rely on third parties to conduct certain aspects of our preclinical studies and clinical trials and for tissue samples and other materials required for our research and development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We rely on single-source third party suppliers located in foreign jurisdictions, including China, to manufacture our drug candidates. An interruption in this supply, caused by a business interruption or geopolitical events, could materially disrupt our research and development activities.</w:t>
      </w:r>
    </w:p>
    <w:p>
      <w:pPr>
        <w:pStyle w:val="TextBody"/>
        <w:bidi w:val="0"/>
        <w:spacing w:lineRule="auto" w:line="288" w:before="60" w:after="283"/>
        <w:ind w:left="0" w:right="0" w:hanging="630"/>
        <w:jc w:val="left"/>
        <w:rPr/>
      </w:pPr>
      <w:r>
        <w:rPr>
          <w:color w:val="000000"/>
        </w:rPr>
        <w:t>•</w:t>
      </w:r>
      <w:r>
        <w:rPr>
          <w:rFonts w:ascii="Times New Roman;serif" w:hAnsi="Times New Roman;serif"/>
          <w:b w:val="false"/>
          <w:color w:val="000000"/>
          <w:sz w:val="20"/>
        </w:rPr>
        <w:t>If we are unable to enter into new collaborations, or if these collaborations are not successful, our business could be adversely affected.</w:t>
      </w:r>
    </w:p>
    <w:p>
      <w:pPr>
        <w:pStyle w:val="TextBody"/>
        <w:bidi w:val="0"/>
        <w:spacing w:lineRule="auto" w:line="288" w:before="6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Risks Related to Managing Our Business and Operations</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887"/>
        <w:gridCol w:w="2335"/>
        <w:gridCol w:w="2245"/>
        <w:gridCol w:w="216"/>
        <w:gridCol w:w="848"/>
        <w:gridCol w:w="111"/>
        <w:gridCol w:w="109"/>
        <w:gridCol w:w="109"/>
        <w:gridCol w:w="109"/>
        <w:gridCol w:w="218"/>
        <w:gridCol w:w="855"/>
        <w:gridCol w:w="163"/>
      </w:tblGrid>
      <w:tr>
        <w:trPr/>
        <w:tc>
          <w:tcPr>
            <w:tcW w:w="2887"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(Note 5)</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362,264 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(Note 4)</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(Note 15)</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396,949 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(Note 6)</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(Note 15)</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 (Note 15)</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(Note 7)</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per share; 10,000,000 shares authorized at September 30, 2025 and December 31, 2024, 300,000 shares designated as Series A Junior Participating Preferred Stock at September 30, 2025 and none designated as Series A Junior Participating Preferred Stock at December 31, 2024; and none issued or outstanding at September 30, 2025 and December 31, 2024 (Note 8 and 10)</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300,000,000 shares authorized at September 30, 2025 and December 31, 2024; and 61,449,290 and 60,860,838 shares issued and outstanding at September 30, 2025 and December 31, 2024, respectively; (Note 9)</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(835,819)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(710,052)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gain</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276,600 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396,949 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20"/>
        </w:rPr>
        <w:t>*The condensed balance sheet as of December 31, 2024 has been derived from the audited financial statements as of that date</w:t>
      </w:r>
      <w:r>
        <w:rPr>
          <w:rFonts w:ascii="Times New Roman;serif" w:hAnsi="Times New Roman;serif"/>
          <w:b w:val="false"/>
          <w:color w:val="000000"/>
          <w:sz w:val="18"/>
        </w:rPr>
        <w:t>.</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1639"/>
        <w:gridCol w:w="1352"/>
        <w:gridCol w:w="1358"/>
        <w:gridCol w:w="240"/>
        <w:gridCol w:w="841"/>
        <w:gridCol w:w="112"/>
        <w:gridCol w:w="112"/>
        <w:gridCol w:w="112"/>
        <w:gridCol w:w="112"/>
        <w:gridCol w:w="240"/>
        <w:gridCol w:w="841"/>
        <w:gridCol w:w="112"/>
        <w:gridCol w:w="109"/>
        <w:gridCol w:w="109"/>
        <w:gridCol w:w="109"/>
        <w:gridCol w:w="211"/>
        <w:gridCol w:w="894"/>
        <w:gridCol w:w="109"/>
        <w:gridCol w:w="109"/>
        <w:gridCol w:w="109"/>
        <w:gridCol w:w="109"/>
        <w:gridCol w:w="211"/>
        <w:gridCol w:w="894"/>
        <w:gridCol w:w="161"/>
      </w:tblGrid>
      <w:tr>
        <w:trPr/>
        <w:tc>
          <w:tcPr>
            <w:tcW w:w="163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(175,045)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(175,045)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per share - basic and 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61,406,475 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60,730,935 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61,339,118 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60,432,643 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gain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(26,266)</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(56,298)</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(160,069)</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698"/>
        <w:gridCol w:w="383"/>
        <w:gridCol w:w="385"/>
        <w:gridCol w:w="540"/>
        <w:gridCol w:w="541"/>
        <w:gridCol w:w="211"/>
        <w:gridCol w:w="109"/>
        <w:gridCol w:w="109"/>
        <w:gridCol w:w="109"/>
        <w:gridCol w:w="275"/>
        <w:gridCol w:w="333"/>
        <w:gridCol w:w="143"/>
        <w:gridCol w:w="109"/>
        <w:gridCol w:w="109"/>
        <w:gridCol w:w="109"/>
        <w:gridCol w:w="211"/>
        <w:gridCol w:w="976"/>
        <w:gridCol w:w="109"/>
        <w:gridCol w:w="109"/>
        <w:gridCol w:w="109"/>
        <w:gridCol w:w="109"/>
        <w:gridCol w:w="370"/>
        <w:gridCol w:w="818"/>
        <w:gridCol w:w="192"/>
        <w:gridCol w:w="109"/>
        <w:gridCol w:w="109"/>
        <w:gridCol w:w="109"/>
        <w:gridCol w:w="211"/>
        <w:gridCol w:w="845"/>
        <w:gridCol w:w="109"/>
        <w:gridCol w:w="109"/>
        <w:gridCol w:w="109"/>
        <w:gridCol w:w="109"/>
        <w:gridCol w:w="215"/>
        <w:gridCol w:w="843"/>
        <w:gridCol w:w="162"/>
      </w:tblGrid>
      <w:tr>
        <w:trPr/>
        <w:tc>
          <w:tcPr>
            <w:tcW w:w="6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 Gain/(Loss)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60,860,838 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61,386,183 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257,164 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61,386,183 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61,449,290 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(835,819)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6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financial statements.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708"/>
        <w:gridCol w:w="396"/>
        <w:gridCol w:w="397"/>
        <w:gridCol w:w="540"/>
        <w:gridCol w:w="541"/>
        <w:gridCol w:w="211"/>
        <w:gridCol w:w="109"/>
        <w:gridCol w:w="109"/>
        <w:gridCol w:w="109"/>
        <w:gridCol w:w="275"/>
        <w:gridCol w:w="333"/>
        <w:gridCol w:w="143"/>
        <w:gridCol w:w="109"/>
        <w:gridCol w:w="109"/>
        <w:gridCol w:w="109"/>
        <w:gridCol w:w="211"/>
        <w:gridCol w:w="976"/>
        <w:gridCol w:w="109"/>
        <w:gridCol w:w="109"/>
        <w:gridCol w:w="109"/>
        <w:gridCol w:w="109"/>
        <w:gridCol w:w="353"/>
        <w:gridCol w:w="806"/>
        <w:gridCol w:w="183"/>
        <w:gridCol w:w="109"/>
        <w:gridCol w:w="109"/>
        <w:gridCol w:w="109"/>
        <w:gridCol w:w="211"/>
        <w:gridCol w:w="846"/>
        <w:gridCol w:w="109"/>
        <w:gridCol w:w="109"/>
        <w:gridCol w:w="109"/>
        <w:gridCol w:w="109"/>
        <w:gridCol w:w="215"/>
        <w:gridCol w:w="843"/>
        <w:gridCol w:w="164"/>
      </w:tblGrid>
      <w:tr>
        <w:trPr/>
        <w:tc>
          <w:tcPr>
            <w:tcW w:w="70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59,921,002 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9,666 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60,318,542 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437,332 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60,425,144 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392,678 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60,849,503 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345,822 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20"/>
        <w:gridCol w:w="2279"/>
        <w:gridCol w:w="2291"/>
        <w:gridCol w:w="226"/>
        <w:gridCol w:w="964"/>
        <w:gridCol w:w="116"/>
        <w:gridCol w:w="116"/>
        <w:gridCol w:w="116"/>
        <w:gridCol w:w="116"/>
        <w:gridCol w:w="226"/>
        <w:gridCol w:w="964"/>
        <w:gridCol w:w="171"/>
      </w:tblGrid>
      <w:tr>
        <w:trPr/>
        <w:tc>
          <w:tcPr>
            <w:tcW w:w="2620"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1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7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plant and equipment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(accretion) on short-term investments and debt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(110,548)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(107,841)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of short-term investments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132,522 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101,208 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issuances of common stock under benefit plans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term loan, net of issuance costs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period</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reported in the balance sheets</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short-term investments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in accounts payable and accrued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 related to leases:</w:t>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Pliant Therapeutics, Inc. (the “Company” or “Pliant” or “we” or “our” or “us”) is a clinical-stage biopharmaceutical company focused on discovering and developing integrin-based therapeutics. The Company is located in South San Francisco, California, and was incorporated in the state of Delaware in June 2015.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Bexotegrast in Idiopathic Pulmonary Fibrosis (IPF)</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we announced that we were discontinuing the BEACON-IPF Phase 2b trial following a prespecified data review and recommendation by the trial’s independent Data Safety Monitoring Board (“DSMB”), as well as a secondary review and recommendation by an outside expert panel, due to an imbalance in safety events between the treatment and placebo groups. In June 2025, we announced that we were discontinuing the development of bexotegrast in IPF as the results of BEACON-IPF demonstrated an unfavorable risk-benefit profile.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condensed financial statements have been prepared in conformity with accounting principles generally accepted in the United States of America (“U.S. GAAP”) and follow the requirements of the Securities and Exchange Commission (“SEC”), for interim financial reporting. As permitted under those rules, certain footnotes or other financial information that are normally required by U.S. GAAP have been condensed or omitted, and accordingly the unaudited interim condensed financial statements do not include all of the information and notes required by U.S. GAAP for complete financial statements. These unaudited interim condensed financial statements have been prepared on the same basis as our annual financial statements and, in the opinion of management, reflect all adjustments (consisting only of normal recurring adjustments) that are necessary for a fair presentation of the Company's financial information. The results of operations for the three and nine months ended September 30, 2025 are not necessarily indicative of the results to be expected for the year ending December 31, 2025 or for any other interim period or for any other future year.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included herein should be read in conjunction with the audited financial statements and related notes in the Company’s Annual Report on Form 10-K for the year ended December 31, 2024, filed with the SEC on March 3, 2025 (the “2024 10-K”).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operating lease right-of-use (“ROU”) assets and liabilities, accruals and prepayments for research and development costs, income taxes and uncertain tax positions. The Company assesses estimates on an ongoing basis, however, actual results could materially differ from those estimates.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accounting policies during the three and nine months ended September 30, 2025, as compared to the significant accounting policies described in Note 2 of the "Notes to the Financial Statements" in the Company's audited financial statements included in its 2024 10-K.</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ASU 2023-09, Income Taxes (Topic 740): Improvements to Income Tax Disclosures. ASU 2023-09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ASU 2023-09 is effective for fiscal years beginning after December 15, 2024 on a prospective basis and retrospective application is permitted. The Company is currently evaluating the impact of this standard on its disclosures and will adopt the ASU for its Annual Report on Form 10-K for the year ended December 31, 2025.</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“Disaggregation of Income Statement Expenses,” which aims to improve the disclosures about a public business entity’s expenses and address requests from investors for more detailed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information about the types of expenses in commonly presented expense captions. The guidance is effective for the Company's annual periods beginning in 2027 and interim periods beginning in the first quarter of fiscal year 2028. The Company will first apply this guidance, on an annual basis for the year ending December 31, 2025. While this ASU will expand our income tax disclosures, it is not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Financial Instruments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for reasons including, but not limited to, managing liquidity, credit risk, duration and asset allocation and such investments represent cash available for current operations. As a result, short-term investments may include securities with maturities beyond twelve months that are classified within current assets in the condensed balance sheets. The Company’s short-term investments classified as available-for-sale are carried at fair market value with unrealized gains or losses recognized in the statements of operations and comprehensive loss.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cash equivalent Money Market Funds are classified as Level 1 in the fair value hierarchy because they are valued using quoted active market prices. The fair value of the Company’s U.S. Treasury securities, U.S. Government agency securities and corporate debt securities are classified as Level 2 because they are valued using observable inputs to quoted market prices other than Level 1 prices, benchmark yields, reported trades, broker/dealer quotes or alternative pricing sources with reasonable levels of price transparency and include U.S. Government agency securities, U.S. Treasury securities and corporate debt securities.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assets or liabilities recorded at fair value to the condensed balance sheets using Level 3 inputs as of September 30, 2025 and as of December 31, 2024.</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show the Company’s short-term investments and cash equivalents by significant investment category as of September 30, 2025 and December 31, 2024 (in thousands):</w:t>
      </w:r>
    </w:p>
    <w:tbl>
      <w:tblPr>
        <w:tblW w:w="11256" w:type="dxa"/>
        <w:jc w:val="left"/>
        <w:tblInd w:w="0" w:type="dxa"/>
        <w:tblLayout w:type="fixed"/>
        <w:tblCellMar>
          <w:top w:w="28" w:type="dxa"/>
          <w:left w:w="28" w:type="dxa"/>
          <w:bottom w:w="28" w:type="dxa"/>
          <w:right w:w="28" w:type="dxa"/>
        </w:tblCellMar>
      </w:tblPr>
      <w:tblGrid>
        <w:gridCol w:w="603"/>
        <w:gridCol w:w="201"/>
        <w:gridCol w:w="202"/>
        <w:gridCol w:w="140"/>
        <w:gridCol w:w="140"/>
        <w:gridCol w:w="141"/>
        <w:gridCol w:w="109"/>
        <w:gridCol w:w="109"/>
        <w:gridCol w:w="109"/>
        <w:gridCol w:w="196"/>
        <w:gridCol w:w="736"/>
        <w:gridCol w:w="109"/>
        <w:gridCol w:w="109"/>
        <w:gridCol w:w="109"/>
        <w:gridCol w:w="109"/>
        <w:gridCol w:w="207"/>
        <w:gridCol w:w="428"/>
        <w:gridCol w:w="116"/>
        <w:gridCol w:w="109"/>
        <w:gridCol w:w="109"/>
        <w:gridCol w:w="109"/>
        <w:gridCol w:w="207"/>
        <w:gridCol w:w="428"/>
        <w:gridCol w:w="116"/>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207"/>
        <w:gridCol w:w="428"/>
        <w:gridCol w:w="116"/>
        <w:gridCol w:w="109"/>
        <w:gridCol w:w="109"/>
        <w:gridCol w:w="109"/>
        <w:gridCol w:w="196"/>
        <w:gridCol w:w="73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Market</w:t>
              <w:br/>
              <w:t>Value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agency securities</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financial assets</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790" w:type="dxa"/>
        <w:jc w:val="left"/>
        <w:tblInd w:w="0" w:type="dxa"/>
        <w:tblLayout w:type="fixed"/>
        <w:tblCellMar>
          <w:top w:w="28" w:type="dxa"/>
          <w:left w:w="28" w:type="dxa"/>
          <w:bottom w:w="28" w:type="dxa"/>
          <w:right w:w="28" w:type="dxa"/>
        </w:tblCellMar>
      </w:tblPr>
      <w:tblGrid>
        <w:gridCol w:w="430"/>
        <w:gridCol w:w="267"/>
        <w:gridCol w:w="264"/>
        <w:gridCol w:w="109"/>
        <w:gridCol w:w="109"/>
        <w:gridCol w:w="109"/>
        <w:gridCol w:w="196"/>
        <w:gridCol w:w="736"/>
        <w:gridCol w:w="109"/>
        <w:gridCol w:w="109"/>
        <w:gridCol w:w="109"/>
        <w:gridCol w:w="109"/>
        <w:gridCol w:w="207"/>
        <w:gridCol w:w="428"/>
        <w:gridCol w:w="116"/>
        <w:gridCol w:w="109"/>
        <w:gridCol w:w="109"/>
        <w:gridCol w:w="109"/>
        <w:gridCol w:w="262"/>
        <w:gridCol w:w="342"/>
        <w:gridCol w:w="147"/>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207"/>
        <w:gridCol w:w="428"/>
        <w:gridCol w:w="116"/>
        <w:gridCol w:w="109"/>
        <w:gridCol w:w="109"/>
        <w:gridCol w:w="109"/>
        <w:gridCol w:w="196"/>
        <w:gridCol w:w="73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Market</w:t>
              <w:br/>
              <w:t>Value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Classified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liabilities measured at fair value on a recurring basis as of September 30, 2025 and December 31, 2024. The Company evaluates transfers between levels at the end of each reporting period and there have been no transfers between fair value measurement levels during the nine months ended September 30, 2025. In addition, there were no assets or liabilities measured at fair value on a non-recurring basis as of September 30, 2025 and December 31, 2024.</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records interest income, accretion income and amortization expense on short-term investments to interest and other income (expense), net in its condensed statement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Property and Equipment, 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7481" w:type="dxa"/>
        <w:jc w:val="left"/>
        <w:tblInd w:w="0" w:type="dxa"/>
        <w:tblLayout w:type="fixed"/>
        <w:tblCellMar>
          <w:top w:w="28" w:type="dxa"/>
          <w:left w:w="28" w:type="dxa"/>
          <w:bottom w:w="28" w:type="dxa"/>
          <w:right w:w="28" w:type="dxa"/>
        </w:tblCellMar>
      </w:tblPr>
      <w:tblGrid>
        <w:gridCol w:w="1108"/>
        <w:gridCol w:w="974"/>
        <w:gridCol w:w="978"/>
        <w:gridCol w:w="416"/>
        <w:gridCol w:w="1423"/>
        <w:gridCol w:w="215"/>
        <w:gridCol w:w="109"/>
        <w:gridCol w:w="109"/>
        <w:gridCol w:w="109"/>
        <w:gridCol w:w="396"/>
        <w:gridCol w:w="1355"/>
        <w:gridCol w:w="289"/>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1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$0.4 million and $1.3 million for the three and nine months ended September 30, 2025, respectively, and $0.5 million and $1.7 million for the three and nine months ended September 30,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Prepaid Expenses and Other Current Assets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8350" w:type="dxa"/>
        <w:jc w:val="left"/>
        <w:tblInd w:w="0" w:type="dxa"/>
        <w:tblLayout w:type="fixed"/>
        <w:tblCellMar>
          <w:top w:w="28" w:type="dxa"/>
          <w:left w:w="28" w:type="dxa"/>
          <w:bottom w:w="28" w:type="dxa"/>
          <w:right w:w="28" w:type="dxa"/>
        </w:tblCellMar>
      </w:tblPr>
      <w:tblGrid>
        <w:gridCol w:w="1421"/>
        <w:gridCol w:w="1251"/>
        <w:gridCol w:w="1257"/>
        <w:gridCol w:w="463"/>
        <w:gridCol w:w="1353"/>
        <w:gridCol w:w="239"/>
        <w:gridCol w:w="109"/>
        <w:gridCol w:w="109"/>
        <w:gridCol w:w="109"/>
        <w:gridCol w:w="438"/>
        <w:gridCol w:w="1281"/>
        <w:gridCol w:w="320"/>
      </w:tblGrid>
      <w:tr>
        <w:trPr/>
        <w:tc>
          <w:tcPr>
            <w:tcW w:w="142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licenses</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research and development</w:t>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Accrued Liabilities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w:t>
      </w:r>
    </w:p>
    <w:tbl>
      <w:tblPr>
        <w:tblW w:w="7437" w:type="dxa"/>
        <w:jc w:val="left"/>
        <w:tblInd w:w="0" w:type="dxa"/>
        <w:tblLayout w:type="fixed"/>
        <w:tblCellMar>
          <w:top w:w="28" w:type="dxa"/>
          <w:left w:w="28" w:type="dxa"/>
          <w:bottom w:w="28" w:type="dxa"/>
          <w:right w:w="28" w:type="dxa"/>
        </w:tblCellMar>
      </w:tblPr>
      <w:tblGrid>
        <w:gridCol w:w="1093"/>
        <w:gridCol w:w="959"/>
        <w:gridCol w:w="963"/>
        <w:gridCol w:w="463"/>
        <w:gridCol w:w="1353"/>
        <w:gridCol w:w="239"/>
        <w:gridCol w:w="109"/>
        <w:gridCol w:w="109"/>
        <w:gridCol w:w="109"/>
        <w:gridCol w:w="396"/>
        <w:gridCol w:w="1355"/>
        <w:gridCol w:w="289"/>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 consist primarily of accrued bonuses and accrued vacation.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we entered into an Amended and Restated Loan and Security Agreement (the "Amended Loan Agreement") with Oxford Finance LLC (the “Lender” or “Oxford”) and drew an additional Term Loan (as defined below) of $20.0 million. While the Amended Loan Agreement upsized our existing Term Loan facility to a total size of $150.0 million aggregate principal amount (the "Term Loans"), the availability of additional Term Loans is contingent upon the continued development of bexotegrast in IPF, and therefore, we do not expect to have access to additional borrowing under the Amended Loan Agreement. See Note 7 of the "Notes to the Financial Statements" in the Company's audited financial statements included in the 2024 10-K for more information.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amount outstanding under the Term Loans will accrue interest at a floating per annum rate equal to (i) the greater of (a) 1-month term Chicago Mercantile Exchange (“CME”) Term Secured Overnight Financing Rate (“SOFR”) on the last business day of the month that immediately precedes the month in which the interest will accrue and (b) three and one-half percent (3.50%) plus (ii) five and one-quarter percent (5.25%), subject to an agreed upon floor of 8.75%. Beginning on July 1, 2028, the Company is required to repay the Term Loans in consecutive equal monthly payments of principal, together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applicable interest, in arrears. Interest on the Term Loans is paid on a monthly basis. All unpaid principal and accrued and unpaid interest with respect to each Term Loan will be due and payable in full on March 1, 2029. Accrued interest as of September 30, 2025 and December 31, 2024 is included in other accrued liabilities.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will be required to make a final payment of 5.50% of the original principal amount of the Term Loans that were drawn, payable at maturity or upon any earlier acceleration or prepayment of the Term Loans. The Company may prepay the Term Loans in whole or in part, subject to a prepayment fee equal to (i) if prepaid on or before the first anniversary date of the funding date of such Term Loan, 3.00% of the principal amount of the applicable Term Loan prepaid, (ii) if prepaid after the first anniversary and on or before the second anniversary of the funding date of such Term Loan, 2.00% of the principal amount of the applicable Term Loan prepaid, and (iii) if prepaid after the second anniversary and on or before the third anniversary of the funding date of such Term Loan prepaid, 1.00% of the principal amount of the applicable Term Loan prepaid.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Amended Loan Agreement contains representations and warranties, affirmative, and negative covenants, and events of default that are customary for loans of this type. The occurrence of an event of default could result in the acceleration of the obligations under the Amended Loan Agreement, termination of the Term Loan commitments and the right by the Lender to foreclose on the collateral securing the obligations. During the existence of an event of default, the Term Loans would accrue interest at a rate per annum equal to 5.00% above the otherwise applicable interest rate.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Term Loans as of September 30, 2025 was measured using Level 3 inputs and approximates the carrying value recorded to the balance sheet. The effective interest rate for the Term Loan is 10.61% for the three and nine months ended September 30, 2025 and 11.57% and 11.72% for the three and nine months ended September 30, 2024, respectively. Interest expense during the three and nine months ended September 30, 2025 was $0.8 million and $2.4 million, respectively and during the three and nine months ended September 30, 2024 was $0.9 million and $2.2 million, respectively. On October 14, 2025, we completed a voluntary prepayment of our Amended Loan Agreement with Oxford disclosed in Footnote 19, Subsequent Events.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Future maturities of debt as of September 30, 2025 are as follows (in thousands):</w:t>
      </w:r>
    </w:p>
    <w:tbl>
      <w:tblPr>
        <w:tblW w:w="5620" w:type="dxa"/>
        <w:jc w:val="left"/>
        <w:tblInd w:w="0" w:type="dxa"/>
        <w:tblLayout w:type="fixed"/>
        <w:tblCellMar>
          <w:top w:w="28" w:type="dxa"/>
          <w:left w:w="28" w:type="dxa"/>
          <w:bottom w:w="28" w:type="dxa"/>
          <w:right w:w="28" w:type="dxa"/>
        </w:tblCellMar>
      </w:tblPr>
      <w:tblGrid>
        <w:gridCol w:w="1156"/>
        <w:gridCol w:w="1012"/>
        <w:gridCol w:w="1026"/>
        <w:gridCol w:w="109"/>
        <w:gridCol w:w="109"/>
        <w:gridCol w:w="109"/>
        <w:gridCol w:w="408"/>
        <w:gridCol w:w="1394"/>
        <w:gridCol w:w="297"/>
      </w:tblGrid>
      <w:tr>
        <w:trPr/>
        <w:tc>
          <w:tcPr>
            <w:tcW w:w="115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final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30,439 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Preferred Stock</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Company’s Amended and Restated Certificate of Incorporation, the Company is authorized to issue two classes of shares: preferred stock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September 30, 2025 and December 31, 2024, the Company was authorized to issue 10,000,000 shares of preferred stock and there was no outstanding preferred stock as of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Common Stock</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was authorized to issue 300,000,000 shares of common stock at a par value of $0.0001 per share. The Common Stock has the following rights and privileges: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Voting</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shares of common stock are entitled to one vote for each share of common stock held at any meeting of stockholders and at the time of any written action in lieu of a meeting.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 The terms of the Amended Loan Agreement restrict our ability to declare and pay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Liquidation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w:t>
      </w:r>
    </w:p>
    <w:tbl>
      <w:tblPr>
        <w:tblW w:w="10205" w:type="dxa"/>
        <w:jc w:val="left"/>
        <w:tblInd w:w="0" w:type="dxa"/>
        <w:tblLayout w:type="fixed"/>
        <w:tblCellMar>
          <w:top w:w="28" w:type="dxa"/>
          <w:left w:w="28" w:type="dxa"/>
          <w:bottom w:w="28" w:type="dxa"/>
          <w:right w:w="28" w:type="dxa"/>
        </w:tblCellMar>
      </w:tblPr>
      <w:tblGrid>
        <w:gridCol w:w="2143"/>
        <w:gridCol w:w="1880"/>
        <w:gridCol w:w="1890"/>
        <w:gridCol w:w="744"/>
        <w:gridCol w:w="611"/>
        <w:gridCol w:w="612"/>
        <w:gridCol w:w="109"/>
        <w:gridCol w:w="109"/>
        <w:gridCol w:w="109"/>
        <w:gridCol w:w="653"/>
        <w:gridCol w:w="579"/>
        <w:gridCol w:w="766"/>
      </w:tblGrid>
      <w:tr>
        <w:trPr/>
        <w:tc>
          <w:tcPr>
            <w:tcW w:w="2143"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5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5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 awards</w:t>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8,088,517 </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8,300,804 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1,011,974 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932,634 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available for future grants under the 2020 Stock Option and Incentive Plan</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7,045,989 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4,212,229 </w:t>
            </w:r>
          </w:p>
        </w:tc>
        <w:tc>
          <w:tcPr>
            <w:tcW w:w="76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available for future issuance under the 2020 Employee Stock Purchase Plan</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1,692,136 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1,294,745 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available for future grants under the 2022 Inducement Plan</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1,425,000 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1,460,000 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reserved for future issuance</w:t>
            </w:r>
          </w:p>
        </w:tc>
        <w:tc>
          <w:tcPr>
            <w:tcW w:w="13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19,263,616 </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16,200,412 </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Stockholder Rights Agreement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12, 2025, the Company's board of directors adopted a stockholder rights agreement and declared a dividend of one right (each, a “Right”) for each outstanding share of our common stock to stockholders of record at the close of business on March 25, 2025. Each Right entitles its holder, subject to the terms of the Rights Agreement (as defined below), to purchase from the Company one one-thousandth of a share of Series A Junior Participating Preferred Stock, par value $0.0001 per share, of the Company at an exercise price of $12.64 per Right, subject to adjustment. The description and terms of the Rights are set forth in a Rights Agreement, dated as of March 12, 2025 (the “Rights Agreement”), by and between the Company and Computershare Trust Company, N.A., a federally chartered trust company, as rights agent. Subject to certain exceptions, Rights become exercisable and trade separately from our common stock only upon the earlier of (i) the close of business on the tenth business day following the public announcement of an Acquiring Person (as defined in the Rights Agreement) beneficially owning 20%, when referring to a passive investor, and 10%, when referring to a person that is not a passive investor, or more of our common stock, and (ii) the close of business on the tenth business day after the commencement of a tender offer or exchange offer that, if consummated, would result in a person or group becoming an Acquiring Person. The Rights will expire on March 11, 2026, unless such Rights are earlier redeemed, exchanged or terminated, as provided in the Rights Agreement.</w:t>
      </w:r>
    </w:p>
    <w:p>
      <w:pPr>
        <w:pStyle w:val="TextBody"/>
        <w:bidi w:val="0"/>
        <w:spacing w:lineRule="auto" w:line="288" w:before="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Rights Agreement is intended to reduce the likelihood that any entity, person or group is able to gain control of the Company through open market accumulation without paying all stockholders an appropriate control premium or providing the board of directors sufficient opportunity to make informed judgments and take actions that are in the best interests of the Company and all stockholders. The Rights Agreement is not intended to interfere with any merger or other business combination approved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Equity Incentive Plans and Stock-Based Compensation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compensation committee of the board of directors.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2020 Plan provides for the grant of incentive stock options, nonqualified stock options or other awards including stock appreciation rights, restricted stock awards and restricted stock units to the Company’s employees, officers, directors, advisors and consultants.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2022, the board of directors adopted the 2022 Inducement Plan (“Inducement Plan”), under which the Company may grant nonqualified stock options or other awards including stock appreciation rights and restricted stock awards.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Options under the 2020 Plan and Inducement Plan may be granted for periods of up to 10 years and at prices no less than the market price of the Company’s common stock on the date of grant, provided, however, that the exercise price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incentive stock option granted to a 10% shareholder shall not be less than 110% of the fair value of the shares on the date of grant and the option is not exercisable after the expiration of five years from the date of grant.</w:t>
      </w:r>
    </w:p>
    <w:p>
      <w:pPr>
        <w:pStyle w:val="TextBody"/>
        <w:bidi w:val="0"/>
        <w:spacing w:lineRule="auto" w:line="288" w:before="80" w:after="283"/>
        <w:jc w:val="left"/>
        <w:rPr>
          <w:rFonts w:ascii="Times New Roman;serif" w:hAnsi="Times New Roman;serif"/>
          <w:b/>
          <w:i/>
          <w:color w:val="000000"/>
          <w:sz w:val="20"/>
        </w:rPr>
      </w:pPr>
      <w:r>
        <w:rPr>
          <w:rFonts w:ascii="Times New Roman;serif" w:hAnsi="Times New Roman;serif"/>
          <w:b/>
          <w:i/>
          <w:color w:val="000000"/>
          <w:sz w:val="20"/>
        </w:rPr>
        <w:t>Incentive Stock Options and Nonqualified Stock Options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 options issued under either the 2015 Plan, the 2020 Plan or the Inducement Plan generally vest over four years and expire ten years from the date of grant. Certain options provide for accelerated vesting if there is a change in control, as defined in the respective plans.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used Black-Scholes option pricing model to estimate stock-based compensation expense for stock option awards with the following assumptions:</w:t>
      </w:r>
    </w:p>
    <w:tbl>
      <w:tblPr>
        <w:tblW w:w="10205" w:type="dxa"/>
        <w:jc w:val="left"/>
        <w:tblInd w:w="0" w:type="dxa"/>
        <w:tblLayout w:type="fixed"/>
        <w:tblCellMar>
          <w:top w:w="28" w:type="dxa"/>
          <w:left w:w="28" w:type="dxa"/>
          <w:bottom w:w="28" w:type="dxa"/>
          <w:right w:w="28" w:type="dxa"/>
        </w:tblCellMar>
      </w:tblPr>
      <w:tblGrid>
        <w:gridCol w:w="1052"/>
        <w:gridCol w:w="907"/>
        <w:gridCol w:w="910"/>
        <w:gridCol w:w="319"/>
        <w:gridCol w:w="298"/>
        <w:gridCol w:w="298"/>
        <w:gridCol w:w="298"/>
        <w:gridCol w:w="298"/>
        <w:gridCol w:w="298"/>
        <w:gridCol w:w="490"/>
        <w:gridCol w:w="483"/>
        <w:gridCol w:w="462"/>
        <w:gridCol w:w="109"/>
        <w:gridCol w:w="109"/>
        <w:gridCol w:w="109"/>
        <w:gridCol w:w="488"/>
        <w:gridCol w:w="483"/>
        <w:gridCol w:w="464"/>
        <w:gridCol w:w="281"/>
        <w:gridCol w:w="281"/>
        <w:gridCol w:w="281"/>
        <w:gridCol w:w="445"/>
        <w:gridCol w:w="440"/>
        <w:gridCol w:w="602"/>
      </w:tblGrid>
      <w:tr>
        <w:trPr/>
        <w:tc>
          <w:tcPr>
            <w:tcW w:w="105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85.14% - 85.74%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86.82% - 89.30%</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85.14% - 86.46%</w:t>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3.45% - 4.20%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3.98% - 4.45%</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3.45% - 4.60%</w:t>
            </w:r>
          </w:p>
        </w:tc>
      </w:tr>
      <w:tr>
        <w:trPr/>
        <w:tc>
          <w:tcPr>
            <w:tcW w:w="2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w:t>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6.01 - 6.07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5.34 - 6.08</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5.31 - 6.08</w:t>
            </w:r>
          </w:p>
        </w:tc>
      </w:tr>
      <w:tr>
        <w:trPr/>
        <w:tc>
          <w:tcPr>
            <w:tcW w:w="2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common stock fair value</w:t>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$11.09 - $13.23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$1.37 - $12.63</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$11.09 - $17.44</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 the three months ending September 30, 2025, the company did not have any new equity grants or modifications of outstanding options or awards. </w:t>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option activity under the 2015 Plan and the 2020 Plan is as follows:</w:t>
      </w:r>
    </w:p>
    <w:tbl>
      <w:tblPr>
        <w:tblW w:w="10205" w:type="dxa"/>
        <w:jc w:val="left"/>
        <w:tblInd w:w="0" w:type="dxa"/>
        <w:tblLayout w:type="fixed"/>
        <w:tblCellMar>
          <w:top w:w="28" w:type="dxa"/>
          <w:left w:w="28" w:type="dxa"/>
          <w:bottom w:w="28" w:type="dxa"/>
          <w:right w:w="28" w:type="dxa"/>
        </w:tblCellMar>
      </w:tblPr>
      <w:tblGrid>
        <w:gridCol w:w="1536"/>
        <w:gridCol w:w="1347"/>
        <w:gridCol w:w="1355"/>
        <w:gridCol w:w="522"/>
        <w:gridCol w:w="523"/>
        <w:gridCol w:w="231"/>
        <w:gridCol w:w="109"/>
        <w:gridCol w:w="109"/>
        <w:gridCol w:w="109"/>
        <w:gridCol w:w="307"/>
        <w:gridCol w:w="898"/>
        <w:gridCol w:w="161"/>
        <w:gridCol w:w="109"/>
        <w:gridCol w:w="109"/>
        <w:gridCol w:w="109"/>
        <w:gridCol w:w="417"/>
        <w:gridCol w:w="417"/>
        <w:gridCol w:w="419"/>
        <w:gridCol w:w="109"/>
        <w:gridCol w:w="109"/>
        <w:gridCol w:w="109"/>
        <w:gridCol w:w="211"/>
        <w:gridCol w:w="721"/>
        <w:gridCol w:w="159"/>
      </w:tblGrid>
      <w:tr>
        <w:trPr/>
        <w:tc>
          <w:tcPr>
            <w:tcW w:w="153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8,300,804 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2,271,680 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(2,479,046)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8,088,517 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2025</w:t>
            </w:r>
          </w:p>
        </w:tc>
        <w:tc>
          <w:tcPr>
            <w:tcW w:w="104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5,108,451 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September 30, 2025</w:t>
            </w:r>
          </w:p>
        </w:tc>
        <w:tc>
          <w:tcPr>
            <w:tcW w:w="104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8,088,517 </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were $28.4 million of unrecognized compensation costs that are expected to be recognized over the weighted-average period of 2.4 years related to stock options. Aggregate intrinsic value represents the difference between the fair value of the underlying common stock and the exercise price as of September 30, 2025.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service-based condition for restricted stock units (“RSUs”) is generally satisfied over three years.</w:t>
      </w:r>
    </w:p>
    <w:tbl>
      <w:tblPr>
        <w:tblW w:w="9864" w:type="dxa"/>
        <w:jc w:val="left"/>
        <w:tblInd w:w="0" w:type="dxa"/>
        <w:tblLayout w:type="fixed"/>
        <w:tblCellMar>
          <w:top w:w="28" w:type="dxa"/>
          <w:left w:w="28" w:type="dxa"/>
          <w:bottom w:w="28" w:type="dxa"/>
          <w:right w:w="28" w:type="dxa"/>
        </w:tblCellMar>
      </w:tblPr>
      <w:tblGrid>
        <w:gridCol w:w="1570"/>
        <w:gridCol w:w="1380"/>
        <w:gridCol w:w="1384"/>
        <w:gridCol w:w="609"/>
        <w:gridCol w:w="609"/>
        <w:gridCol w:w="611"/>
        <w:gridCol w:w="109"/>
        <w:gridCol w:w="109"/>
        <w:gridCol w:w="109"/>
        <w:gridCol w:w="726"/>
        <w:gridCol w:w="2119"/>
        <w:gridCol w:w="529"/>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Average Grant Date Fair Value </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as of December 31, 2024</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932,634 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840,341 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(372,313)</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as of September 30, 2025</w:t>
            </w:r>
          </w:p>
        </w:tc>
        <w:tc>
          <w:tcPr>
            <w:tcW w:w="12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1,011,974 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$9.5 million of unrecognized stock-based compensation expense related to outstanding RSUs expected to be recognized over a weighted-average period of 1.7 years.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Performance-based restricted stock units (“PSUs”) were granted in 2022 and vested upon the achievement of market and performance conditions. Market conditions include the Company's total shareholder return (“TSR”) relative to the Nasdaq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Biotechnology Index over the term of the award ending on June 30, 2024. Additionally, the number of shares of common stock issuable upon vesting ranged from 0% to 200% of the PSUs based on achievement of certain targets.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TSR PSUs were derived from a Monte Carlo simulation model that used the following key assumptions: </w:t>
      </w:r>
    </w:p>
    <w:tbl>
      <w:tblPr>
        <w:tblW w:w="5024" w:type="dxa"/>
        <w:jc w:val="left"/>
        <w:tblInd w:w="0" w:type="dxa"/>
        <w:tblLayout w:type="fixed"/>
        <w:tblCellMar>
          <w:top w:w="28" w:type="dxa"/>
          <w:left w:w="28" w:type="dxa"/>
          <w:bottom w:w="28" w:type="dxa"/>
          <w:right w:w="28" w:type="dxa"/>
        </w:tblCellMar>
      </w:tblPr>
      <w:tblGrid>
        <w:gridCol w:w="1287"/>
        <w:gridCol w:w="1130"/>
        <w:gridCol w:w="1137"/>
        <w:gridCol w:w="109"/>
        <w:gridCol w:w="109"/>
        <w:gridCol w:w="109"/>
        <w:gridCol w:w="211"/>
        <w:gridCol w:w="616"/>
        <w:gridCol w:w="316"/>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date share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0.3508</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peer group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peer group 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0.4397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measurement period for the PSUs associated with TSR concluded on the last trading day of the second quarter 2024 and in July 2024, upon certification of the TSR results by the compensation committee of the board of directors, the award recipients vested in a total of 155,292 shares of common stock, representing 55% achievement. Such 155,292 shares of common stock were issued to award recipients as of September 30, 2024. There were no outstanding PSUs as of September 30, 2025.</w:t>
      </w:r>
    </w:p>
    <w:p>
      <w:pPr>
        <w:pStyle w:val="TextBody"/>
        <w:bidi w:val="0"/>
        <w:spacing w:before="120" w:after="283"/>
        <w:ind w:left="0" w:right="0" w:firstLine="45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2020 Employee Stock Purchase Plan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2020, the Company adopted the Company's 2020 Employee Stock Purchase Plan (the “2020 ESPP”).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$0.1 million and $0.2 million in stock-based compensation expense for the three and nine months ended September 30, 2025, respectively, and $0.1 million and $0.4 million for the three and nine months ended September 30, 2024, respectively. During the three and nine months ended September 30, 2025, 61,231 and 211,218 shares of common stock were issued respectively under the 2020 ESPP with 1,692,136 shares remaining available for issuance under the 2020 ESPP. The Company used Black-Scholes option pricing model to estimate stock-based compensation expense for the 2020 ESPP with the following assumptions:</w:t>
      </w:r>
    </w:p>
    <w:p>
      <w:pPr>
        <w:pStyle w:val="TextBody"/>
        <w:bidi w:val="0"/>
        <w:spacing w:before="120" w:after="283"/>
        <w:jc w:val="left"/>
        <w:rPr/>
      </w:pPr>
      <w:r>
        <w:rPr/>
      </w:r>
    </w:p>
    <w:tbl>
      <w:tblPr>
        <w:tblW w:w="7637" w:type="dxa"/>
        <w:jc w:val="left"/>
        <w:tblInd w:w="0" w:type="dxa"/>
        <w:tblLayout w:type="fixed"/>
        <w:tblCellMar>
          <w:top w:w="28" w:type="dxa"/>
          <w:left w:w="28" w:type="dxa"/>
          <w:bottom w:w="28" w:type="dxa"/>
          <w:right w:w="28" w:type="dxa"/>
        </w:tblCellMar>
      </w:tblPr>
      <w:tblGrid>
        <w:gridCol w:w="1070"/>
        <w:gridCol w:w="939"/>
        <w:gridCol w:w="945"/>
        <w:gridCol w:w="109"/>
        <w:gridCol w:w="109"/>
        <w:gridCol w:w="109"/>
        <w:gridCol w:w="540"/>
        <w:gridCol w:w="540"/>
        <w:gridCol w:w="540"/>
        <w:gridCol w:w="392"/>
        <w:gridCol w:w="392"/>
        <w:gridCol w:w="392"/>
        <w:gridCol w:w="457"/>
        <w:gridCol w:w="457"/>
        <w:gridCol w:w="646"/>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and Nine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3.99% - 4.29%</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4.80% - 5.27%</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of options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70.91% - 208.00%</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50.95% - 63.92%</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and classification of stock-based compensation expense for the Company’s stock-based awards for the three and nine months ended September 30,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8756" w:type="dxa"/>
        <w:jc w:val="center"/>
        <w:tblInd w:w="0" w:type="dxa"/>
        <w:tblLayout w:type="fixed"/>
        <w:tblCellMar>
          <w:top w:w="28" w:type="dxa"/>
          <w:left w:w="28" w:type="dxa"/>
          <w:bottom w:w="28" w:type="dxa"/>
          <w:right w:w="28" w:type="dxa"/>
        </w:tblCellMar>
      </w:tblPr>
      <w:tblGrid>
        <w:gridCol w:w="1246"/>
        <w:gridCol w:w="1097"/>
        <w:gridCol w:w="1106"/>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or OBBBA, was enacted in the United States, which includes significant changes to federal tax law and other regulatory provisions that may impact the Company. Based on the Company's assessment to date, the provisions of the OBBBA are not expected to have a material impact on the Company's effective tax rate or cash flow in the current fiscal year due to the Company's position on its deferred tax assets. The Company will continue to monitor developments and assess any future impacts as the implementation of regulations are finalized.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Segments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as one reportable and operating segment, which is the business of developing and commercializing novel therapies for patients. The Company’s chief executive officer, who is the chief operating decision maker (“CODM”), reviews financial information on an aggregate basis for allocating and evaluating financial performance. The Company defines its segments based on the way in which internally reported financial information is regularly reviewed by the CODM to analyze financial performance, make decisions, and allocate resources. The CODM assesses performance for the segment and decides how to allocate resources based on net loss which is also reported on the Statement of Operations and Comprehensive Loss as consolidated net loss.</w:t>
      </w:r>
    </w:p>
    <w:p>
      <w:pPr>
        <w:pStyle w:val="TextBody"/>
        <w:bidi w:val="0"/>
        <w:spacing w:lineRule="auto" w:line="288" w:before="120" w:after="283"/>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All long-lived assets are maintained in the United States of America.</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CODM is regularly provided with more detailed expense information than what is included in our Statement of Operations and Comprehensive Loss. The table below shows a reconciliation of the Company’s net loss, including the significant expense categories regularly provided to and reviewed by the CODM, as computed under U.S. GAAP to the Company’s total net loss in the statements of operations (in thousands).</w:t>
      </w:r>
    </w:p>
    <w:tbl>
      <w:tblPr>
        <w:tblW w:w="10205" w:type="dxa"/>
        <w:jc w:val="left"/>
        <w:tblInd w:w="0" w:type="dxa"/>
        <w:tblLayout w:type="fixed"/>
        <w:tblCellMar>
          <w:top w:w="28" w:type="dxa"/>
          <w:left w:w="28" w:type="dxa"/>
          <w:bottom w:w="28" w:type="dxa"/>
          <w:right w:w="28" w:type="dxa"/>
        </w:tblCellMar>
      </w:tblPr>
      <w:tblGrid>
        <w:gridCol w:w="1708"/>
        <w:gridCol w:w="1166"/>
        <w:gridCol w:w="1172"/>
        <w:gridCol w:w="109"/>
        <w:gridCol w:w="109"/>
        <w:gridCol w:w="109"/>
        <w:gridCol w:w="235"/>
        <w:gridCol w:w="805"/>
        <w:gridCol w:w="121"/>
        <w:gridCol w:w="121"/>
        <w:gridCol w:w="121"/>
        <w:gridCol w:w="121"/>
        <w:gridCol w:w="235"/>
        <w:gridCol w:w="805"/>
        <w:gridCol w:w="121"/>
        <w:gridCol w:w="109"/>
        <w:gridCol w:w="109"/>
        <w:gridCol w:w="109"/>
        <w:gridCol w:w="222"/>
        <w:gridCol w:w="872"/>
        <w:gridCol w:w="114"/>
        <w:gridCol w:w="114"/>
        <w:gridCol w:w="114"/>
        <w:gridCol w:w="114"/>
        <w:gridCol w:w="222"/>
        <w:gridCol w:w="872"/>
        <w:gridCol w:w="176"/>
      </w:tblGrid>
      <w:tr>
        <w:trPr/>
        <w:tc>
          <w:tcPr>
            <w:tcW w:w="170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Bexotegrast - clinical trial and third party contracting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Employee-related expenses - research and development (excluding stock-based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(excluding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132,796 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175,045 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segment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segment items include total stock-based compensation and research and development costs related to other pipeline programs and other non-program costs (excluding employee-related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contractual arrangements with research and development organizations and suppliers; however, these contracts are generally cancellable on 30 days’ notice and the obligations under these contracts are largely based on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Leases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28, 2023, the Company entered into a lease agreement with HCP BTC, LLC, a Delaware limited liability company (“the Landlord”) for premises consisting of approximately 100,904 square feet of office and laboratory space located at Oyster Point Blvd, South San Francisco, California (the “Oyster Point Lease”), which is being used as a single unified Company headquarters. The lease term of approximately seven years started in the second quarter of 2024 when the Landlord substantially completed tenant improvements and may be extended for a period of eight years at the then prevailing market rates for a comparable property. Future lease payments are approximately $39.3 million which represent the non-cancellable periods of the lease. We excluded extension options that are not reasonably certain to be exercised from our lease terms. Our lease payments consist primarily of fixed rental payments for the right to use the underlying leased assets over the lease term. Our lease agreement provides us the right to sublet the premises, subject to approval by the Landlord. Additionally, the Company provided a letter of credit to the Landlord in the amount of $1.4 million in connection with the Oyster Point Lease, which is classified as restricted cash as of September 30, 2025.</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Though the Oyster Point Lease is accounted for as a single contract, the office space was occupied in March 2024 while the laboratory space was occupied in June 2024. Accordingly, the Company measured and allocated consideration to each lease component. Upon commencement of each lease component the Company recognized an aggregate right-of-use asset ("ROU") and lease liability of $23.7 million and $6.1 million during the quarters ended March 31, 2024 and June 30, 2024, respectively.</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undiscounted future non-cancellable lease payments of the Company's operating lease liability as of September 30, 2025 were as follows (in thousands):</w:t>
      </w:r>
    </w:p>
    <w:tbl>
      <w:tblPr>
        <w:tblW w:w="5382" w:type="dxa"/>
        <w:jc w:val="left"/>
        <w:tblInd w:w="0" w:type="dxa"/>
        <w:tblLayout w:type="fixed"/>
        <w:tblCellMar>
          <w:top w:w="28" w:type="dxa"/>
          <w:left w:w="28" w:type="dxa"/>
          <w:bottom w:w="28" w:type="dxa"/>
          <w:right w:w="28" w:type="dxa"/>
        </w:tblCellMar>
      </w:tblPr>
      <w:tblGrid>
        <w:gridCol w:w="1322"/>
        <w:gridCol w:w="1158"/>
        <w:gridCol w:w="1165"/>
        <w:gridCol w:w="109"/>
        <w:gridCol w:w="109"/>
        <w:gridCol w:w="109"/>
        <w:gridCol w:w="274"/>
        <w:gridCol w:w="936"/>
        <w:gridCol w:w="200"/>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Lease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liability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29,418 </w:t>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lease terms and discount rates related to the Company's operating leases were as follows:</w:t>
      </w:r>
    </w:p>
    <w:tbl>
      <w:tblPr>
        <w:tblW w:w="7294"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302"/>
        <w:gridCol w:w="302"/>
        <w:gridCol w:w="302"/>
        <w:gridCol w:w="302"/>
        <w:gridCol w:w="302"/>
        <w:gridCol w:w="302"/>
        <w:gridCol w:w="302"/>
        <w:gridCol w:w="302"/>
        <w:gridCol w:w="427"/>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Variable lease costs comprise primarily of the Company's proportionate share of operating expenses, property taxes, and insurance. Short-term lease expense and variable lease payments recorded in operating expenses were immaterial for the three and nine months ended September 30, 2025 and 2024. Lease expenses for each of the three and nine months ended September 30, 2025 and 2024 are as follows (in thousands):</w:t>
      </w:r>
    </w:p>
    <w:tbl>
      <w:tblPr>
        <w:tblW w:w="8222"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277"/>
        <w:gridCol w:w="811"/>
        <w:gridCol w:w="143"/>
        <w:gridCol w:w="143"/>
        <w:gridCol w:w="143"/>
        <w:gridCol w:w="143"/>
        <w:gridCol w:w="277"/>
        <w:gridCol w:w="811"/>
        <w:gridCol w:w="143"/>
        <w:gridCol w:w="109"/>
        <w:gridCol w:w="109"/>
        <w:gridCol w:w="109"/>
        <w:gridCol w:w="268"/>
        <w:gridCol w:w="782"/>
        <w:gridCol w:w="138"/>
        <w:gridCol w:w="138"/>
        <w:gridCol w:w="138"/>
        <w:gridCol w:w="138"/>
        <w:gridCol w:w="268"/>
        <w:gridCol w:w="782"/>
        <w:gridCol w:w="195"/>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variable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16. Defined Contribution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$0.2 million and $1.2 million for the three and nine months ended September 30, 2025 and $0.3 million and $1.1 million for the three and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17. Net Loss Per Share Attributable to Common Stockholders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tbl>
      <w:tblPr>
        <w:tblW w:w="6564" w:type="dxa"/>
        <w:jc w:val="left"/>
        <w:tblInd w:w="0" w:type="dxa"/>
        <w:tblLayout w:type="fixed"/>
        <w:tblCellMar>
          <w:top w:w="28" w:type="dxa"/>
          <w:left w:w="28" w:type="dxa"/>
          <w:bottom w:w="28" w:type="dxa"/>
          <w:right w:w="28" w:type="dxa"/>
        </w:tblCellMar>
      </w:tblPr>
      <w:tblGrid>
        <w:gridCol w:w="1073"/>
        <w:gridCol w:w="946"/>
        <w:gridCol w:w="950"/>
        <w:gridCol w:w="678"/>
        <w:gridCol w:w="302"/>
        <w:gridCol w:w="302"/>
        <w:gridCol w:w="302"/>
        <w:gridCol w:w="302"/>
        <w:gridCol w:w="302"/>
        <w:gridCol w:w="678"/>
        <w:gridCol w:w="302"/>
        <w:gridCol w:w="427"/>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8,088,517 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8,255,321 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1,011,974 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951,127 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9,100,491 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9,206,448 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18. Restructuring of Operations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 2025, we announced a reduction in workforce that impacted approximately 45% of our then-current employees. The current restructuring plan was completed in the third quarter and amounted to $3.8 million. For the three and nine months ended September 30, 2025, we made cash payments of $0.6 million and $3.8 million, respectively. For the three and nine months ended September 30, 2025, one-time termination benefits totaling $0.1 million and $2.8 million was recorded to research and development expenses and $0 and $1.0 million was recorded to general and administrative expenses,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14, 2025, we completed a voluntary prepayment of our Amended Loan Agreement with Oxford for $32.4 million, representing all outstanding principal, accrued and unpaid interest, fees, costs and expenses. Upon prepayment, all obligations, covenants, debts and liabilities under the Amended Loan Agreement were satisfied and discharged in full, and the Amended Loan Agreement and all other documents entered into in connection with the Amended Loan Agreement were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condensed financial statements and related notes appearing elsewhere in this Report, as well as our audited financial statements and related notes included in our 2024 10-K.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2024 10-K.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biopharmaceutical company focused on discovering and developing integrin-based therapeutics. We have applied our deep understanding of integrin biology, along with our medicinal chemistry and translational medicine expertise to develop a set of proprietary tools designed to discover and de-risk product candidates quickly and efficiently. </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developing PLN-101095, a small molecule, dual selective inhibitor of integrins αvβ8 and αvβ1 for the treatment of solid tumors that are resistant to immune checkpoint inhibitors. We have completed enrollment of the fifth of five planned dose cohorts in a Phase 1 open-label, dose-escalation trial as monotherapy and in combination with pembrolizumab in patients with solid tumors that are resistant to immune checkpoint inhibitors. In March 2025, we announced interim data from this trial showing PLN-101095 was well tolerated and displayed an objective response rate of 50% in the third ascending dose cohort.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Phase 1-ready program PLN-101325, is in development for treatment of muscular dystrophies, including Duchenne muscular dystrophy. PLN-101325 is a monoclonal antibody designed to act as an allosteric agonist of integrin α7β1. PLN-101325 has received a clinical trial approval (CTA) in Australia.</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we announced that we were discontinuing the development of bexotegrast in IPF as the results of our global Phase 2b/3 trial, BEACON-IPF, demonstrated an unfavorable risk-benefit profile. </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clinical pipeline, we have developed an integrin-based drug delivery platform. In preclinical research, our platform has shown the ability to deliver drug payloads to individual tissues through tissue-specific integrin receptors.</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Third Quarter and Recent Developments</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Bexotegrast</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BEACON-IPF close out activities to be completed in fourth quarter. </w:t>
      </w:r>
      <w:r>
        <w:rPr>
          <w:rFonts w:ascii="Times New Roman;serif" w:hAnsi="Times New Roman;serif"/>
          <w:b w:val="false"/>
          <w:color w:val="000000"/>
          <w:sz w:val="20"/>
        </w:rPr>
        <w:t>Close out activities from the BEACON-IPF Phase 2b/3 clinical trial are expected to be completed in the fourth quarter of 2025 with full results from the trial to be submitted for future publication.</w:t>
      </w:r>
    </w:p>
    <w:p>
      <w:pPr>
        <w:pStyle w:val="TextBody"/>
        <w:bidi w:val="0"/>
        <w:spacing w:lineRule="auto" w:line="288" w:before="120" w:after="120"/>
        <w:jc w:val="left"/>
        <w:rPr/>
      </w:pPr>
      <w:r>
        <w:rPr>
          <w:rFonts w:ascii="Times New Roman;serif" w:hAnsi="Times New Roman;serif"/>
          <w:b/>
          <w:color w:val="000000"/>
          <w:sz w:val="20"/>
          <w:u w:val="single"/>
          <w:shd w:fill="FFFFFF" w:val="clear"/>
        </w:rPr>
        <w:t xml:space="preserve">Oncology </w:t>
      </w:r>
      <w:r>
        <w:rPr>
          <w:rFonts w:ascii="Times New Roman;serif" w:hAnsi="Times New Roman;serif"/>
          <w:b/>
          <w:color w:val="000000"/>
          <w:sz w:val="20"/>
          <w:u w:val="single"/>
        </w:rPr>
        <w:t>Program</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u w:val="single"/>
        </w:rPr>
        <w:t>Phase 1 open-label trial of PLN-101095 in solid tumors has completed enrollment</w:t>
      </w:r>
      <w:r>
        <w:rPr>
          <w:rFonts w:ascii="Times New Roman;serif" w:hAnsi="Times New Roman;serif"/>
          <w:b/>
          <w:color w:val="000000"/>
          <w:sz w:val="24"/>
          <w:u w:val="single"/>
        </w:rPr>
        <w:t>.</w:t>
      </w:r>
      <w:r>
        <w:rPr>
          <w:color w:val="000000"/>
        </w:rPr>
        <w:t xml:space="preserve"> </w:t>
      </w:r>
      <w:r>
        <w:rPr>
          <w:rFonts w:ascii="Times New Roman;serif" w:hAnsi="Times New Roman;serif"/>
          <w:b w:val="false"/>
          <w:color w:val="000000"/>
          <w:sz w:val="20"/>
        </w:rPr>
        <w:t xml:space="preserve">PLN-101095 is an oral, small molecule, dual selective inhibitor of αvβ8 and αvβ1 integrins designed to overcome checkpoint resistance by blocking TGF-β activation in the tumor microenvironment. The Phase 1 open-label, dose-escalation trial of PLN-101095 as monotherapy and in combination with pembrolizumab is in patients with solid tumors that are resistant to immune checkpoint inhibitors. In March of 2025, we announced interim data from this trial showing PLN-101095 was well tolerated and displayed an objective response rate of 50% in the third of five ascending dose cohorts. The trial has now completed enrollment of all five dose cohorts. Data from the trial, including the two highest dose cohorts, is expected by the end of 2025. </w:t>
      </w:r>
    </w:p>
    <w:p>
      <w:pPr>
        <w:pStyle w:val="TextBody"/>
        <w:bidi w:val="0"/>
        <w:spacing w:lineRule="auto" w:line="288" w:before="120" w:after="12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Corporate Highlights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 October, the Company announced that it completed a voluntary prepayment of all outstanding principal, accrued and unpaid interest, fees, costs and expenses under the Amended Loan Agreement with Oxford Finance LLC.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inception, we have had significant operating losses. Our net loss was $26.3 million and $57.8 million for the three months ended September 30, 2025 and 2024, respectively. Our net loss for the nine months ended September 30, 2025 and 2024 was $125.8 million and $160.6 million, respectively. As of September 30, 2025, we had an accumulated deficit of $835.8 million and cash, cash equivalents, and short-term investments of $243.3 million. We expect to continue to incur net losses for the foreseeable future as we:</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perform research and development activities to identify and develop product candidates;</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advance product candidates into and through clinical development;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require the manufacture of supplies to support research and development, preclinical studies and clinical trials;</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seek regulatory approvals for any product candidates that successfully complete clinical trials;</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maintain, expand and protect our intellectual property portfolio; and</w:t>
      </w:r>
    </w:p>
    <w:p>
      <w:pPr>
        <w:pStyle w:val="TextBody"/>
        <w:bidi w:val="0"/>
        <w:spacing w:lineRule="auto" w:line="288" w:before="120" w:after="120"/>
        <w:ind w:left="0" w:right="0" w:firstLine="450"/>
        <w:jc w:val="left"/>
        <w:rPr/>
      </w:pPr>
      <w:r>
        <w:rPr>
          <w:color w:val="000000"/>
        </w:rPr>
        <w:t>•</w:t>
      </w:r>
      <w:r>
        <w:rPr>
          <w:rFonts w:ascii="Times New Roman;serif" w:hAnsi="Times New Roman;serif"/>
          <w:b w:val="false"/>
          <w:color w:val="000000"/>
          <w:sz w:val="20"/>
        </w:rPr>
        <w:t>invest in or in-license other technologies or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Components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consist of expenses incurred in connection with the development of our product candidates. Research and development expenses include:</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employee-related expenses, which include salaries, benefits and stock-based compensation for our research and development personnel;</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expenses incurred under agreements with third-party contract organizations for pre-clinical studies, clinical trials and consultants that conduct research and development activities on our behalf;</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costs associated with the manufacture of supplies to support research and development, preclinical studies and clinical trials;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depreciation of laboratory equipment and costs of equipment and supplies;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facilities expenses, which include expenses for rent and other facility related costs; and</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other expenses and other allocations associated with research and development.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three months ended September 30, 2025 and 2024 (in thousands):</w:t>
      </w:r>
    </w:p>
    <w:tbl>
      <w:tblPr>
        <w:tblW w:w="10205" w:type="dxa"/>
        <w:jc w:val="left"/>
        <w:tblInd w:w="0" w:type="dxa"/>
        <w:tblLayout w:type="fixed"/>
        <w:tblCellMar>
          <w:top w:w="28" w:type="dxa"/>
          <w:left w:w="28" w:type="dxa"/>
          <w:bottom w:w="28" w:type="dxa"/>
          <w:right w:w="28" w:type="dxa"/>
        </w:tblCellMar>
      </w:tblPr>
      <w:tblGrid>
        <w:gridCol w:w="2291"/>
        <w:gridCol w:w="1894"/>
        <w:gridCol w:w="1906"/>
        <w:gridCol w:w="232"/>
        <w:gridCol w:w="794"/>
        <w:gridCol w:w="120"/>
        <w:gridCol w:w="120"/>
        <w:gridCol w:w="120"/>
        <w:gridCol w:w="120"/>
        <w:gridCol w:w="232"/>
        <w:gridCol w:w="794"/>
        <w:gridCol w:w="120"/>
        <w:gridCol w:w="109"/>
        <w:gridCol w:w="109"/>
        <w:gridCol w:w="109"/>
        <w:gridCol w:w="211"/>
        <w:gridCol w:w="766"/>
        <w:gridCol w:w="158"/>
      </w:tblGrid>
      <w:tr>
        <w:trPr/>
        <w:tc>
          <w:tcPr>
            <w:tcW w:w="2291"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and consulting services for preclinical studies and research and development activities by third-party contract organizations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expenses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lab equipment and costs of equipment and supplies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expenses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and other allocations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expense all research and development costs in the periods in which they are incurred. We do not allocate our internal costs by product candidates or by preclinical programs as these are in early stages of clinical trials or development, and any such allocation would involve significant estimates and judgments and, accordingly, would be imprecise. Where appropriate, we allocate our third-party research and development expense by product candidate or preclinical program. These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primarily relate to outside consultants, clinical research organizations and contract manufacturing organization. When we refer to the research and development expenses associated with a specific product candidate or preclinical program, these refer exclusively to the allocated third-party expenses associated with that product candidate.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Due to discontinuing development of bexotegrast in IPF, we expect research and development expenses to decrease in the near term as we have re-prioritized our development of product candidates that are in earlier, less capital-intensive stages of development.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We expect general and administrative expenses to remain relatively consistent for the foreseeable future.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and other income (expense), net consists of interest, accretion income and amortization expense on cash, cash equivalents, and short-term investments, and realized gains and losses on short-term investments.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interest expense is derived from a term loan executed under the Amended Loan Agreement. Borrowings under the Amended Loan Agreement bear interest at a rate per annum equal to 1-month term SOFR plus 5.25%, subject to an agreed upon floor of 8.75%. Refer to Note 19 to our financial statements appearing elsewhere in this Report for further information regarding the Amended Loan Agreement.</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September 30, 2025 and 2024 (in thousands)</w:t>
      </w:r>
    </w:p>
    <w:tbl>
      <w:tblPr>
        <w:tblW w:w="7649" w:type="dxa"/>
        <w:jc w:val="center"/>
        <w:tblInd w:w="0" w:type="dxa"/>
        <w:tblLayout w:type="fixed"/>
        <w:tblCellMar>
          <w:top w:w="28" w:type="dxa"/>
          <w:left w:w="28" w:type="dxa"/>
          <w:bottom w:w="28" w:type="dxa"/>
          <w:right w:w="28" w:type="dxa"/>
        </w:tblCellMar>
      </w:tblPr>
      <w:tblGrid>
        <w:gridCol w:w="1211"/>
        <w:gridCol w:w="1065"/>
        <w:gridCol w:w="1069"/>
        <w:gridCol w:w="238"/>
        <w:gridCol w:w="900"/>
        <w:gridCol w:w="123"/>
        <w:gridCol w:w="123"/>
        <w:gridCol w:w="123"/>
        <w:gridCol w:w="123"/>
        <w:gridCol w:w="238"/>
        <w:gridCol w:w="900"/>
        <w:gridCol w:w="123"/>
        <w:gridCol w:w="109"/>
        <w:gridCol w:w="109"/>
        <w:gridCol w:w="109"/>
        <w:gridCol w:w="211"/>
        <w:gridCol w:w="721"/>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(26,301)</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three months ended September 30, 2025 and 2024 (in thousands):</w:t>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3"/>
        <w:gridCol w:w="1855"/>
        <w:gridCol w:w="1862"/>
        <w:gridCol w:w="252"/>
        <w:gridCol w:w="863"/>
        <w:gridCol w:w="130"/>
        <w:gridCol w:w="130"/>
        <w:gridCol w:w="130"/>
        <w:gridCol w:w="130"/>
        <w:gridCol w:w="252"/>
        <w:gridCol w:w="863"/>
        <w:gridCol w:w="130"/>
        <w:gridCol w:w="109"/>
        <w:gridCol w:w="109"/>
        <w:gridCol w:w="109"/>
        <w:gridCol w:w="211"/>
        <w:gridCol w:w="795"/>
        <w:gridCol w:w="162"/>
      </w:tblGrid>
      <w:tr>
        <w:trPr/>
        <w:tc>
          <w:tcPr>
            <w:tcW w:w="2113"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Program-specific external expenses:</w:t>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Bexotegrast - clinical trial and third party contracting costs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(22,187)</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pipeline programs - clinical trial and third party contracting costs</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program-specific external expenses</w:t>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6,904</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internal expenses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lab equipment and costs of equipment and supplies</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expenses</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and other allocations</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unallocated internal expenses</w:t>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11,034</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(29,816)</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September 30, 2025 decreased $29.8 million, primarily due to discontinuing development of bexotegrast in IPF and lower employee-related expenses, driven by a reduction in headcount resulting from our restructuring initiated on May 1, 2025.</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three months ended September 30, 2025 decreased $3.9 million, primarily due to a decrease in employee related costs driven by reduced headcount resulting from our restructuring initiated on May 1, 2025.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currently expect general and administrative expenses to remain relatively consistent for the foreseeable future.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decreased $2.3 million due to lower investment balances due to continued funding of operating activities.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September 30, 2025 decreased $0.1 million due to changing interest rates associated with the Amended Loan Agreement.</w:t>
      </w:r>
    </w:p>
    <w:p>
      <w:pPr>
        <w:pStyle w:val="TextBody"/>
        <w:bidi w:val="0"/>
        <w:spacing w:before="120" w:after="283"/>
        <w:ind w:left="0" w:right="0" w:firstLine="45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nine months ended September 30, 2025 and 2024 (in thousands)</w:t>
      </w:r>
    </w:p>
    <w:tbl>
      <w:tblPr>
        <w:tblW w:w="7559" w:type="dxa"/>
        <w:jc w:val="center"/>
        <w:tblInd w:w="0" w:type="dxa"/>
        <w:tblLayout w:type="fixed"/>
        <w:tblCellMar>
          <w:top w:w="28" w:type="dxa"/>
          <w:left w:w="28" w:type="dxa"/>
          <w:bottom w:w="28" w:type="dxa"/>
          <w:right w:w="28" w:type="dxa"/>
        </w:tblCellMar>
      </w:tblPr>
      <w:tblGrid>
        <w:gridCol w:w="1211"/>
        <w:gridCol w:w="1063"/>
        <w:gridCol w:w="1070"/>
        <w:gridCol w:w="213"/>
        <w:gridCol w:w="913"/>
        <w:gridCol w:w="110"/>
        <w:gridCol w:w="110"/>
        <w:gridCol w:w="110"/>
        <w:gridCol w:w="110"/>
        <w:gridCol w:w="213"/>
        <w:gridCol w:w="913"/>
        <w:gridCol w:w="110"/>
        <w:gridCol w:w="109"/>
        <w:gridCol w:w="109"/>
        <w:gridCol w:w="109"/>
        <w:gridCol w:w="211"/>
        <w:gridCol w:w="721"/>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bookmarkStart w:id="0" w:name="ia47745224b4347fe9a53c46c614e7e1a_1-3-1-"/>
            <w:bookmarkEnd w:id="0"/>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(132,796)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(175,045)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(132,796)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(175,045)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or loss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(160,572)</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nine months ended September 30,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tbl>
      <w:tblPr>
        <w:tblW w:w="10182" w:type="dxa"/>
        <w:jc w:val="center"/>
        <w:tblInd w:w="0" w:type="dxa"/>
        <w:tblLayout w:type="fixed"/>
        <w:tblCellMar>
          <w:top w:w="28" w:type="dxa"/>
          <w:left w:w="28" w:type="dxa"/>
          <w:bottom w:w="28" w:type="dxa"/>
          <w:right w:w="28" w:type="dxa"/>
        </w:tblCellMar>
      </w:tblPr>
      <w:tblGrid>
        <w:gridCol w:w="2135"/>
        <w:gridCol w:w="1876"/>
        <w:gridCol w:w="1883"/>
        <w:gridCol w:w="235"/>
        <w:gridCol w:w="804"/>
        <w:gridCol w:w="121"/>
        <w:gridCol w:w="121"/>
        <w:gridCol w:w="121"/>
        <w:gridCol w:w="121"/>
        <w:gridCol w:w="235"/>
        <w:gridCol w:w="921"/>
        <w:gridCol w:w="121"/>
        <w:gridCol w:w="109"/>
        <w:gridCol w:w="109"/>
        <w:gridCol w:w="109"/>
        <w:gridCol w:w="211"/>
        <w:gridCol w:w="796"/>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Program-specific external expenses:</w:t>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Bexotegrast - clinical trial and third party contracting costs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pipeline programs - clinical trial and third party contracting costs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program-specific external expenses</w:t>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internal expenses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lab equipment and costs of equipment and supplies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expenses</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and other allocations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unallocated internal expenses</w:t>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the nine months ended September 30, 2025 decreased $36.9 million, primarily due to discontinuing development of bexotegrast in IPF.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nine months ended September 30, 2025 decreased $5.3 million, primarily attributable to decreased employee-related costs, driven by our restructuring of operations initiated on May 1, 2025.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general and administrative expenses to remain relatively consistent for the foreseeable future.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decreased $7.2 million, attributable to lower investment balances due to continued funding of operating activities.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nine months ended September 30, 2025 increased $0.2 million due to additional borrowings under the Amended Loan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$243.3 million of cash, cash equivalents and short-term investments. Our short-term investments consist of U.S. Treasury securities, U.S. Government agency securities and highly rated, investment-grade corporate debt securities.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2025, we completed a voluntary prepayment of our Amended Loan Agreement with Oxford for $32.4 million, representing all outstanding principal, accrued and unpaid interest, fees, costs and expenses. Upon prepayment, all obligations, covenants, debts and liabilities under the Amended Loan Agreement were satisfied and discharged in full, and the Amended Loan Agreement and all other documents entered into in connection with the Amended Loan Agreement were terminated.</w:t>
      </w:r>
    </w:p>
    <w:p>
      <w:pPr>
        <w:pStyle w:val="TextBody"/>
        <w:bidi w:val="0"/>
        <w:spacing w:lineRule="auto" w:line="288" w:before="120" w:after="120"/>
        <w:ind w:left="0" w:right="0" w:firstLine="450"/>
        <w:jc w:val="left"/>
        <w:rPr/>
      </w:pPr>
      <w:r>
        <w:rPr>
          <w:rFonts w:ascii="Times New Roman;serif" w:hAnsi="Times New Roman;serif"/>
          <w:b w:val="false"/>
          <w:color w:val="000000"/>
          <w:sz w:val="20"/>
        </w:rPr>
        <w:t>During the third quarter of 2021, we entered into a Controlled Equity Offering</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Sales Agreement (the “Sales Agreement”) with Cantor Fitzgerald &amp; Co., as sales agent, pursuant to which we may issue and sell shares of common stock in an "at-the-market" offering. In March 2023, we filed a prospectus registering the offer and sale of up to $150.0 million of shares of common stock from time to time pursuant to the Sales Agreement. As of the date of this Report, we have not issued any shares pursuant to any at-the-market offerings, including pursuant to the Sales Agreement, but may do so at a future date.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capital resources will be sufficient to fund our anticipated operating expenses and capital expenditure requirements for the next 12 months and beyond.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Funding Requirements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including the following:</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timelines of our clinical trials and the overall costs to conduct and complete the clinical trials, which may be impacted by health epidemics and pandemics, such as COVID-19;</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outcome, timing and cost of meeting regulatory requirements established by the FDA, and other comparable foreign regulatory authorities including but not limited to the European Medicines Agency (EMA) and the U.K. Medicines and Healthcare products Regulatory Agency (MHRA);</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whether we enter into any collaboration agreements and the terms of any such agreements;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filing, prosecuting, defending and enforcing our patent claims and other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 xml:space="preserve">the cost and timing of completion of commercial-scale outsourced manufacturing activities;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operating as a public company.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In addition, the discontinuation of our development of bexotegrast in IPF may intensify the risk that we will be unable to access capital on favorable terms, or at all, as and when needed.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nine months ended September 30, 2025 and 2024</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summarizes our cash flows for the periods indicated (in thousands):</w:t>
      </w:r>
    </w:p>
    <w:tbl>
      <w:tblPr>
        <w:tblW w:w="6311" w:type="dxa"/>
        <w:jc w:val="center"/>
        <w:tblInd w:w="0" w:type="dxa"/>
        <w:tblLayout w:type="fixed"/>
        <w:tblCellMar>
          <w:top w:w="28" w:type="dxa"/>
          <w:left w:w="28" w:type="dxa"/>
          <w:bottom w:w="28" w:type="dxa"/>
          <w:right w:w="28" w:type="dxa"/>
        </w:tblCellMar>
      </w:tblPr>
      <w:tblGrid>
        <w:gridCol w:w="1254"/>
        <w:gridCol w:w="1104"/>
        <w:gridCol w:w="1107"/>
        <w:gridCol w:w="213"/>
        <w:gridCol w:w="912"/>
        <w:gridCol w:w="110"/>
        <w:gridCol w:w="110"/>
        <w:gridCol w:w="110"/>
        <w:gridCol w:w="110"/>
        <w:gridCol w:w="213"/>
        <w:gridCol w:w="912"/>
        <w:gridCol w:w="156"/>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(110,548)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132,522 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22,544 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16,382 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Used in Operating Activities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increased $2.7 million, primarily due to settling payables and accrued expenses relating to the bexotegrast program including close-out activities for the BEACON-IPF study which is projected to be completed in the fourth quarter of 2025.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Provided by Investing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increased over the same period of the prior year as maturities of marketable securities exceeded related purchases during the nine months ended September 30,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Provided by Financing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decreased $22.4 million, primarily due to additional Term Loans entered into during the nine months ended September 30, 2024 associated with the Amended Loan Agreement as well as decreased proceeds from the issuance of common stock under benefit plans during the nine months ended September 30,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Contractual Obligations and Other Commitments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September 30, 2025, we have a non-cancelable operating lease for office and laboratory space for a period of seven years through March 31, 2031. Refer to Note 14 and Note 15 to our financial statements appearing elsewhere in this Report for a discussion of material obligations and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periods presented, we did not have, nor do we currently have, any off-balance sheet arrangements or holdings in any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Polices and Estimates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from those described in “Part II, Item 7. Management’s Discussion and Analysis of Financial Condition and Results of Operations” included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2 to the Notes to Condensed Unaudited Financial Statements of this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objectives of our investment activities are to ensure liquidity and to preserve capital. We are exposed to market risks in the ordinary course of our business. These risks primarily include interest rate sensitivities. We had cash and cash equivalents, restricted cash and short-term investments of $243.3 million as of September 30, 2025 which consisted of bank deposits, highly liquid money market funds and short-term investments in U.S. treasury securities, U.S. government agency securities and corporate debt securities. Under the Amended Loan Agreement, we had a $30.0 million term loan outstanding as of September 30, 2025 which is subject to the movement in interest rates, however, we prepaid the term loans in October 2025 and have discharged from all obligations, covenants, debts and liabilities. Due to the short-term maturities of our cash equivalents and short-term investments, an immediate 100 basis point change in interest rates would not have a material effect on the fair market value of our cash equivalents or short-term investments.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minimize the risk, we maintain our portfolio of cash equivalents and short-term investments in institutional market funds that are composed of U.S. Treasury and U.S. Treasury-backed repurchase agreements or short-term U.S. Treasury securities, U.S. Government agency securities and highly rated, investment-grade corporate debt securities. We do not believe 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2025,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2025, the design and operation of our disclosure controls and procedures were effective at a reasonable assurance level.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controls over financial reporting identified in connection with the evaluation required by Rule 13a-15(d) and 15d-15(d) under the Exchange Act that occurred during the quarter ended September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Report. The risks and uncertainties described below are not the only ones facing us. There may be additional risks faced by our business. Other events that we do not currently anticipate or that we currently deem immaterial also may adversely affect our financial condition or results of operations.</w:t>
      </w:r>
    </w:p>
    <w:p>
      <w:pPr>
        <w:pStyle w:val="TextBody"/>
        <w:bidi w:val="0"/>
        <w:spacing w:lineRule="auto" w:line="288" w:before="120" w:after="283"/>
        <w:ind w:left="0" w:right="0" w:firstLine="45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Need for Additional Capital and Operations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have incurred significant net losses since inception and we expect to continue to incur significant net losses for the foreseeable future.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incurred significant net losses since our inception and have financed our operations principally through equity and debt financing and our prior collaboration with Novartis. We continue to incur significant research and development and other expenses related to our ongoing operations. Our net loss was $26.3 million and $57.8 million for the three months ended September 30, 2025 and 2024, respectively. Our net loss for the nine months ended September 30, 2025 and 2024 was $125.8 million and $160.6 million, respectively. As of September 30, 2025, we had an accumulated deficit of $835.8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incur significant losses for the foreseeable future as we: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advance our product candidates through clinical development, and, if successful, later-stage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discover and develop new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advance our preclinical development programs into clinical development;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further develop manufacturing processes and manufacture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experience delays or interruptions to preclinical studies, clinical trials, our receipt of services from our third-party service providers on whom we rely, or our supply chain due to the effects of health epidemics and pandemics, such as COVID-19;</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seek regulatory approvals for any product candidates that successfully complete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commercialize our current product candidates and any future product candidates, if approved;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increase the amount of research and development activities to identify and develop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hire additional clinical development, quality control, scientific and management personnel;</w:t>
      </w:r>
    </w:p>
    <w:p>
      <w:pPr>
        <w:pStyle w:val="TextBody"/>
        <w:bidi w:val="0"/>
        <w:spacing w:lineRule="auto" w:line="288" w:before="120" w:after="283"/>
        <w:ind w:left="0" w:right="0" w:hanging="630"/>
        <w:jc w:val="left"/>
        <w:rPr/>
      </w:pPr>
      <w:r>
        <w:rPr>
          <w:strike/>
          <w:color w:val="000000"/>
        </w:rPr>
        <w:t>•</w:t>
      </w:r>
      <w:r>
        <w:rPr>
          <w:rFonts w:ascii="Times New Roman;serif" w:hAnsi="Times New Roman;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invest in or in-license other technologies or product candidates;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continue to build out our organization to engage in such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become and remain profitable would decrease the value of our company and could impair our ability to raise capital, maintain our research and development efforts, expand our business, or continue our operations.</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Our evaluation of opportunities may not deliver the benefits we expect or enhance stockholder value.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discontinuation of the BEACON-IPF Phase 2b trial, we continue to evaluate a broad range of opportunities designed to create stockholder value. There can be no assurance regarding the results or outcome of any opportunities we may pursue. It is possible that we may not identify or pursue opportunities, that such opportunities pursued may not be attractive, or that such opportunities may not ultimately be consummated. Further, any strategic transaction that is completed ultimately may not deliver the benefits we expect or enhance stockholder value. </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clinical trials of our current product candidates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 operations, and such funding may be more difficult to obtain given the discontinuation of the BEACON-IPF trial and our development of bexotegrast in idiopathic pulmonary fibrosis (IPF). If we are unable to raise capital when needed or on acceptable terms, we may be forced to delay, reduce, or eliminate one or more of our research and drug development programs or future commercialization efforts.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approximately $243.3 million in cash, cash equivalents, restricted cash and short-term investments. Based on our current operating plan, we believe that our existing cash, cash equivalents and short-term investments will be sufficient to fund our anticipated operating expenses and capital expenditure requirements for the next 12 months and beyond.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timelines of our clinical trials and the overall costs to conduct and complete the clinical trials, including any increased costs due to disruptions caused by marketplace conditions, including the effects of health epidemics and pandemics, such as COVID-19, or other geopolitical conditions;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and capital commitments required for developing manufacturing processes for our product candidates and manufacturing our product candidates at clinical and commercial scales;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 xml:space="preserve">whether we are able to enter into future collaboration agreements and the terms of any such agreements;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ability to and timing of achieving a favorable pricing and reimbursement decision by the pricing authorities in the markets of interest;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ability to secure a position recommendation following the health technology assessment by the health technology bodies in the relevant market;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defending intellectual property disputes, including patent infringement actions brought by third parties against us or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and timing of completion of commercial-scale outsourced manufacturing activities; and</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the cost of establishing sales, marketing and distribution capabilities for any product candidates for which we may receive regulatory approval in regions where we choose to commercialize our products on our own.</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previously borrowed and in the future may borrow additional capital from institutional and commercial banking sources to fund future growth or potentially pursuant to new arrangements with different lenders. In addition, we have sought and we expect to continue to opportunistically seek access to the equity capital markets to support our development efforts and operations. However, we cannot be certain that additional funding will be available on acceptable terms, or at all, and such availability may be limited in the future given the discontinuation of our development of bexotegrast in IPF.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the effects of health epidemics and pandemics, such as the COVID-19 pandemic,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successfully recruit and retain subjects for clinical trials, and any delays caused by difficulties in such efforts;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obtain marketing approval for our product candidates, and the timing and scope of any such approvals we may receive;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manufacturing our product candidates, which may vary depending on the difficulty of manufacture, quantity of production and the terms of our agreements with manufacturers;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attract, hire and retain qualified personnel;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expenditures that we will or may incur to develop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level of demand for our product candidates should they receive approval, which may vary significantly;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lineRule="auto" w:line="288" w:before="60" w:after="283"/>
        <w:ind w:left="0" w:right="0" w:hanging="630"/>
        <w:jc w:val="left"/>
        <w:rPr/>
      </w:pPr>
      <w:r>
        <w:rPr>
          <w:color w:val="000000"/>
        </w:rPr>
        <w:t>•</w:t>
      </w:r>
      <w:r>
        <w:rPr>
          <w:rFonts w:ascii="Times New Roman;serif" w:hAnsi="Times New Roman;serif"/>
          <w:b w:val="false"/>
          <w:color w:val="000000"/>
          <w:sz w:val="20"/>
        </w:rPr>
        <w:t>general market conditions or extraordinary external events, such as recessions, inflationary and labor market pressures, changes in domestic policies, volatility and uncertainty, as well as potential volatility in the global trade markets or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changing and volatile U.S. and global economic and political environments;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120" w:after="283"/>
        <w:ind w:left="0" w:right="0" w:firstLine="450"/>
        <w:jc w:val="left"/>
        <w:rPr>
          <w:rFonts w:ascii="Times New Roman;serif" w:hAnsi="Times New Roman;serif"/>
          <w:b/>
          <w:color w:val="000000"/>
          <w:sz w:val="20"/>
        </w:rPr>
      </w:pPr>
      <w:r>
        <w:rPr>
          <w:rFonts w:ascii="Times New Roman;serif" w:hAnsi="Times New Roman;serif"/>
          <w:b/>
          <w:color w:val="000000"/>
          <w:sz w:val="20"/>
        </w:rPr>
        <w:t>Risks Related to Research and Development and the Biopharmaceutical Industry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have a limited operating history, which may make it difficult to evaluate our prospects and likelihood of success.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June 2025, we announced that we were discontinuing our development of bexotegrast in IPF.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Our business is highly dependent on the success of the product candidates that we advance into the clinic. Our product candidates will require significant additional development before we may be able to seek regulatory approval for and launch a product commercially.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We a</w:t>
      </w:r>
      <w:r>
        <w:rPr>
          <w:rFonts w:ascii="Times New Roman;serif" w:hAnsi="Times New Roman;serif"/>
          <w:b w:val="false"/>
          <w:color w:val="242424"/>
          <w:sz w:val="20"/>
        </w:rPr>
        <w:t>re currently conducting a Phase 1 clinical trial of PLN-101095 in solid tumors, and PLN-101325 development for treatmen</w:t>
      </w:r>
      <w:r>
        <w:rPr>
          <w:rFonts w:ascii="Times New Roman;serif" w:hAnsi="Times New Roman;serif"/>
          <w:b w:val="false"/>
          <w:color w:val="000000"/>
          <w:sz w:val="20"/>
        </w:rPr>
        <w:t>t of muscular dystrophies is Phase-1 ready. We have no products that are approved for commercial sale and may never be able to develop marketable products. If any of our product candidates encounter safety or efficacy problems, development delays, regulatory issues or other problems, our development plans and business would be significantly harmed. For example, in March 2025, we announced that we were discontinuing the BEACON-IPF Phase 2b trial following a prespecified data review and recommendation by the trial’s independent DSMB, as well as a secondary review and recommendation by an outside expert panel. Subsequently, in June 2025, we announced we were discontinuing the development of bexotegrast in IPF.</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Before we can generate any revenue from sales of any of our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experience setbacks that could delay or prevent regulatory approval of, or the extent of regulatory protection or our ability to commercialize, our product candidates,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product-related side effects experienced by subjects in our clinical trials or by individuals using drugs or therapeutics similar to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delays in submitting investigational new drug (IND) applications or comparable foreign applications or delays or failure in obtaining the necessary approvals from regulators to commence a clinical trial, or a suspension or termination of a clinical trial once commenced;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conditions imposed by the FDA or comparable foreign authorities regarding the scope or design of our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delays in enrolling subjects in clinical trials, including due to operational challenges, competition with other clinical trials or the effects of health epidemics and pandemics, such as the COVID-19 pandemic;</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high drop-out rates or screening failures of subjects from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inadequate supply or quality of product candidates or other materials necessary for the conduct of our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challenges manufacturing our product candidates to regulatory requirements in a cost effective manner;</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greater than anticipated clinical trial costs;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inability to compete with other therapies;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to secure or maintain orphan designation in some jurisdictions;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poor efficacy of our product candidates during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unfavorable FDA or other regulatory agency inspection and review of a clinical trial site;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varying interpretations of data by the FDA and similar foreign regulatory agencies.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approach to drug discovery and development of integrin-based therapeutics is unproven and may not result in a marketable product.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approach to discover and develop integrin-based therapeutics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As a result, we may never succeed in developing a marketable integrin-based product.</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Clinical development involves a lengthy, complex, and expensive process, with an uncertain outcome.</w:t>
      </w:r>
    </w:p>
    <w:p>
      <w:pPr>
        <w:pStyle w:val="TextBody"/>
        <w:bidi w:val="0"/>
        <w:spacing w:lineRule="auto" w:line="288" w:before="120" w:after="283"/>
        <w:ind w:left="0" w:right="0" w:firstLine="450"/>
        <w:jc w:val="left"/>
        <w:rPr>
          <w:rFonts w:ascii="Times New Roman;serif" w:hAnsi="Times New Roman;serif"/>
          <w:b w:val="false"/>
          <w:color w:val="242424"/>
          <w:sz w:val="20"/>
        </w:rPr>
      </w:pPr>
      <w:r>
        <w:rPr>
          <w:rFonts w:ascii="Times New Roman;serif" w:hAnsi="Times New Roman;serif"/>
          <w:b w:val="false"/>
          <w:color w:val="242424"/>
          <w:sz w:val="20"/>
        </w:rPr>
        <w:t xml:space="preserve">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earlier stage clinical trials. The results of preclinical studies and early clinical trials of our product candidates may not be predictive of the results of later-stage clinical trials. For example, in March 2025, we announced that we were discontinuing the BEACON-IPF Phase 2b trial following a prespecified data review and recommendation by the trial’s independent DSMB, as well as a secondary review and recommendation by an outside expert panel, and subsequently announced in June 2025 that we were discontinuing development of bexotegrast in IPF.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large number of companies in the biopharmaceutical industry have suffered significant setbacks in advanced clinical trials due to lack of efficacy or unacceptable safety issues, notwithstanding promising results in earlier trials or divergent conclusions by the FDA, other regulatory agencies, IRBs, DSMBs or others in connection with such findings. </w:t>
      </w:r>
    </w:p>
    <w:p>
      <w:pPr>
        <w:pStyle w:val="TextBody"/>
        <w:bidi w:val="0"/>
        <w:spacing w:lineRule="auto" w:line="288" w:before="120" w:after="283"/>
        <w:ind w:left="0" w:right="0" w:firstLine="450"/>
        <w:jc w:val="left"/>
        <w:rPr>
          <w:rFonts w:ascii="Times New Roman;serif" w:hAnsi="Times New Roman;serif"/>
          <w:b w:val="false"/>
          <w:color w:val="242424"/>
          <w:sz w:val="20"/>
        </w:rPr>
      </w:pPr>
      <w:r>
        <w:rPr>
          <w:rFonts w:ascii="Times New Roman;serif" w:hAnsi="Times New Roman;serif"/>
          <w:b w:val="false"/>
          <w:color w:val="242424"/>
          <w:sz w:val="20"/>
        </w:rPr>
        <w:t>Most product candidates that commence clinical trials are never approved as products and there can be no assurance that any of our future clinical trials will ultimately be successful or support further clinical development of any of our product candidates. Product candidates that appear promising in the early phases of development may fail to reach the market for several reasons,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preclinical studies or clinical trials may show the product candidates to be less effective than expected (e.g., a clinical trial could fail to meet its primary endpoint(s)) or to have unacceptable side effects or toxicities;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to establish clinical endpoints that applicable regulatory authorities would consider clinically meaningful;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to receive the necessary regulatory approvals;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development of competing products in the same disease state;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 xml:space="preserve">manufacturing costs, formulation issues, pricing or reimbursement issues, or other factors that make a product candidate uneconomical;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or inability to perform by our third-party vendors, including vendors in foreign jurisdictions including China;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proprietary rights of others and their competing products and technologies that may prevent one of our product candidates from being commercialized.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 label studies, where both the patient and investigator know whether the patient is receiving the investigational product candidate or either an existing approved drug or placebo. Most typically, open label clinical trials test only the investigational product candidate and sometimes do so at different dose levels. Open 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 label trials will not be replicated in later placebo-controlled trials.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commencing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or changes in regulatory policy as a result of judicial challenges. Examples of such regulations and changes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must comply with numerous foreign regulatory requirements governing, among other things, the conduct of clinical trials, manufacturing and marketing authorization, and if approved for marketing,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incur additional costs or experience delays in completing, or ultimately be unable to complete, the development and commercialization of any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delays in initiating or completing clinical trials. We also may experience numerous unforeseen events during, or as a result of, any future clinical trials that could delay or prevent our ability to receive marketing approval or commercialize any product candidates, including: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regulators, IRBs, or ethics committees may not authorize us or our investigators to commence a clinical trial or conduct a clinical trial at a prospective trial site;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FDA or other comparable regulatory authorities may disagree with our clinical trial design, including with respect to dosing levels and dose selection administered in our planned clinical trials, which may delay or prevent us from initiating our clinical trials with our originally intended trial design or impact our ability to demonstrate favorable safety or efficacy traits;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number of subjects required for clinical trials of any product candidates may be larger than we anticipate or subjects may drop out of these clinical trials or fail to return for post-treatment follow-up at a higher rate than we anticipate;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experience delays or interruptions to our manufacturing supply chain, or we could suffer delays in reaching, or we may fail to reach, agreement on acceptable terms with third-party service providers on whom we rely;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additional delays and interruptions to our clinical trials could extend the duration of the trials and increase the overall costs to finish the trials as our fixed costs are not substantially reduced during delays;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elect to, or regulators, IRBs,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not have the financial resources available to begin and complete the planned trials, or the cost of clinical trials of any product candidates may be greater than we anticipate;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 to initiate or complete a given clinical trial;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FDA or other comparable foreign regulatory authorities may require us to submit additional data such as long-term toxicology studies, or impose other requirements before permitting us to initiate a clinical trial.</w:t>
      </w:r>
    </w:p>
    <w:p>
      <w:pPr>
        <w:pStyle w:val="TextBody"/>
        <w:bidi w:val="0"/>
        <w:spacing w:lineRule="auto" w:line="288" w:before="120" w:after="283"/>
        <w:ind w:left="0" w:right="0" w:firstLine="450"/>
        <w:jc w:val="left"/>
        <w:rPr>
          <w:rFonts w:ascii="Times New Roman;serif" w:hAnsi="Times New Roman;serif"/>
          <w:b w:val="false"/>
          <w:color w:val="242424"/>
          <w:sz w:val="20"/>
        </w:rPr>
      </w:pPr>
      <w:r>
        <w:rPr>
          <w:rFonts w:ascii="Times New Roman;serif" w:hAnsi="Times New Roman;serif"/>
          <w:b w:val="false"/>
          <w:color w:val="242424"/>
          <w:sz w:val="20"/>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In addition, significant clinical trial delays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283"/>
        <w:ind w:left="0" w:right="0" w:firstLine="450"/>
        <w:jc w:val="left"/>
        <w:rPr>
          <w:rFonts w:ascii="Times New Roman;serif" w:hAnsi="Times New Roman;serif"/>
          <w:b w:val="false"/>
          <w:color w:val="242424"/>
          <w:sz w:val="20"/>
        </w:rPr>
      </w:pPr>
      <w:r>
        <w:rPr>
          <w:rFonts w:ascii="Times New Roman;serif" w:hAnsi="Times New Roman;serif"/>
          <w:b w:val="false"/>
          <w:color w:val="242424"/>
          <w:sz w:val="20"/>
        </w:rPr>
        <w:t xml:space="preserve">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For example, in March 2025, we announced that we were discontinuing the BEACON-IPF Phase 2b trial following a prespecified data review and recommendation by the trial’s independent DSMB, as well as a secondary review and recommendation by an outside expert panel due to an imbalance in safety events between treatment and placebo groups. We subsequently announced in June 2025 that we were discontinuing development of bexotegrast in IPF. We may also encounter unexpected drug-drug interactions in our ongoing or planned trials, and may be required to further test our candidates, including additional drug-drug interaction studies, which may be expensive, time consuming and result in delays to our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242424"/>
          <w:sz w:val="20"/>
        </w:rPr>
      </w:pPr>
      <w:r>
        <w:rPr>
          <w:rFonts w:ascii="Times New Roman;serif" w:hAnsi="Times New Roman;serif"/>
          <w:b w:val="false"/>
          <w:color w:val="242424"/>
          <w:sz w:val="20"/>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patient eligibility and exclusion criteria defined in the protocol;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size of the patient population required for analysis of the trial’s primary endpoints and the process for identifying patients;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willingness or availability of patients to participate in our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proximity of patients to trial sites;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design of the trial;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recruit clinical trial investigators with the appropriate competencies and experience;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clinicians’ and patients’ perceptions as to the potential advantages and risks of the product candidate being studied in relation to other available therapies, including any new products that may be approved for the indications we are investigating or other studies enrolling for similar diseases;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availability of competing commercially available therapies and other competing product candidates’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obtain and maintain patient informed consents;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risk that patients enrolled in clinical trials will drop out of the trials before completion.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clinical trials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the FDA may modify or enhance trial requirements, which may affect enrollment. For example, in August 2023, the FDA published a guidance document, “Informed Consent, Guidance for IRBs, Clinical Investigators, and Sponsors,” which supersedes past guidance and finalizes draft guidance on informed consent. Further, in December 2023, the FDA published a final rule, “Institutional Review Board Waiver or Alteration of Informed Consent for Minimal Risk Clinical Investigations,” which allows exceptions from informed consent requirements when a clinical investigation poses no more than minimal risk to the human subject and includes appropriate safeguards to protect the rights, safety, and welfare of human subjects. The FDA’s new guidance and rulemaking present evolving requirements for informed consent which may affect recruitment and retention of patients in clinical trials. Effects on recruitment and retention of patients may hinder or delay a clinical trial and could cause a significant setback to an applicable program.</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The design or execution of our ongoing and future clinical trials may not support marketing approval.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design or execution of a clinical trial can determine whether its results will support marketing approval, and flaws in the design or execution of a clinical trial may not become apparent until the clinical trial is well advanced.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 For example, in March 2025, we announced that we were discontinuing the BEACON-IPF Phase 2b trial following a prespecified data review and recommendation by the trial’s independent DSMB, as well as a secondary review and recommendation by an outside expert panel. We subsequently announced in June 2025 that we were discontinuing our development of bexotegrast in IPF.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Moreover, clinical data are often susceptible to varying interpretations and analyses, including by the FDA, comparable foreign regulatory authorities, IRBs or DSMBs interpreting such data. Further, requirements regarding clinical trial data may evolve. In June 2023, the FDA published draft guidance, which seeks to unify standards for clinical trial data for International Council for Harmonisation of Technical Requirements of Pharmaceuticals for Human Use, or ICH member countries and regions. Changes to data requirements may cause the FDA or comparable foreign regulatory authorities to disagree with data from preclinical studies or clinical trials, and may require further studies.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any of these regulatory authorities may change requirements for the approval of a product candidate even after reviewing and providing comments or advice on a protocol for a pivotal Phase 3 or registrational clinical trial. Further,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be unable to obtain and maintain orphan drug designation for our product candidates and, even if we obtain such designation, we may not be able to realize the benefits of such designation, including potential marketing exclusivity of our product candidates, if approved.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(EEA) and the U.K., the product must fulfill certain challenging criteria. Under Article 3 of Regulation (EC) 141/2000 in the EU, and Regulation 50G of the Human Medicines Regulation 2012 in the U.K.,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territory of the EU or U.K. (as applicable) when the application is made, or without the benefits derived from orphan status, it must be unlikely that the marketing of the medicine would generate sufficient return in the EU or U.K. to justify the investment needed for its development; and (3) there exists no satisfactory method of diagnosis, prevention or treatment of such condition authorized for marketing in the EU or U.K. or if such a method exists, the product will be of significant benefit to those affected by the condition, as defined in Regulation (EC) 847/2000. In the EEA, the grant of the orphan designation does not mean that the product will be granted orphan status at the time it is assessed in parallel with the application for a marketing authorization. The authorities reassess then whether the product still fulfills the criteria for orphan status.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Should we seek orphan drug designation for one or more of our future product candidates, we may be unable to obtain and maintain such designation. Even if we obtain such designation,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 On April 26, 2023, the European Commission adopted a proposal for a new Regulation set to replace Regulation (EC) No 726/2004 and a new Directive replacing Directive 2001/83 on the Community Code relating to medicinal products for human use. On June 4,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Council of the EU adopted its position on the European Commission's proposed reforms and will enter into negotiations with the European Parliament to reach an agreement on the reforms. If made into law, the proposals will revise and replace the existing general pharmaceutical legislation and may make it more difficult to obtain orphan designation in the EEA.</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Congress is considering updates to the orphan drug provisions of the Food, Drug, and Cosmetic Act, or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 Fast Track designation by the FDA, even if granted for current or future product candidates, may not lead to a faster development or regulatory review or approval process and does not increase the likelihood that our product candidates will receive marketing approval.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seek Fast Track designation for one or more of our future product candidates.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not be successful in our efforts to identify or discover additional product candidates in the future.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research programs may initially show promise in identifying potential product candidates, yet fail to yield product candidates for clinical development for a number of reasons,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inability to design such product candidates with the pharmacological properties that we desire or attractive pharmacokinetics;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potential product candidates may, on further study, be shown to have harmful side effects or other characteristics that indicate that they are unlikely to be medicines that will receive marketing approval and achieve market acceptance.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programs and efforts to identify new product candidates require substantial technical, financial, and human resources. Following the discontinuation of the BEACON-IPF Phase 2b trial, we continue to evaluate a range of opportunities to create stockholder value. If we are unable to identify suitable compounds for preclinical and clinical development or other opportunities to create stockholder value, we may experience harm to our business, financial position and stock price.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Due to our limited resources and access to capital, we must make decisions on the allocation of resources to certain programs and product candidates; these decisions may prove to be wrong and may adversely affect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financial or other liabilities and may be required to limit commercialization of our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as a result of testing any of our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inability to bring a product candidate to the market;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decreased demand for our products;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injury to our reputation;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withdrawal of clinical trial participants and inability to continue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fines, injunctions or criminal penalties;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costs to defend the related litigation;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diversion of management’s time and our resources;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substantial monetary awards to trial participants;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product recalls, withdrawals or labeling, marketing or promotional restrictions;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loss of revenue;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exhaustion of any available insurance and our capital resources;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inability to commercialize any product candidate, if approved;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decline in our share price.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obtain sufficient product liability insurance at an acceptable cost to protect against potential product liability claims could prevent or inhibit the commercialization of products we develop. We will need to obtain additional insurance for clinical trials as our product candidates continue clinical development and as additional product candidates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as well, which could give such products significant regulatory and market timing advantages over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The biopharmaceutical industry is subject to extensive regulatory obligations and policies that may be subject to significant and abrupt change, including due to judicial challenges, election cycles, and resulting regulatory updates and changes in policy priorities.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In June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the U.S. Department of Health and Human Services (HHS), the Centers for Medicare and Medicaid Services (CMS) and other agencies with significant oversight of the biopharmaceutical industry.</w:t>
      </w:r>
      <w:r>
        <w:rPr>
          <w:color w:val="000000"/>
        </w:rPr>
        <w:t xml:space="preserve"> </w:t>
      </w:r>
      <w:r>
        <w:rPr>
          <w:rFonts w:ascii="Times New Roman;serif" w:hAnsi="Times New Roman;serif"/>
          <w:b w:val="false"/>
          <w:color w:val="000000"/>
          <w:sz w:val="20"/>
        </w:rPr>
        <w:t>The new framework may increase both the frequency of such challenges and their odds of success by eliminating one way in which the government previously prevailed in such cases. As a result, significant regulatory policies may be subject to increased litigation and judicial scrutiny.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federal agency activities, leadership, policies, rulemaking, communications, spending, and staffing may be significantly impacted by election cycles and legislative developments. For example, the current U.S. presidential administration has committed to significantly reduce government spending through cuts to federal healthcare programs and reductions in the workforces of key government agencies, such as HHS, FDA, and CMS. Efforts by the current administration to further limit federal agency budgets may result in reduced agency workforces and/or changes in agency operations. The administration and government agencies have also made abrupt announcements about new or changed regulatory policies, such as policies related to the use of artificial intelligence to review product applications. And, the recent federal government shutdown may prevent the FDA or other regulatory authorities from conducting their regular inspections, reviews or other regulatory activities, and may significantly impact the ability of the FDA to timely review and process our regulatory submissions. These developments may lead to greater uncertainty regarding FDA policies, slower response times and longer review periods, potentially affecting our ability to develop our product candidates or obtain regulatory approval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color w:val="000000"/>
          <w:sz w:val="20"/>
        </w:rPr>
      </w:pPr>
      <w:r>
        <w:rPr>
          <w:rFonts w:ascii="Times New Roman;serif" w:hAnsi="Times New Roman;serif"/>
          <w:b/>
          <w:color w:val="000000"/>
          <w:sz w:val="20"/>
        </w:rPr>
        <w:t>Risks Related to Marketing, Reimbursement, Healthcare Regulations and Ongoing Regulatory Compliance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Even if a product candidate we develop receives marketing approval, it may fail to achieve the degree of market acceptance by physicians, patients, third-party payors and others in the medical community necessary for commercial success.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Even if any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degree of market acceptance of any product candidate, if approved for commercial sale, will depend on a number of factors,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efficacy and potential advantages compared to alternative treatments;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ability to offer our products, if approved, for sale at competitive prices;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convenience and ease of administration compared to alternative treatments;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willingness of the target patient population to try new therapies and of physicians to prescribe these therapies;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recommendations with respect to our product candidates in guidelines published by various scientific organizations applicable to us and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positive health technology assessment (HTA) in jurisdictions where required;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strength of marketing and distribution support;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ability to obtain sufficient third-party coverage and adequate reimbursement and a positive recommendation by health technology bodies;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prevalence and severity of any side effects.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government and other third-party payors do not provide coverage and adequate reimbursement levels for any products we commercialize, market acceptance and commercial success would be reduced.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Coverage and reimbursement may be limited or unavailable or pricing unfavorable in certain market segments for our product candidates, if approved, which could make it difficult for us to sell any product candidates profitably.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safe, effective and medically necessary;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appropriate for the specific patient;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cost-effective;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as well as foreign jurisdictions, no uniform policy of coverage and reimbursement for products exists among third-party payors.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primary trend in the United States and European health care industries is toward cost containment, as legislative bodies, government authorities, third-party payors, and others have attempted to control costs by limiting coverage, pricing and the amount of reimbursement available for certain treatments. Such third-party payors, including Medicare, may question the coverage of, and challenge or seek to lower the prices charged for, medical products, and many third-party payors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or by future laws, regulations, or guidance seeking to limit prescription drug prices. If we are unable to promptly obtain coverage and adequate reimbursement rates from both government-funded and private payors for any approved products that we develop, or if net prices are reduced by mandatory discounts or rebates, there could be a material adverse effect on our operating results, our ability to raise capital needed to commercialize products and our overall financial condition.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Changes to current healthcare laws and state and federal healthcare reform measures that may be adopted in the future that impact coverage and reimbursement for drug or biologic products may result in additional payment reductions in Medicare and other healthcare funding and otherwise affect the prices we may obtain for any product candidates for which we may obtain regulatory approval or the frequency with which any such product candidate is prescribed or used. For additional details regarding healthcare reform measures, see the discussion in the risk factor under the heading “Ongoing healthcare legislative and regulatory reform measures may have a material adverse effect on our business and results of operations.” </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relationships with healthcare providers, physicians, third-party payors, and other potential referral sources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Healthcare providers, physicians, third-party payors, and other potential referral sources in the United States and elsewhere play a primary role in the distribution,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of the 2024 Form 10-K.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interactions with entities excluded from participation in government healthcare programs, and other business arrangements generally. Activities subject to these laws also involve the improper use of information obtained in the course of patient recruitment for clinical trials.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distribution of biopharmaceutical products is subject to additional requirements and regulations, including extensive record-keeping, licensing, storage and security requirements intended to prevent the unauthorized sale of biopharmaceutical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scope and enforcement of each of these laws is uncertain and subject to rapid change in the current environment. Ensuring business arrangements comply with applicable healthcare laws can be time- and resource-consuming.</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GCP requirements for any clinical trials that we conduct post-approval.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restrictions on the marketing or manufacturing of our products, withdrawal of the product from the market or voluntary or mandatory product recalls;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fines, warning letters or holds on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refusal by the FDA to approve pending applications or supplements to approved applications filed by us or suspension or revocation of license approvals;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voluntary or mandatory product recalls and related publicity requirements;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total or partial suspension of production;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product seizure or detention or refusal to permit the import or export of our product candidates;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Ongoing healthcare legislative and regulatory reform measures may have a material adverse effect on our business and results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United States and other jurisdictions, there have been, and we expect there will continue to be, a number of legislative and regulatory changes and proposed changes to the healthcare system that could affect our ability to profitably sell any product candidates for which we obtain marketing approval or licensure. Changes in regulations, statutes or the interpretation of existing regulations governing the regulatory approval or licensure,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our products; (iv) more rigorous coverage criteria or additional downward pressure on the price that we receive for product candidates for which we obtain marketing approval; or (v) additional record-keeping requirements. If any such changes were to be imposed, they could adversely affect the operation of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United States, there have been and continue to be a number of legislative initiatives to contain healthcare costs, as detailed in Part I, Item 1 – Business – Government Regulation – Current and Future Healthcare Reform Legislation of the 2024 Form 10-K. For example, in August 2022, former President Biden signed into law the Inflation Reduction Act, or IRA, which implements substantial changes to the Medicare program, including drug pricing reforms and changes to the Medicare Part D benefit design.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450"/>
        <w:jc w:val="left"/>
        <w:rPr/>
      </w:pPr>
      <w:r>
        <w:rPr>
          <w:rFonts w:ascii="Times New Roman;serif" w:hAnsi="Times New Roman;serif"/>
          <w:b w:val="false"/>
          <w:color w:val="000000"/>
          <w:sz w:val="20"/>
        </w:rPr>
        <w:t>Among other reforms, the IRA imposes inflation rebates on drug manufacturers for products reimbursed under Medicare Parts B and D if the prices of those products increase faster than inflation; implements changes to the Medicare Part D benefit that, beginning in 2025, will cap patient annual out-of-pocket spending at $2,000, while imposing new discount obligations for pharmaceutical manufacturers and payors; and, beginning in 2026, establishes a “maximum fair price” for a fixed number of high spend pharmaceutical and biological products that are selected by CMS and covered under Medicare Parts B and D following a price negotiation process with the agency. Under the current statute, for a drug product to be considered a qualifying single source drug that may be selected by CMS for price negotiation under the “maximum fair price” program, at least seven years must have elapsed since the biological product was licensed by the FDA. For a biological product to be considered a qualifying single source drug that may be selected by CMS for price negotiation, at least eleven years must have elapsed since the biological product was licensed by the FDA</w:t>
      </w:r>
      <w:r>
        <w:rPr>
          <w:rFonts w:ascii="Times New Roman;serif" w:hAnsi="Times New Roman;serif"/>
          <w:b w:val="false"/>
          <w:color w:val="0000FF"/>
          <w:sz w:val="20"/>
        </w:rPr>
        <w:t xml:space="preserve">. </w:t>
      </w:r>
      <w:r>
        <w:rPr>
          <w:rFonts w:ascii="Times New Roman;serif" w:hAnsi="Times New Roman;serif"/>
          <w:b w:val="false"/>
          <w:color w:val="000000"/>
          <w:sz w:val="20"/>
        </w:rPr>
        <w:t>However, the current administration has expressed interest in working with Congress to align the treatment of small molecule prescription drugs with that of biological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When originally enacted, the IRA explicitly excluded from price negotiation orphan drugs designated for only one rare disease or condition and for which the only active approved indication is for such disease or condition. However, the One Big Beautiful Bill Act signed into law on July 4, 2025 amended the applicable statute to broaden the orphan drug exclusion such that products with more than one orphan designation and more than one approved indication will remain exempt from price negotiations, so long as each approved indication is for a rare disease or condition.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Since its enactment, CMS has taken steps to implement various drug pricing provisions of the IRA. This includes, without limitation, releasing the negotiated maximum prices, which will be effective in 2026, for the first ten drugs that were subject to the IRA’s negotiation process, releasing quarterly lists of Medicare Part B products that are subject to adjusted coinsurance rates based on the inflationary rebate provisions of the IRA, and announcing a list of 15 additional drugs that will be subject to price negotiations during 2025. While it remains to be seen how the drug pricing provisions imposed by the IRA will affect the broader pharmaceutical industry (including orphan drug or small molecule development), several pharmaceutical manufacturers and other industry stakeholders have challenged the law, including through lawsuits brought against the HHS, the Secretary of HHS, CMS, and the CMS Administrator challenging the constitutionality and 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and/or executive or administrative action. However, we expect these initiatives to increase pressure on drug pricing. Further, certain broader legislation that is not targeted to the healthcare industry may nonetheless adversely affect our profitability.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Moreover, the healthcare regulatory landscape can also be affected by election cycles and any resulting changes in healthcare policy priorities and broader industry response. For example, the current presidential administration has issued several executive orders aimed at reducing prescription drug prices, including orders encouraging the implementation of "most-favored-nation" pricing that would tie U.S. drug prices to the prices paid for drugs in other countries and promoting increased domestic production of critical medicines. The administration has also suggested that it may impose significant tariffs on pharmaceuticals if "most-favored-nation" agreements are not reached with drug manufacturers. If we or any third parties we may engage are slow or unable to adapt to changes in existing requirements,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Drug marketing and reimbursement regulations may materially affect our ability to market and secure reimbursement for our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As of January 2025, Regulation No 2021/2282 on Health Technology Assessment (HTA Regulation) is applicable in the EU. The HTA Regulation intends to foster cooperation among EU member states in assessing health technologies and provide the basis for cooperation at EU level for joint clinical assessments.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in most foreign countries, including those within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Trump Administration issued an executive order titled "Delivering Most-Favored-Nation Prescription Drug Pricing to American Patients" (Executive Order), which may have unpredictable consequences on pricing of medicinal products in European countries. The Executive Order required federal agencies to seek parity between U.S. drug prices and the lowest prices in peer nations and empowers the Secretary of HHS to establish and communicate most-favored-nation price targets to manufacturers, including through rulemaking if voluntary efforts by manufacturers prove inadequate. Additionally, the Executive Order instructs the Department of Commerce and the U.S. Trade Representative to take action against foreign countries that engage in practices suppressing drug prices below fair market value, which could lead to additional pricing pressures or prompt regulatory changes in foreign markets. These measures may have unpredictable consequences on pricing of medicinal products in European countries and may adversely affect our global operations and financial performance. </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Additional laws and regulations governing international operations could negatively impact or restrict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Among other matters, U.S. and foreign anti-corruption, anti-money laundering, export control, sanctions, and other trade laws and regulations, which are collectively referred to as Trade Laws, prohibit companies and their employees, agents, contract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patenting process is expensive and time 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others may be able to make or use compounds that are similar to the compositions of our product candidates but that are not covered by the claims of our patents or those of our licensors;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or our licensors, as the case may be, may fail to meet our obligations to the U.S. government in regards to any in-licensed patents and patent applications funded by U.S. government grants, leading to the loss of patent rights;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or our licensors, as the case may be, might not have been the first to file patent applications for these inventions;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our pending patent applications will not result in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not be able to extend the patent term in some jurisdictions;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there are prior public disclosures that could invalidate our or our licensors’ patents, as the case may be, or parts of our or their patents;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others may circumvent our owned or in-licensed patents or regulatory intellectual property rights such as our data protection, orphan market exclusivity and others;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there are unpublished applications or patent applications maintained in secrecy that may later issue with claims covering our products or technology similar to ours;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laws of foreign countries may not protect our or our licensors’, as the case may be, proprietary rights to the same extent as the laws of the United States;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claims of our owned or in-licensed issued patents or patent applications, if and when issued, may not cover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have engaged in scientific collaborations in the past and will continue to do so in the future. Such collaborators may develop adjacent or competing products to ours that are outside the scope of our patents;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not develop additional proprietary technologies for which we can obtain patent protection;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product candidates or diagnostic tests we develop may be covered by third parties’ patents or other exclusive rights; or</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enter into license or other collaboration agreements that may impose certain obligations on us. If we fail to comply with our obligations under such agreements with third parties, we could lose license rights that may be important to our future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our efforts to expand our pipeline of product candidates, we may enter into certain licenses or other collaboration agreements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Moreover, disputes may arise regarding intellectual property subject to a licensing agreement,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extent to which our product candidates, technology and processes infringe on intellectual property of the licensor that is not subject to the licensing agreement;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sublicensing of patent and other rights under our collaborative development relationships;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would be harmed.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 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Third-party claims of intellectual property infringement may prevent or delay our product discovery and development efforts.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 third party claims that we infringe its intellectual property rights, we may face a number of issues, including, but not limited to:</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infringement and other intellectual property claims which, regardless of merit, may be expensive and time consuming to litigate and may divert our management’s attention from our core business;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court prohibiting us from developing, manufacturing, marketing or selling our product candidates, or from using our proprietary technologies, unless the third party licenses its product rights to us, which it is not required to do;</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redesigning our product candidates or processes so they do not infringe, which may not be possible or may require substantial monetary expenditures and time.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Third parties may assert that we are employing their proprietary technology without authorization.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Third parties may assert that our employees or consultants have wrongfully used or disclosed confidential information or misappropriated trade secrets.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not be successful in obtaining or maintaining necessary rights to develop any future product candidates on acceptable terms.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our programs may involve product candidates that may require the use of proprietary rights held by third parties, the growth of our business may depend in part on our ability to acquire, in-license or use these proprietary rights.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licensing and acquisition of third-party intellectual property rights is a competitive area, and companies, which may be more established, or have greater resources than we do, may also be pursuing strategies to license or acquire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or the patents of our licensors, which could be expensive, time consuming and unsuccessful.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choose to challenge the patentability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or EPO, or other foreign patent office.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Any patents covering our product candidates could be found invalid or unenforceable if challenged in court or the USPTO (or foreign patent offices).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2045, without taking into account any possible patent term adjustments or extensions. However, we cannot be assured that the USPTO, EPO or other relevant foreign patent offices will grant any of these patent applications.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Changes in patent law in the U.S. and in foreign jurisdictions could diminish the value of patents in general, thereby impairing our ability to protect our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have limited foreign intellectual property rights and may not be able to protect our intellectual property rights throughout the world.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our product candidates for an adequate amount of time.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the EU level, the Court of Justice of the EU (CJEU), has recently narrowed the availability of patent term extension for second medical use therefore affecting the scope of patent protection available. </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data exclusivity and orphan exclusivity for any product candidates we may develop, our business may be materially harmed.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Depending upon the timing, duration, and specifics of any FDA or foreign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will affect the existing period of regulatory protection afforded to medicinal products in the European Union.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 It should be noted that the European Commission’s new proposed legislation, if implemented, will also affect the current EU legal framework of pediatric medicines as well as the framework applicable to patent term extension, also called Supplementary Protection Certificates (SPCs).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 to our competitive advantage.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others may be able to make drug candidates that are similar to ours but that are not covered by the claims of the patents that we own or have exclusively licensed;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our pending patent applications will not lead to issued patents;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not develop additional proprietary technologies that are patentable;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claims of any patent issuing based on our patent applications may not provide protection against competitors or any competitive advantages, or may be challenged by third parties;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if enforced, a court may not hold that our patents are valid, enforceable and/or infringed;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 xml:space="preserve">we may fail to adequately protect and police our trademarks and trade secrets;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 parties may independently develop the technology covered by our trade secrets;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significantly harm our business, financial condition, results of operations, and prospects.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health epidemics and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third-party CROs or others terminate, we may not be able to enter into arrangements with alternative CROs or other third parties or to do so on commercially reasonable terms.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rely on third parties for tissue samples and other materials required for our research and development activities, and if we are unable to reach agreements with these third parties our research and development activities would be delayed.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possibly impaired.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severe weather events, natural disasters, trade policies or challenging macroeconomic conditions, including the effects of health epidemics and pandemics, such as COVID-19. In addition, we rely on vendors in foreign jurisdictions, including China, for our clinical drug supply. The tensions between the United States and China have led to a series of tariffs and sanctions being imposed by the United States on imports from China mainland, as well as other business restrictions. Geopolitical developments may lead to further developments with respect to the imposition or threat of imposition of trade policies, tariffs, export controls, capital controls, taxes and other limitations on cross-border operations. If our supply chain is interrupted for business or geopolitical reasons, the development of our product candidates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our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an inability to initiate or continue clinical trials of product candidates under development;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delay in submitting regulatory applications, or receiving regulatory approvals, for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loss of the cooperation of an existing or future collaborator;</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subjecting third-party manufacturing facilities or our manufacturing facilities to additional inspections by regulatory authorities;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requirements to cease distribution or to recall batches of our product candidates;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 the event of approval to market and commercialize a product candidate, an inability to meet commercial demands for our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sole suppliers for the manufacture of our product candidates. If these sole suppliers are unable to supply to us in the quantities we require, or at all, or otherwise defaults on its supply obligations to us, we may not be able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are unable to enter into new collaborations, or if these collaborations are not successful, our business could be adversely affected.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future collaborations we enter into may pose a number of risks, including the following: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have significant discretion in determining the efforts and resources that they will apply;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not perform their obligations as expected;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fail to comply with applicable regulatory requirements regarding the development, manufacture, distribution or marketing of a product candidate or product;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with marketing and distribution rights to one or more of our product candidates that achieve regulatory approval may not commit sufficient resources to the marketing and distribution of such product or products;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 consuming and expensive;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infringe the intellectual property rights of third parties, which may expose us to litigation and potential liability;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if a collaborator of ours is involved in a business combination, the collaborator might deemphasize or terminate the development or commercialization of any product candidate licensed to it by us;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collaborations may be terminated by the collaborator, and, if terminated, we could be required to raise additional capital to pursue further development or commercialization of the applicable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face significant competition in seeking appropriate collaborators for our product candidates, and the negotiation process is time 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 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Our suppliers and any future collaborators may need assurances that our financial resources and stability on a stand-alone basis are sufficient to satisfy their requirements for doing or continuing to do business with us.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Managing Our Business and Operations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encounter difficulties in managing our growth, which could adversely affect our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identifying, recruiting, integrating, retaining and motivating additional employees;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managing our development and commercialization efforts effectively, including the clinical and FDA review process for any product candidates, while complying with our contractual obligations to contractors and other third parties;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improving our operational, financial and management controls, reporting systems and procedures.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not able to effectively expand our organization by hiring new employees and expanding our groups of consultants and contractors, we may not be able to successfully implement the tasks necessary to further develop and commercialize any product candidates and, accordingly, may not achieve our research, development and commercialization goals.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key members of our senior management and executive team. The loss of the services of any of our executive officers, other key employees and other scientific and medical advisors, and our inability to find suitable replacements could result in delays in product development and harm our business. In addition, on May 1, 2025, we announced a strategic restructuring that reduced our then-current workforce by approximately 45%. The current restructuring plan, which was completed by the end of the third quarter of 2025, is intended to reduce our costs and preserve cash reserves following the discontinuation of BEACON-IPF. However, this restructuring may increase our dependence on the remaining key members of our senior management and executive team and could result in other unintended consequences and costs, such as the loss of institutional knowledge and expertise, decreased morale or attrition among our remaining employees, and the risk that we may not achieve the anticipated benefits of the reduction in force.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 These challenges may be intensified following our discontinuations of BEACON-IPF and our development of bexotegrast for IPF and workforce reduction, any of which could harm our ability to attract and retain qualified management, scientific and medical personnel who are critical to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research facilities or the manufacturing facilities of our third-party contract manufacturers, or that otherwise disrupted operations, it may be difficult or, in certain cases, impossible, for us to continue our business for a substantial period of time.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employees, independent contractors, consultants, commercial partners, collaborators and vendors may engage in misconduct or other improper activities, including noncompliance with regulatory standards and requirements.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use and generate materials that may expose us to material liability.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Compliance with governmental regulations regarding the treatment of animals used in research could increase our operating costs, which would adversely affect the commercialization of our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tax credit carryforwards may be subject to limitation.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2024, we had net operating loss carryforwards for U.S. federal and state income tax purposes of $318.7 million and $397.9 million, respectively, some of which will begin to expire in 2035. As of December 31, 2024, we also had available tax credit carryforwards for U.S. federal income tax purposes of $40.5 million, which begin to expire in 2036, and state income tax purposes of $9.1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2024,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The price of our stock may be volatile, and you could lose all or part of your investment.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commencement, enrollment or results of preclinical and clinical trials for our product candidates conducted by us or our collaborators;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any delay in identifying and advancing a clinical candidate for our other development programs;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adverse results or delays in future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adverse regulatory decisions, including failure to receive regulatory approval of any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changes in laws or regulations applicable to any product candidates, including but not limited to clinical trial requirements for approvals;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adverse developments concerning our manufacturers;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inability to obtain adequate product supply for any approved product or inability to do so at acceptable prices;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to secure a positive health technology assessment recommendation;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inability to establish collaborations, if needed;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failure to commercialize our product candidates, if approved;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additions or departures of key scientific or management personnel;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unanticipated serious safety concerns related to the use of any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introduction of new products or services offered by us or our competitors;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actual or anticipated variations in quarterly operating results;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cash position;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publication of research reports about us or our industry, or product candidates in particular, or positive or negative recommendations or withdrawal of research coverage by securities analysts;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changes in the market valuations of similar companies;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changes in the structure of the healthcare payment systems;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sales of our common stock by us or our stockholders in the future;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trading volume of our common stock;</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changes in accounting practices;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ineffectiveness of our internal controls;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significant lawsuits, including patent or stockholder litigation;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general political and economic conditions;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 events or factors, many of which are beyond our control.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effects of health epidemics and pandemics, such as COVID-19, geopolitical events, such as the Russian invasion of Ukraine, conflict in the Middle East and related global escalation of geopolitical tensions, domestic or international trade policies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do not intend to pay dividends on our common stock so any returns will be limited to the value of our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executive officers, directors and their affiliates and our principal stockholders own a significant percentage of our stock and will be able to exert significant control over matters subject to stockholder approval.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executive officers, directors and our principal stockholders beneficially hold a significant portion of our voting stock. These stockholders, acting together, may be able to significantly influence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there are substantial sales of shares of our common stock, the price of our common stock could decline.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Anti-takeover provisions under our charter documents, our stockholder rights plan,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requirement that special meetings of stockholders be called only by the board of directors acting pursuant to a resolution approved by the affirmative vote of a majority of the directors then in office;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advance notice requirements for stockholder proposals and nominations for election to our board of directors;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stockholder rights plan also may have certain anti-takeover effects. Specifically, the rights issued pursuant to the plan will cause substantial dilution to a person or group that acquires beneficial ownership of more than a specified percentage of our outstanding common stock without the prior approval of our Board of Directors. The rights plan is not intended to interfere with any merger or other business combination approved by the Board, but the rights plan may deter certain parties from pursuing strategic transactions involving us, including potential acquisitions.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we are incorporated in Delaware, we are governed by the provisions of Section 203 of the General Corporation Law of the State of Delaware, or the DGCL, which may prohibit certain business combinations with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bylaws designate certain courts as the exclusive forum for certain litigation that may be initiated by our stockholders, which could limit our stockholders’ ability to litigate disputes with us in a different judicial forum.</w:t>
      </w:r>
    </w:p>
    <w:p>
      <w:pPr>
        <w:pStyle w:val="TextBody"/>
        <w:bidi w:val="0"/>
        <w:spacing w:lineRule="auto" w:line="288" w:before="120" w:after="283"/>
        <w:ind w:left="0" w:right="0" w:firstLine="450"/>
        <w:jc w:val="left"/>
        <w:rPr/>
      </w:pPr>
      <w:r>
        <w:rPr>
          <w:rFonts w:ascii="Times New Roman;serif" w:hAnsi="Times New Roman;serif"/>
          <w:b w:val="false"/>
          <w:color w:val="231F20"/>
          <w:sz w:val="20"/>
        </w:rPr>
        <w:t>P</w:t>
      </w:r>
      <w:r>
        <w:rPr>
          <w:rFonts w:ascii="Times New Roman;serif" w:hAnsi="Times New Roman;serif"/>
          <w:b w:val="false"/>
          <w:color w:val="000000"/>
          <w:sz w:val="20"/>
        </w:rPr>
        <w:t>ursuant to our bylaws,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or (vi) any other action asserting an “internal corporate claim” as defined in Section 115 of the DGCL,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20" w:after="283"/>
        <w:jc w:val="left"/>
        <w:rPr/>
      </w:pPr>
      <w:r>
        <w:rPr>
          <w:rFonts w:ascii="Times New Roman;serif" w:hAnsi="Times New Roman;serif"/>
          <w:b/>
          <w:color w:val="231F20"/>
          <w:sz w:val="20"/>
        </w:rPr>
        <w:t>General</w:t>
      </w:r>
      <w:r>
        <w:rPr>
          <w:color w:val="231F20"/>
        </w:rPr>
        <w:t xml:space="preserve"> </w:t>
      </w:r>
      <w:r>
        <w:rPr>
          <w:rFonts w:ascii="Times New Roman;serif" w:hAnsi="Times New Roman;serif"/>
          <w:b/>
          <w:color w:val="231F20"/>
          <w:sz w:val="20"/>
        </w:rPr>
        <w:t>Risk Factors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to disclose changes made in our internal controls and procedures on a quarterly basis. 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price of our common stock to decline, and we may be subject to investigation or sanctions by the SEC. In addition, if we are unable to continue to meet these requirements, we may not be able to remain listed on Nasdaq. </w:t>
      </w:r>
    </w:p>
    <w:p>
      <w:pPr>
        <w:pStyle w:val="TextBody"/>
        <w:bidi w:val="0"/>
        <w:spacing w:lineRule="auto" w:line="288" w:before="120" w:after="283"/>
        <w:ind w:left="0" w:right="0" w:firstLine="450"/>
        <w:jc w:val="left"/>
        <w:rPr>
          <w:rFonts w:ascii="Times New Roman;serif" w:hAnsi="Times New Roman;serif"/>
          <w:b/>
          <w:i/>
          <w:color w:val="231F20"/>
          <w:sz w:val="20"/>
        </w:rPr>
      </w:pPr>
      <w:r>
        <w:rPr>
          <w:rFonts w:ascii="Times New Roman;serif" w:hAnsi="Times New Roman;serif"/>
          <w:b/>
          <w:i/>
          <w:color w:val="231F20"/>
          <w:sz w:val="20"/>
        </w:rPr>
        <w:t>Our disclosure controls and procedures may not prevent or detect all errors or acts of fraud.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288" w:before="120" w:after="283"/>
        <w:ind w:left="0" w:right="0" w:firstLine="450"/>
        <w:jc w:val="left"/>
        <w:rPr/>
      </w:pPr>
      <w:r>
        <w:rPr>
          <w:rFonts w:ascii="Times New Roman;serif" w:hAnsi="Times New Roman;serif"/>
          <w:b/>
          <w:i/>
          <w:color w:val="000000"/>
          <w:sz w:val="20"/>
        </w:rPr>
        <w:t>Our issuance of additional capital stock in connection with financings, acquisitions, investments, our stock incentive plans or otherwise will dilute all other stockholders</w:t>
      </w:r>
      <w:r>
        <w:rPr>
          <w:rFonts w:ascii="Times New Roman;serif" w:hAnsi="Times New Roman;serif"/>
          <w:b/>
          <w:i/>
          <w:color w:val="231F20"/>
          <w:sz w:val="20"/>
        </w:rPr>
        <w:t>.</w:t>
      </w:r>
    </w:p>
    <w:p>
      <w:pPr>
        <w:pStyle w:val="TextBody"/>
        <w:bidi w:val="0"/>
        <w:spacing w:lineRule="auto" w:line="288" w:before="120" w:after="283"/>
        <w:ind w:left="0" w:right="0" w:firstLine="450"/>
        <w:jc w:val="left"/>
        <w:rPr/>
      </w:pPr>
      <w:r>
        <w:rPr>
          <w:rFonts w:ascii="Times New Roman;serif" w:hAnsi="Times New Roman;serif"/>
          <w:b w:val="false"/>
          <w:color w:val="000000"/>
          <w:sz w:val="20"/>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In July 2021, we entered into the</w:t>
      </w:r>
      <w:r>
        <w:rPr>
          <w:color w:val="000000"/>
        </w:rPr>
        <w:t xml:space="preserve"> </w:t>
      </w:r>
      <w:r>
        <w:rPr>
          <w:rFonts w:ascii="Times New Roman;serif" w:hAnsi="Times New Roman;serif"/>
          <w:b w:val="false"/>
          <w:color w:val="000000"/>
          <w:sz w:val="20"/>
        </w:rPr>
        <w:t>Sales Agreement (the “Sales Agreement”) with Cantor Fitzgerald &amp; Co., as sales agent, pursuant to which we may issue and sell shares of common stock from time to time. On March 27, 2023, we filed a registration statement on Form S-3 (File No. 333-270862) which included a sales agreement prospectus registering the offer and sale of up to $150.0 million of shares under the Sales Agreement (the Sales Agreement Prospectus).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incur significant increased costs as a result of operating as a public company, and our management is required to devote substantial time to new compliance initiatives.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incur substantial costs in our efforts to comply with evolving global data protection laws and regulations, and any failure or perceived failure by us to comply with such laws and regulations may harm our business and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Numerous federal and state laws and regulations, including the Health Insurance Portability and Accountability Act (HIPAA) and the Health Information Technology for Economic and Clinical Health Act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HHS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recently passed the “My Health My Data Act” which regulates “consumer health data” which is defined as “personal information that is linked or reasonably linkable to a consumer and that identifies a consumer’s past, present, or future physical or mental health.” The “My Health My Data Act” provides exemptions for PHI as well as personal data used or shared in research, including data subject to 45 C.F.R. Parts 46, 50, and 56. Other states, such as Connecticut, Nevada, and Maryland have also enacted privacy legislation with particular provisions for consumer health data, and additional states may adopt health-specific requirements that could impact our business activities depending on how they are interpreted.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encounter vendors that engage in information blocking practices that may inhibit our ability to access the relevant data on behalf of clients or impose new or additional costs. In 2020, the U.S. Department of Health and Human Services’ Office of the National Coordinator for Health Information Technology (ONC) and the CMS promulgated final rules to support access, exchange, and use of electronic health information (EHI). Specifically, the information blocking rules were implemented as part of the 21st Century Cures Act, and are primarily designed to facilitate technology interoperability and enable the free flow of healthcare information for healthcare treatment, payment or operation purposes. On June 27, 2023, the Department of Health and Human Services Office of the Inspector General (HHS-OIG) published its final rule implementing information blocking penalties for “actors,” which is supplemented by ONC’s January 9, 2024 final rule enhancing certain blocking requirements. HHS-OIG may impose penalties for information blocking that has occurred after September 1, 2023, and ONC and HHS proposed a rule on November 1, 2023 listing certain disincentives for actors that conduct information blocking. On September 5, 2025, HHS announced an initiative to increase enforcement focus on the information blocking rule. The impact on the information blocking rules to our business is currently unclear.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California passed the California Consumer Protection Act of 2018, or the CCPA, which went into effect in January 2020 and provides data privacy rights for consumers and operational requirements for companies. In addition, the CCPA was expanded on January 1, 2023, when the California Privacy Rights Act of 2020, or the CPRA, became operative. The CCPA, and its later amendments through the CPRA, gives California residents expanded data privacy rights, such as rights to access and delete their personal information, opt out of certain personal information sharing, and the ability to limit use of certain sensitive personal information in certain contexts, among other privacy right.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intentional violations of the CCPA, and the CPRA established a new California Privacy Protection Agency to implement the law through additional regulations and enforcement. While there is currently an exception for protected health information that is subject to HIPAA and other personal information subject to clinical trial regulations, as currently written, the CCPA may impact certain of our business activities. Additionally, this exception does not apply to the private cause of action afforded to individuals for information security incidents. Compliance with the CCPA may increase our compliance costs and potential liability, and impact our business activities depending on how it is interpreted. In the interim, implementing the evolving CPRA regulations will require additional investment in compliance programs and potential modifications to business processes.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Multiple other states have followed California and enacted comprehensive privacy laws. Additionally, multiple states have enacted or are considering similar legislation which will go into effect in the coming years, and Congress continues to consider federal privacy legislation. While these proposals and new laws generally include exemptions for HIPAA-covered and clinical trial data, they add layers of complexity to compliance in the U.S. market, and could increase our compliance costs and adversely affect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The FTC has also been active with respect to enforcement of its Health Breach Notification Rule and in scrutinizing the use and disclosure of sensitive personal information. The FTC finalized changes to the Health Breach Notification Rule in April 2024.</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HHS, pursuant to legislation passed in 2021, issued guidance on recognized security practices for covered entities and business associates. HHS indicated that recognized security practices will not be an aggravating factor in HHS investigations, but that implementation of recognized security practices strengthen an organization’s cybersecurity and regulatory posture, as well as possibly lessening enforcement penalties in a potential regulatory enforcement.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operations in the United States, which may be subject to healthcare and other laws relating to the privacy and security of health information and other personal data, we may seek to conduct clinical trials in the EEA/UK and may become subject to additional EEA/UK data privacy laws, regulations and guidelines.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the processing of personal data (i.e., data which identifies an individual or from which an individual is identifiable) is governed by the EU General Data Protection Regulation 2016/679 (EU GDPR). The U.K. has implemented the EU GDPR as the U.K. GDPR (together with the EU GDPR, the GDPR) which sits alongside the U.K. Data Protection Act 2018 (as amended). The GDPR has direct effect where an entity is established in the EEA or the U.K. (as applicable) and has extra-territorial effect where an entity established outside of the EEA or the UK processes personal data in relation to the offering of goods or services to individuals in the EEA and/or the UK or the monitoring of their behavior.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GDPR imposes obligations on controllers, including, among others: (i) accountability and transparency requirements, requiring controllers to demonstrate and record compliance with the GDPR and to provide detailed information to individuals regarding the processing of their personal data (e.g., via informed consent forms); (ii) requirements to process personal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lawfully including specific requirements for obtaining valid consent where consent is the lawful basis for processing; (iii) obligations to consider data protection when any new products or services are developed and designed (including e.g., to limit the amount of personal data processed); (iv) obligations to comply with individuals’ data protection rights; and (v) an obligation to report certain personal data breaches to the competent data protection authority and affected individuals.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EU GDPR prohibits the international transfer of personal data from the EEA to jurisdictions that the European Commission does not recognize as having an ‘adequate’ level of data protection unless a data transfer mechanism has been put in place or a derogation under the EU GDPR can be relied on. In July 2020, the CJEU in its Schrems II judgement limited how organizations could lawfully transfer personal data from the EEA to the U.S. by invalidating the EU-U.S. Privacy Shield for purposes of international transfers and imposing further restrictions on the use of standard contractual clauses (EU SCCs), including a requirement for companies to carry out a transfer privacy impact assessment (TIA). A TIA, among other things, assesses laws governing access to personal data in the recipient country. On 10 July 2023, the European Commission adopted its Final Implementing Decision granting the U.S. adequacy (Adequacy Decision) for EU-U.S. transfers of personal data for entities self-certified to the new Trans-Atlantic Data Privacy Framework (DPF). Entities relying on EU SCCs for transfers to the U.S. are also able to rely on the analysis in the Adequacy Decision as support for their TIA regarding the equivalence of U.S. national security safeguards and redress.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U.K. GDPR also imposes similar restrictions on transfers of personal data from the U.K. to jurisdictions that the U.K. Government does not consider adequate, including the US. The U.K. Government has published its own form of the EU SCCs, known as the International Data Transfer Agreement and an International Data Transfer Addendum to the new EU SCCs. The U.K. Information Commissioner’s Office (ICO) has also published its own version of the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DPF.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Data protection supervisory authorities have the power under the GDPR to (amongst other things) impose fines for serious breaches of up to the higher of 4% of the organization’s annual worldwide turnover or €20m (under the EU GDPR) or £17.5m (under the U.K. GDPR). Individuals also have a right to compensation, as a result of an organization’s breach of the GDPR which has affected them, for financial or non-financial losses (e.g., distress).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in the past conducted, and in the future may commence, clinical trials in the EEA, the U.K. and Switzerland. In the event we commence clinical trials in these jurisdictions, applicable data protection laws may increase our responsibility and liability in relation to personal data that we process, and we may be required to put in place additional mechanisms and safeguards to ensure compliance, including as implemented by member states in the European Union.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or Swiss privacy laws will be sufficient. Further, as the EU GDPR may be implemented differently in national laws of member states of the European Union, we may face additional costs associated with complying with potentially varying data protection requirements in these member states.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investigated by a European or Swiss data protection authority, we may face fines and other penalties. Any such investigation or charges by European or Swiss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European Health Data Space Regulations (the "EHDS Regulations") came into force on March 26, 2025. The aims of the EHDS Regulations are to provide individuals with more control over their electronic health data, enable cross-border sharing of European Health Data ("EHD") between national EU healthcare systems and facilitate the sharing of EHD for secondary research purposes. The EHDS Regulations impose new obligations, but also create opportunities for companies engaged in health-related research to share and access health data on a large scale. Although the EHDS Regulations have come into force, key obligations will not apply until March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will be required for authorization of drug products covering the U.K. or Great Britain only. In addition, the MHRA has launched new procedures designed to accelerate the marketing authorization application process including the Innovative Licensing and Access Pathway (ILAP) and the International Recognition Procedure. The ILAP is an accelerated assessment procedure for marketing authorization applications facilitating the early interaction with pricing authorities and HTA bodies which aims to enable companies to enter the U.K. market faster. In January 2024, the MHRA also launched a new International Recognition Procedure for Great Britain (England, Scotland and Wales) marketing authorization applications whereby the MHRA will, when considering such applications, recognize the approval of medicines by trusted reference regulators in Australia, Canada, Switzerland, Singapore, Japan, United States and EU following its own abbreviated assessment.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TCA allows for future deviation from the current regulatory framework and it is not known if and/or when any deviations may occur, which may have an impact on development, manufacture, marketing authorization, commercial sales and distribution of pharmaceutical products. The U.K. Government and the EU recently adopted a new agreement, the “Windsor Framework,” which amended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were implemented on January 1, 2025.</w:t>
      </w:r>
    </w:p>
    <w:p>
      <w:pPr>
        <w:pStyle w:val="TextBody"/>
        <w:bidi w:val="0"/>
        <w:spacing w:lineRule="auto" w:line="288" w:before="120" w:after="283"/>
        <w:ind w:left="0" w:right="0" w:firstLine="450"/>
        <w:jc w:val="left"/>
        <w:rPr>
          <w:rFonts w:ascii="Times New Roman;serif" w:hAnsi="Times New Roman;serif"/>
          <w:b/>
          <w:i/>
          <w:color w:val="231F20"/>
          <w:sz w:val="20"/>
        </w:rPr>
      </w:pPr>
      <w:r>
        <w:rPr>
          <w:rFonts w:ascii="Times New Roman;serif" w:hAnsi="Times New Roman;serif"/>
          <w:b/>
          <w:i/>
          <w:color w:val="231F20"/>
          <w:sz w:val="20"/>
        </w:rPr>
        <w:t>Changes in U.S. tax law could adversely affect our financial condition and results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information systems, or those of our collaborators or other contractors or consultants, may fail or suffer security breaches, which could result in a material disruption of our product development programs.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information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or those of our collaborators, vendors, contractors or consultants, it could result in a disruption of our development programs and our business operations, whether due to a loss of our trade secrets or other proprietary information or other similar disruptions, as well as reputational harm and adverse legal and regulatory consequences.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subject to cybersecurity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While we have not experienced, to date, a cybersecurity threat, including as a result of any previous cybersecurity incidents, that has materially affected or is reasonably likely to materially affect us, including our business strategy, results of operations, or financial condition, we cannot guarantee that we will not experience such a threat or incident in the future. If a material breach of, or accidental or intentional loss of data from, our information technology systems or those of our vendors occurs, the market perception of the effectiveness of our security measures could be harmed and our reputation and credibility could be damaged and we could be subject to adverse legal and regulatory consequences. We could be required to expend significant amounts of money and other resources to repair or replace information systems or networks.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Unfavorable global economic conditions could adversely affect our business, financial condition or results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due to factors including the effects of health epidemics and pandemics, such as COVID-19, geopolitical events, such as the Russian invasion of Ukraine, conflict in the Middle East and related global escalation of geopolitical tensions, inflationary pressures, interest rates volatility and domestic or international trade policy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283"/>
        <w:ind w:left="0" w:right="0" w:firstLine="450"/>
        <w:jc w:val="left"/>
        <w:rPr>
          <w:rFonts w:ascii="Times New Roman;serif" w:hAnsi="Times New Roman;serif"/>
          <w:b/>
          <w:i/>
          <w:color w:val="231F20"/>
          <w:sz w:val="20"/>
        </w:rPr>
      </w:pPr>
      <w:r>
        <w:rPr>
          <w:rFonts w:ascii="Times New Roman;serif" w:hAnsi="Times New Roman;serif"/>
          <w:b/>
          <w:i/>
          <w:color w:val="231F20"/>
          <w:sz w:val="20"/>
        </w:rPr>
        <w:t>Use of social media platforms presents risks and challenges.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Social media is a medium through which we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23, 2025, Bernard Coulie, our Chief Executive Officer, adopted a trading plan, or the Coulie 10b5-1 Sales Plan, intended to satisfy the affirmative defense of Rule 10b5-1(c) under the Exchange Act. Under the Coulie 10b5-1 Sales Plan, which goes into effect on January 19, 2026, an aggregate of 81,756 shares of the Company's common stock (the "Coulie Authorized Shares") may be sold. The Coulie 10b5-1 Sales Plan, which was entered into during an open trading window under the Company's insider trading policy, will be in effect until the earlier of (1) December 31, 2026 or (2) the date on which all Coulie Authorized Shares have been sold under the Coulie 10b5-1 Sales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63"/>
        <w:gridCol w:w="230"/>
        <w:gridCol w:w="232"/>
        <w:gridCol w:w="109"/>
        <w:gridCol w:w="109"/>
        <w:gridCol w:w="109"/>
        <w:gridCol w:w="2759"/>
        <w:gridCol w:w="2634"/>
        <w:gridCol w:w="3760"/>
      </w:tblGrid>
      <w:tr>
        <w:trPr/>
        <w:tc>
          <w:tcPr>
            <w:tcW w:w="2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 of the Registrant, as currently in effect (incorporated by reference to Exhibit 3.1 of the Registrant’s quarterly report on Form 10-Q (File No. 001-39303) filed on August 11, 2020).</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the Amended and Restated Certificate of Incorporation of the Registrant, as currently in effect (incorporated by reference to Exhibit 3.1 of the Registrant's Current Report on Form 8-K (File No. 001-39303) filed on June 9, 2025</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Third Amended and Restated Bylaws of the Registrant, as currently in effect (incorporated by reference to Exhibit 3.1 of the Registrant’s Current Report on Form 8-K (File No. 001-39303) filed on September 27, 2024).</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 xml:space="preserve">Certificate of Designation of Series A Junior Participating Preferred Stock (incorporated by reference to Exhibit 3.1 of the Registrant’s Current Form on 8-K (File No. 001-39303) filed March 13, 2025). </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 xml:space="preserve">Specimen Common Stock Certificate (incorporated by reference to Exhibit 4.1 of the Registrant’s Registration Statement on Form S-1, as amended (File No. 333-238146) filed on May 26, 2020). </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Stockholder Rights Agreement, dated as of March 12, 2025, by and between the Company and Computershare Trust Company, N.A., as rights agent (which includes the Form of Rights Certificate as Exhibit B thereto) (incorporated by reference to Exhibit 4.1 to the Company’s Registration Statement on Form 8-A, filed with the Securities and Exchange Commission on March 13, 2025, File No. 001-39303)</w:t>
              </w:r>
            </w:hyperlink>
            <w:r>
              <w:rPr>
                <w:rFonts w:ascii="Times New Roman;serif" w:hAnsi="Times New Roman;serif"/>
                <w:b w:val="false"/>
                <w:color w:val="000000"/>
                <w:sz w:val="20"/>
              </w:rPr>
              <w: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930xex101.htm">
              <w:r>
                <w:rPr>
                  <w:rStyle w:val="InternetLink"/>
                  <w:rFonts w:ascii="Times New Roman;serif" w:hAnsi="Times New Roman;serif"/>
                  <w:b w:val="false"/>
                  <w:color w:val="0000FF"/>
                  <w:sz w:val="20"/>
                  <w:u w:val="single"/>
                </w:rPr>
                <w:t>10.1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930xex101.htm">
              <w:r>
                <w:rPr>
                  <w:rStyle w:val="InternetLink"/>
                  <w:rFonts w:ascii="Times New Roman;serif" w:hAnsi="Times New Roman;serif"/>
                  <w:b w:val="false"/>
                  <w:color w:val="0000FF"/>
                  <w:sz w:val="20"/>
                  <w:u w:val="single"/>
                </w:rPr>
                <w:t>Pliant Therapeutics, Inc. Bonus Agreement dated August 5, 2025, by and between the Registrant and Hans Hull</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930x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930xex311.htm">
              <w:r>
                <w:rPr>
                  <w:rStyle w:val="InternetLink"/>
                  <w:rFonts w:ascii="Times New Roman;serif" w:hAnsi="Times New Roman;serif"/>
                  <w:b w:val="false"/>
                  <w:color w:val="0000FF"/>
                  <w:sz w:val="20"/>
                  <w:u w:val="single"/>
                </w:rPr>
                <w:t>Certification of Chief Executive Officer required by Rule 13a-14(a) or Rule 15d-14(a) of the Securities Exchange Act of 1934, as adopted pursuant to Section 302 of the Sarbanes-Oxley Act of 2002.</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930x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930xex312.htm">
              <w:r>
                <w:rPr>
                  <w:rStyle w:val="InternetLink"/>
                  <w:rFonts w:ascii="Times New Roman;serif" w:hAnsi="Times New Roman;serif"/>
                  <w:b w:val="false"/>
                  <w:color w:val="0000FF"/>
                  <w:sz w:val="20"/>
                  <w:u w:val="single"/>
                </w:rPr>
                <w:t>Certification of Chief Financial Officer required by Rule 13a-14(a) or Rule 15d-14(a) of the Securities Exchange Act of 1934, as adopted pursuant to Section 302 of the Sarbanes-Oxley Act of 2002.</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930xex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50930xex321.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the Registrant has duly caused this report to be signed on its behalf by the undersigned, thereunto duly authorized.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2025 </w:t>
      </w:r>
    </w:p>
    <w:tbl>
      <w:tblPr>
        <w:tblW w:w="635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429"/>
        <w:gridCol w:w="429"/>
        <w:gridCol w:w="429"/>
        <w:gridCol w:w="1258"/>
        <w:gridCol w:w="1258"/>
        <w:gridCol w:w="1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PLIANT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Bernard Coulie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 Coulie,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Keith Cummings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36"/>
        </w:rPr>
      </w:pPr>
      <w:r>
        <w:rPr>
          <w:rFonts w:ascii="Times New Roman;serif" w:hAnsi="Times New Roman;serif"/>
          <w:b/>
          <w:color w:val="000000"/>
          <w:sz w:val="36"/>
        </w:rPr>
        <w:t>Pliant Therapeutics, Inc. Bonus Agreement</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August 5, 2025</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Hans Hull</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Dear Hans,</w:t>
      </w:r>
    </w:p>
    <w:p>
      <w:pPr>
        <w:pStyle w:val="TextBody"/>
        <w:bidi w:val="0"/>
        <w:spacing w:lineRule="auto" w:line="300" w:before="0" w:after="160"/>
        <w:jc w:val="left"/>
        <w:rPr/>
      </w:pPr>
      <w:r>
        <w:rPr>
          <w:rFonts w:ascii="Times New Roman;serif" w:hAnsi="Times New Roman;serif"/>
          <w:b w:val="false"/>
          <w:color w:val="000000"/>
          <w:sz w:val="22"/>
        </w:rPr>
        <w:t>In consideration of your past and future services to Pliant Therapeutics, Inc. (the “Company”) and its affiliates, the Company is pleased to offer you the opportunity to earn a cash bonus following the achievement of the Performance Milestone (as defined below) in an amount equal to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“Award”). The Award is subject to the terms and conditions provided below. </w:t>
      </w:r>
    </w:p>
    <w:p>
      <w:pPr>
        <w:pStyle w:val="TextBody"/>
        <w:bidi w:val="0"/>
        <w:spacing w:lineRule="auto" w:line="300" w:before="0" w:after="160"/>
        <w:jc w:val="left"/>
        <w:rPr/>
      </w:pPr>
      <w:r>
        <w:rPr>
          <w:rFonts w:ascii="Times New Roman;serif" w:hAnsi="Times New Roman;serif"/>
          <w:b w:val="false"/>
          <w:color w:val="000000"/>
          <w:sz w:val="22"/>
        </w:rPr>
        <w:t>If, on or prior to December 31, 2025, the Company</w:t>
      </w:r>
      <w:r>
        <w:rPr>
          <w:color w:val="000000"/>
        </w:rPr>
        <w:t xml:space="preserve"> </w:t>
      </w:r>
      <w:r>
        <w:rPr>
          <w:rFonts w:ascii="Times New Roman;serif" w:hAnsi="Times New Roman;serif"/>
          <w:b w:val="false"/>
          <w:color w:val="000000"/>
          <w:sz w:val="22"/>
        </w:rPr>
        <w:t>or one of its subsidiaries [INSERT PERFORMANCE MILESTONE], 25% of your Award will vest on March 31, 2026 and the remaining 75% of your Award will vest on June 30, 2026 (each, a “Vesting Date”), subject to your continued employment in good standing through the applicable Vesting Date. Good standing shall be determined by the Compensation Committee of the Company’s Board of Directors. For the avoidance of doubt, you shall not be considered in good standing if you have provided notice of your resignation, have received a notice of termination due to performance considerations, or are under any disciplinary actions or notices.</w:t>
      </w:r>
    </w:p>
    <w:p>
      <w:pPr>
        <w:pStyle w:val="TextBody"/>
        <w:bidi w:val="0"/>
        <w:spacing w:lineRule="auto" w:line="300" w:before="0" w:after="160"/>
        <w:jc w:val="left"/>
        <w:rPr/>
      </w:pPr>
      <w:r>
        <w:rPr>
          <w:rFonts w:ascii="Times New Roman;serif" w:hAnsi="Times New Roman;serif"/>
          <w:b w:val="false"/>
          <w:color w:val="000000"/>
          <w:sz w:val="22"/>
        </w:rPr>
        <w:t>Each portion of the Award will be paid within sixty (60) days following the</w:t>
      </w:r>
      <w:r>
        <w:rPr>
          <w:color w:val="000000"/>
        </w:rPr>
        <w:t xml:space="preserve"> </w:t>
      </w:r>
      <w:r>
        <w:rPr>
          <w:rFonts w:ascii="Times New Roman;serif" w:hAnsi="Times New Roman;serif"/>
          <w:b w:val="false"/>
          <w:color w:val="000000"/>
          <w:sz w:val="22"/>
        </w:rPr>
        <w:t>applicable Vesting Date, subject to your continued employment in good standing with the Company through</w:t>
      </w:r>
      <w:r>
        <w:rPr>
          <w:color w:val="000000"/>
        </w:rPr>
        <w:t xml:space="preserve"> </w:t>
      </w:r>
      <w:r>
        <w:rPr>
          <w:rFonts w:ascii="Times New Roman;serif" w:hAnsi="Times New Roman;serif"/>
          <w:b w:val="false"/>
          <w:color w:val="000000"/>
          <w:sz w:val="22"/>
        </w:rPr>
        <w:t xml:space="preserve">such Vesting Date (other than as provided below). </w:t>
      </w:r>
    </w:p>
    <w:p>
      <w:pPr>
        <w:pStyle w:val="TextBody"/>
        <w:bidi w:val="0"/>
        <w:spacing w:lineRule="auto" w:line="300" w:before="0" w:after="160"/>
        <w:jc w:val="left"/>
        <w:rPr/>
      </w:pPr>
      <w:r>
        <w:rPr>
          <w:rFonts w:ascii="Times New Roman;serif" w:hAnsi="Times New Roman;serif"/>
          <w:b w:val="false"/>
          <w:color w:val="000000"/>
          <w:sz w:val="22"/>
        </w:rPr>
        <w:t>If, prior to</w:t>
      </w:r>
      <w:r>
        <w:rPr>
          <w:color w:val="000000"/>
        </w:rPr>
        <w:t xml:space="preserve"> </w:t>
      </w:r>
      <w:r>
        <w:rPr>
          <w:rFonts w:ascii="Times New Roman;serif" w:hAnsi="Times New Roman;serif"/>
          <w:b w:val="false"/>
          <w:color w:val="000000"/>
          <w:sz w:val="22"/>
        </w:rPr>
        <w:t>any Vesting Date, your employment is terminated (i) by the Company due to a reduction in force or (ii) by the Company without Cause or due to your resignation for Good Reason on or following the date on which a Change in Control occurs (each, a “Qualifying Termination”), you shall be paid (x) 50% of the Award if the Qualifying Termination occurs prior to the achievement of the Performance Milestone and (y) 100% of the Award if the Qualifying Termination occurs following the achievement of the Performance Milestone, (reduced by any portion of the Award paid prior to such Qualifying Termination). If any portion of</w:t>
      </w:r>
      <w:r>
        <w:rPr>
          <w:color w:val="000000"/>
        </w:rPr>
        <w:t xml:space="preserve"> </w:t>
      </w:r>
      <w:r>
        <w:rPr>
          <w:rFonts w:ascii="Times New Roman;serif" w:hAnsi="Times New Roman;serif"/>
          <w:b w:val="false"/>
          <w:color w:val="000000"/>
          <w:sz w:val="22"/>
        </w:rPr>
        <w:t>the Award becomes payable under this paragraph, it will be paid within sixty (60) days following such Qualifying Termination. Further, if any portion of</w:t>
      </w:r>
      <w:r>
        <w:rPr>
          <w:color w:val="000000"/>
        </w:rPr>
        <w:t xml:space="preserve"> </w:t>
      </w:r>
      <w:r>
        <w:rPr>
          <w:rFonts w:ascii="Times New Roman;serif" w:hAnsi="Times New Roman;serif"/>
          <w:b w:val="false"/>
          <w:color w:val="000000"/>
          <w:sz w:val="22"/>
        </w:rPr>
        <w:t>the Award becomes payable under this paragraph, it shall be subject to your execution and non-revocation of a release of claims in favor of the Company and its affiliates in the time period set forth in the release (but in any event no later than sixty (60) days following your Qualifying Termination). For purposes of this Agreement, “Change in Control,” “Cause” and “Good Reason”</w:t>
      </w:r>
      <w:r>
        <w:rPr>
          <w:color w:val="000000"/>
        </w:rPr>
        <w:t xml:space="preserve"> </w:t>
      </w:r>
      <w:r>
        <w:rPr>
          <w:rFonts w:ascii="Times New Roman;serif" w:hAnsi="Times New Roman;serif"/>
          <w:b w:val="false"/>
          <w:color w:val="000000"/>
          <w:sz w:val="22"/>
        </w:rPr>
        <w:t>shall have the same meanings as set forth in the Company’s Executive Severance Plan</w:t>
      </w:r>
      <w:r>
        <w:rPr>
          <w:color w:val="000000"/>
        </w:rPr>
        <w:t xml:space="preserve"> </w:t>
      </w:r>
      <w:r>
        <w:rPr>
          <w:rFonts w:ascii="Times New Roman;serif" w:hAnsi="Times New Roman;serif"/>
          <w:b w:val="false"/>
          <w:color w:val="000000"/>
          <w:sz w:val="22"/>
        </w:rPr>
        <w:t xml:space="preserve">in effect as of the date of this Agreement. </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This Agreement and the payments hereunder are intended to be exempt from, or compliant with, Section 409A of the U.S. Internal Revenue Code of 1986, as amended from time to time, and any regulations promulgated thereunder (“Section 409A”) and this Agreement shall be limited, construed and interpreted in accordance with such intent. Each payment in a series of payments hereunder shall be deemed to be a separate payment for purposes of Section 409A.With respect to any portion of the Award that would be considered “nonqualified deferred compensation” within the meaning of Section 409A, (i) any reference to “termination of service” (or a similar term), to the extent applicable to determining the timing of any payment, shall mean a “separation from service” under Section 409A; (ii) if at the time of your termination of service, you are a “specified employee” as defined in Section 409A and the deferral of the commencement of any payments or benefits otherwise payable under this Agreement as a result of such </w:t>
      </w:r>
    </w:p>
    <w:p>
      <w:pPr>
        <w:pStyle w:val="TextBody"/>
        <w:bidi w:val="0"/>
        <w:spacing w:before="0" w:after="0"/>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7495"/>
                <wp:effectExtent l="0" t="0" r="0" b="0"/>
                <wp:wrapNone/>
                <wp:docPr id="77" name="Frame77"/>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4904-9362-3639v.9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4904-9362-3639v.9</w:t>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termination of service is necessary in order to prevent any accelerated or additional tax under Section 409A, then the Company will defer the commencement of the payment of any such payments or benefits (without any reduction in such payments or benefits ultimately paid or provided to you) until the first business day that is more than six (6) months following your termination of service (or the earliest date as is permitted under Section 409A without any accelerated or additional tax) and (iii) any payment which is conditioned upon your execution of a release of claims which is to be paid during a designated period that begins in one taxable year and ends in a second taxable year shall be paid in the second taxable year.</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Please note that this Agreement is not intended to guarantee employment for any specific duration and your employment with the Company remains “at will.” The Award shall be subject to taxes and other required deductions. </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Please acknowledge your agreement to the terms contained herein by signing in the space below. </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Thank you for all your hard work and commitment to the Company. </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Lily Cheung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Lily Cheung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Human Resources Officer</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Acknowledged and Agreed to:</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Hans Hull</w: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Date: 8/15/2025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7495"/>
                <wp:effectExtent l="0" t="0" r="0" b="0"/>
                <wp:wrapNone/>
                <wp:docPr id="78" name="Frame7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4904-9362-3639v.9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4904-9362-3639v.9</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Bernard Coulie, certify that: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2025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Keith Cummings, certify that: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bl>
      <w:tblPr>
        <w:tblW w:w="2907" w:type="dxa"/>
        <w:jc w:val="left"/>
        <w:tblInd w:w="0" w:type="dxa"/>
        <w:tblLayout w:type="fixed"/>
        <w:tblCellMar>
          <w:top w:w="28" w:type="dxa"/>
          <w:left w:w="28" w:type="dxa"/>
          <w:bottom w:w="28" w:type="dxa"/>
          <w:right w:w="28" w:type="dxa"/>
        </w:tblCellMar>
      </w:tblPr>
      <w:tblGrid>
        <w:gridCol w:w="917"/>
        <w:gridCol w:w="806"/>
        <w:gridCol w:w="812"/>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September 30, 2025, to which this Certification is attached as Exhibit 32.1 (the “Periodic Report”), fully complies with the requirements of Section 13(a) or Section 15(d) of the Exchange Act; and</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November 6, 2025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07" w:type="dxa"/>
        <w:jc w:val="left"/>
        <w:tblInd w:w="0" w:type="dxa"/>
        <w:tblLayout w:type="fixed"/>
        <w:tblCellMar>
          <w:top w:w="28" w:type="dxa"/>
          <w:left w:w="28" w:type="dxa"/>
          <w:bottom w:w="28" w:type="dxa"/>
          <w:right w:w="28" w:type="dxa"/>
        </w:tblCellMar>
      </w:tblPr>
      <w:tblGrid>
        <w:gridCol w:w="917"/>
        <w:gridCol w:w="806"/>
        <w:gridCol w:w="812"/>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6473/000156459020039327/plrx-ex31_301.htm" TargetMode="External"/><Relationship Id="rId3" Type="http://schemas.openxmlformats.org/officeDocument/2006/relationships/hyperlink" Target="https://www.sec.gov/Archives/edgar/data/0001746473/000156459020039327/plrx-ex31_301.htm" TargetMode="External"/><Relationship Id="rId4" Type="http://schemas.openxmlformats.org/officeDocument/2006/relationships/hyperlink" Target="https://www.sec.gov/Archives/edgar/data/1746473/000174647325000105/certificateofamendmenttoam.htm" TargetMode="External"/><Relationship Id="rId5" Type="http://schemas.openxmlformats.org/officeDocument/2006/relationships/hyperlink" Target="https://www.sec.gov/Archives/edgar/data/1746473/000174647325000105/certificateofamendmenttoam.htm" TargetMode="External"/><Relationship Id="rId6" Type="http://schemas.openxmlformats.org/officeDocument/2006/relationships/hyperlink" Target="https://www.sec.gov/ix?doc=/Archives/edgar/data/1746473/000174647324000153/plrx-20240924.htm" TargetMode="External"/><Relationship Id="rId7" Type="http://schemas.openxmlformats.org/officeDocument/2006/relationships/hyperlink" Target="https://www.sec.gov/ix?doc=/Archives/edgar/data/1746473/000174647324000153/plrx-20240924.htm" TargetMode="External"/><Relationship Id="rId8" Type="http://schemas.openxmlformats.org/officeDocument/2006/relationships/hyperlink" Target="https://www.sec.gov/Archives/edgar/data/1746473/000119312525053509/d860128dex31.htm" TargetMode="External"/><Relationship Id="rId9" Type="http://schemas.openxmlformats.org/officeDocument/2006/relationships/hyperlink" Target="https://www.sec.gov/Archives/edgar/data/1746473/000119312525053509/d860128dex31.htm" TargetMode="External"/><Relationship Id="rId10" Type="http://schemas.openxmlformats.org/officeDocument/2006/relationships/hyperlink" Target="https://www.sec.gov/Archives/edgar/data/1746473/000119312520150643/d729258dex41.htm" TargetMode="External"/><Relationship Id="rId11" Type="http://schemas.openxmlformats.org/officeDocument/2006/relationships/hyperlink" Target="https://www.sec.gov/Archives/edgar/data/0001746473/000119312520150643/d729258dex41.htm" TargetMode="External"/><Relationship Id="rId12" Type="http://schemas.openxmlformats.org/officeDocument/2006/relationships/hyperlink" Target="https://www.sec.gov/Archives/edgar/data/1746473/000119312525053509/d860128dex41.htm" TargetMode="External"/><Relationship Id="rId13" Type="http://schemas.openxmlformats.org/officeDocument/2006/relationships/hyperlink" Target="https://www.sec.gov/Archives/edgar/data/1746473/000119312525053509/d860128dex4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54486</Words>
  <Characters>306124</Characters>
  <CharactersWithSpaces>358904</CharactersWithSpaces>
  <Paragraphs>2566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