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6" w:lineRule="exact"/>
        <w:rPr>
          <w:sz w:val="24"/>
          <w:szCs w:val="24"/>
          <w:color w:val="auto"/>
        </w:rPr>
      </w:pPr>
    </w:p>
    <w:p>
      <w:pPr>
        <w:ind w:left="4140" w:right="1580" w:hanging="4132"/>
        <w:spacing w:after="0" w:line="374" w:lineRule="auto"/>
        <w:tabs>
          <w:tab w:leader="none" w:pos="5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4109720</wp:posOffset>
            </wp:positionH>
            <wp:positionV relativeFrom="paragraph">
              <wp:posOffset>-7620</wp:posOffset>
            </wp:positionV>
            <wp:extent cx="723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001-39303</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PLIANT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20" w:type="dxa"/>
            <w:vAlign w:val="bottom"/>
          </w:tcPr>
          <w:p>
            <w:pPr>
              <w:jc w:val="center"/>
              <w:ind w:left="91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4480" w:type="dxa"/>
            <w:vAlign w:val="bottom"/>
          </w:tcPr>
          <w:p>
            <w:pPr>
              <w:jc w:val="right"/>
              <w:ind w:right="2239"/>
              <w:spacing w:after="0"/>
              <w:rPr>
                <w:sz w:val="20"/>
                <w:szCs w:val="20"/>
                <w:color w:val="auto"/>
              </w:rPr>
            </w:pPr>
            <w:r>
              <w:rPr>
                <w:rFonts w:ascii="Arial" w:cs="Arial" w:eastAsia="Arial" w:hAnsi="Arial"/>
                <w:sz w:val="18"/>
                <w:szCs w:val="18"/>
                <w:b w:val="1"/>
                <w:bCs w:val="1"/>
                <w:color w:val="auto"/>
              </w:rPr>
              <w:t>47-4272481</w:t>
            </w:r>
          </w:p>
        </w:tc>
      </w:tr>
      <w:tr>
        <w:trPr>
          <w:trHeight w:val="148"/>
        </w:trPr>
        <w:tc>
          <w:tcPr>
            <w:tcW w:w="4520" w:type="dxa"/>
            <w:vAlign w:val="bottom"/>
          </w:tcPr>
          <w:p>
            <w:pPr>
              <w:jc w:val="center"/>
              <w:ind w:left="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4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4520" w:type="dxa"/>
            <w:vAlign w:val="bottom"/>
          </w:tcPr>
          <w:p>
            <w:pPr>
              <w:jc w:val="center"/>
              <w:ind w:left="919"/>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3"/>
                <w:szCs w:val="13"/>
                <w:color w:val="auto"/>
              </w:rPr>
            </w:pPr>
          </w:p>
        </w:tc>
        <w:tc>
          <w:tcPr>
            <w:tcW w:w="4480" w:type="dxa"/>
            <w:vAlign w:val="bottom"/>
          </w:tcPr>
          <w:p>
            <w:pPr>
              <w:jc w:val="center"/>
              <w:ind w:right="939"/>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4520" w:type="dxa"/>
            <w:vAlign w:val="bottom"/>
          </w:tcPr>
          <w:p>
            <w:pPr>
              <w:jc w:val="center"/>
              <w:ind w:left="919"/>
              <w:spacing w:after="0"/>
              <w:rPr>
                <w:sz w:val="20"/>
                <w:szCs w:val="20"/>
                <w:color w:val="auto"/>
              </w:rPr>
            </w:pPr>
            <w:r>
              <w:rPr>
                <w:rFonts w:ascii="Arial" w:cs="Arial" w:eastAsia="Arial" w:hAnsi="Arial"/>
                <w:sz w:val="18"/>
                <w:szCs w:val="18"/>
                <w:b w:val="1"/>
                <w:bCs w:val="1"/>
                <w:color w:val="auto"/>
                <w:w w:val="90"/>
              </w:rPr>
              <w:t>260 Littlefield Avenue</w:t>
            </w:r>
          </w:p>
        </w:tc>
        <w:tc>
          <w:tcPr>
            <w:tcW w:w="22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2"/>
        </w:trPr>
        <w:tc>
          <w:tcPr>
            <w:tcW w:w="4520" w:type="dxa"/>
            <w:vAlign w:val="bottom"/>
          </w:tcPr>
          <w:p>
            <w:pPr>
              <w:jc w:val="center"/>
              <w:ind w:left="919"/>
              <w:spacing w:after="0"/>
              <w:rPr>
                <w:sz w:val="20"/>
                <w:szCs w:val="20"/>
                <w:color w:val="auto"/>
              </w:rPr>
            </w:pPr>
            <w:r>
              <w:rPr>
                <w:rFonts w:ascii="Arial" w:cs="Arial" w:eastAsia="Arial" w:hAnsi="Arial"/>
                <w:sz w:val="18"/>
                <w:szCs w:val="18"/>
                <w:b w:val="1"/>
                <w:bCs w:val="1"/>
                <w:color w:val="auto"/>
                <w:w w:val="89"/>
              </w:rPr>
              <w:t>South San Francisco, CA</w:t>
            </w:r>
          </w:p>
        </w:tc>
        <w:tc>
          <w:tcPr>
            <w:tcW w:w="2240" w:type="dxa"/>
            <w:vAlign w:val="bottom"/>
          </w:tcPr>
          <w:p>
            <w:pPr>
              <w:spacing w:after="0"/>
              <w:rPr>
                <w:sz w:val="18"/>
                <w:szCs w:val="18"/>
                <w:color w:val="auto"/>
              </w:rPr>
            </w:pPr>
          </w:p>
        </w:tc>
        <w:tc>
          <w:tcPr>
            <w:tcW w:w="4480" w:type="dxa"/>
            <w:vAlign w:val="bottom"/>
          </w:tcPr>
          <w:p>
            <w:pPr>
              <w:jc w:val="right"/>
              <w:ind w:right="2439"/>
              <w:spacing w:after="0"/>
              <w:rPr>
                <w:sz w:val="20"/>
                <w:szCs w:val="20"/>
                <w:color w:val="auto"/>
              </w:rPr>
            </w:pPr>
            <w:r>
              <w:rPr>
                <w:rFonts w:ascii="Arial" w:cs="Arial" w:eastAsia="Arial" w:hAnsi="Arial"/>
                <w:sz w:val="18"/>
                <w:szCs w:val="18"/>
                <w:b w:val="1"/>
                <w:bCs w:val="1"/>
                <w:color w:val="auto"/>
              </w:rPr>
              <w:t>94080</w:t>
            </w:r>
          </w:p>
        </w:tc>
      </w:tr>
      <w:tr>
        <w:trPr>
          <w:trHeight w:val="186"/>
        </w:trPr>
        <w:tc>
          <w:tcPr>
            <w:tcW w:w="4520" w:type="dxa"/>
            <w:vAlign w:val="bottom"/>
          </w:tcPr>
          <w:p>
            <w:pPr>
              <w:jc w:val="center"/>
              <w:ind w:left="9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4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1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 (650) 481-6770</w:t>
            </w:r>
          </w:p>
        </w:tc>
      </w:tr>
      <w:tr>
        <w:trPr>
          <w:trHeight w:val="309"/>
        </w:trPr>
        <w:tc>
          <w:tcPr>
            <w:tcW w:w="452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22"/>
        </w:trPr>
        <w:tc>
          <w:tcPr>
            <w:tcW w:w="45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r>
      <w:tr>
        <w:trPr>
          <w:trHeight w:val="191"/>
        </w:trPr>
        <w:tc>
          <w:tcPr>
            <w:tcW w:w="452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Trading</w:t>
            </w:r>
          </w:p>
        </w:tc>
        <w:tc>
          <w:tcPr>
            <w:tcW w:w="448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Name of Each Exchange on which Securities are</w:t>
            </w:r>
          </w:p>
        </w:tc>
      </w:tr>
      <w:tr>
        <w:trPr>
          <w:trHeight w:val="234"/>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 of Securities Registered</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PLRX</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0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82"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80" w:firstLine="51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7, 2020, the registrant had 35,444,025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541020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6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spacing w:after="0"/>
              <w:rPr>
                <w:sz w:val="18"/>
                <w:szCs w:val="18"/>
                <w:color w:val="auto"/>
              </w:rPr>
            </w:pPr>
          </w:p>
        </w:tc>
        <w:tc>
          <w:tcPr>
            <w:tcW w:w="968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Balance Sheets as June 30, 2020 (Unaudited) and December 31, 2019 (Audited)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0"/>
        </w:trPr>
        <w:tc>
          <w:tcPr>
            <w:tcW w:w="1080" w:type="dxa"/>
            <w:vAlign w:val="bottom"/>
          </w:tcPr>
          <w:p>
            <w:pPr>
              <w:spacing w:after="0"/>
              <w:rPr>
                <w:sz w:val="16"/>
                <w:szCs w:val="16"/>
                <w:color w:val="auto"/>
              </w:rPr>
            </w:pPr>
          </w:p>
        </w:tc>
        <w:tc>
          <w:tcPr>
            <w:tcW w:w="9680" w:type="dxa"/>
            <w:vAlign w:val="bottom"/>
            <w:gridSpan w:val="5"/>
          </w:tcPr>
          <w:p>
            <w:pPr>
              <w:spacing w:after="0" w:line="190"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Statements of Operations and Comprehensive Loss for the three and six months ended June 30, 2020 and 2019</w:t>
              </w:r>
            </w:hyperlink>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r>
      <w:tr>
        <w:trPr>
          <w:trHeight w:val="196"/>
        </w:trPr>
        <w:tc>
          <w:tcPr>
            <w:tcW w:w="108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7940" w:type="dxa"/>
            <w:vAlign w:val="bottom"/>
            <w:tcBorders>
              <w:top w:val="single" w:sz="8" w:color="0000EE"/>
            </w:tcBorders>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Statements of Redeemable Convertible Preferred Stock and Stockholders’ Equity (Deficit) for the three and six months</w:t>
              </w:r>
            </w:hyperlink>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80" w:type="dxa"/>
            <w:vAlign w:val="bottom"/>
          </w:tcPr>
          <w:p>
            <w:pPr>
              <w:spacing w:after="0"/>
              <w:rPr>
                <w:sz w:val="17"/>
                <w:szCs w:val="17"/>
                <w:color w:val="auto"/>
              </w:rPr>
            </w:pPr>
          </w:p>
        </w:tc>
        <w:tc>
          <w:tcPr>
            <w:tcW w:w="31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June 30, 2020 and 2019 (Unaudited)</w:t>
              </w:r>
            </w:hyperlink>
          </w:p>
        </w:tc>
        <w:tc>
          <w:tcPr>
            <w:tcW w:w="656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968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Cash Flows for the six months ended June 30, 2020 and 2019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3"/>
        </w:trPr>
        <w:tc>
          <w:tcPr>
            <w:tcW w:w="1080" w:type="dxa"/>
            <w:vAlign w:val="bottom"/>
          </w:tcPr>
          <w:p>
            <w:pPr>
              <w:spacing w:after="0"/>
              <w:rPr>
                <w:sz w:val="24"/>
                <w:szCs w:val="24"/>
                <w:color w:val="auto"/>
              </w:rPr>
            </w:pPr>
          </w:p>
        </w:tc>
        <w:tc>
          <w:tcPr>
            <w:tcW w:w="968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 (Unaudited)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5"/>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8"/>
        </w:trPr>
        <w:tc>
          <w:tcPr>
            <w:tcW w:w="10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8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3"/>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Defaults Upon Senior Securities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5"/>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38"/>
        </w:trPr>
        <w:tc>
          <w:tcPr>
            <w:tcW w:w="108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Signatures</w:t>
              </w:r>
            </w:hyperlink>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number of shares and per share amounts</w:t>
      </w:r>
      <w:r>
        <w:rPr>
          <w:rFonts w:ascii="Arial" w:cs="Arial" w:eastAsia="Arial" w:hAnsi="Arial"/>
          <w:sz w:val="17"/>
          <w:szCs w:val="17"/>
          <w:i w:val="1"/>
          <w:i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178,461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134,007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Tax credit receivable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324,323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111,900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328,803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119,064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2,483</w:t>
            </w:r>
          </w:p>
        </w:tc>
        <w:tc>
          <w:tcPr>
            <w:tcW w:w="28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 (Note 5)</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9,553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12,036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 (Note 5)</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12,987</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13)</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Preferred stock, $0.0001 par value; 10,000,000 shares and 0 shares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authorized at June 30, 2020 and December 31, 2019, respectively;</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380"/>
              <w:spacing w:after="0"/>
              <w:rPr>
                <w:sz w:val="20"/>
                <w:szCs w:val="20"/>
                <w:color w:val="auto"/>
              </w:rPr>
            </w:pPr>
            <w:r>
              <w:rPr>
                <w:rFonts w:ascii="Arial" w:cs="Arial" w:eastAsia="Arial" w:hAnsi="Arial"/>
                <w:sz w:val="16"/>
                <w:szCs w:val="16"/>
                <w:color w:val="auto"/>
              </w:rPr>
              <w:t>0 shares issued and outstanding at June 30, 2020</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auto"/>
              </w:rPr>
              <w:t>and December 31, 2019;</w:t>
            </w:r>
          </w:p>
        </w:tc>
        <w:tc>
          <w:tcPr>
            <w:tcW w:w="3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Series A redeemable convertible preferred stock, $0.0001 par value;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0 and 56,000,000 shares authorized at June 30, 2020</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December 31, 2019, respectively; 0 and 56,000,000 shares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issued and outstanding, at June 30, 2020 and December 31, 2019,</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 aggregate liquidation preference of $0 and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$62,468 at June 30, 2020 and December 31, 2019, respectively;</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rPr>
              <w:t>Series B redeemable convertible preferred stock, $0.0001 par value;</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0 shares and 49,501,221 shares authorized at June 30, 2020 and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December 31, 2019, respectively; 0 shares and 49,501,221 shares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issued and outstanding at June 30, 2020 and December 31, 2019,</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respectively; aggregate liquidation preference of $0 and $75,860</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Arial" w:cs="Arial" w:eastAsia="Arial" w:hAnsi="Arial"/>
                <w:sz w:val="16"/>
                <w:szCs w:val="16"/>
                <w:color w:val="auto"/>
              </w:rPr>
              <w:t>at June 30, 2020 and December 31, 2019, respectively;</w:t>
            </w:r>
          </w:p>
        </w:tc>
        <w:tc>
          <w:tcPr>
            <w:tcW w:w="3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Series C redeemable convertible preferred stock, $0.0001 par value;</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0 shares and 44,000,000 shares authorized at June 30, 2020 and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2019, respectively; 0 shares and 26,360,745 shares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issued and outstanding at June 30, 2020 and December 31, 2019,</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 aggregate liquidation preference of $0 and $47,947</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at June 30, 2020 and December 31, 2019, respectively;</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$0.0001 par value; 300,000,000 and 181,000,000 shares authorized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at June 30, 2020 and December 31, 2019; and 35,427,199 and 1,846,024 shares</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issued and outstanding at June 30, 2020 and December 31, 2019, respectively;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398,110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(82,267)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(76,295)</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62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315,816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(76,295)</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b w:val="1"/>
                <w:bCs w:val="1"/>
                <w:color w:val="auto"/>
              </w:rPr>
              <w:t>Total liabilities, redeemable convertible preferred stock and stockholders’ equity (deficit)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328,803</w:t>
            </w:r>
          </w:p>
        </w:tc>
        <w:tc>
          <w:tcPr>
            <w:tcW w:w="2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20" w:right="1740" w:hanging="2512"/>
        <w:spacing w:after="0" w:line="483" w:lineRule="auto"/>
        <w:tabs>
          <w:tab w:leader="none" w:pos="50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condensed balance sheet as of December 31, 2019 has been derived from the audited financial statements as of that date</w:t>
      </w:r>
      <w:r>
        <w:rPr>
          <w:rFonts w:ascii="Arial" w:cs="Arial" w:eastAsia="Arial" w:hAnsi="Arial"/>
          <w:sz w:val="14"/>
          <w:szCs w:val="14"/>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accompanying notes are an integral part of these condensed financial statements</w:t>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 — related party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(17,536)</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(13,098)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(31,455)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(24,847)</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(3,040)</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(2,643)</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(7,051)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Accretion to redemption value and cumulative dividends on</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redeemable convertible preferred stock</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(1,359)</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(10.82)</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(0.85)</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Shares used in computing net loss per share attributable</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common stockholders: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12,253,943</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1,559,942</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7,062,780</w:t>
            </w:r>
          </w:p>
        </w:tc>
        <w:tc>
          <w:tcPr>
            <w:tcW w:w="24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1,486,109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12,253,943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1,559,942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7,062,780</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(17,001)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(15,522)</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(5,972)</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(29,545)</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unrealized (loss) gain on short-term investments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Statements of Redeemable Convertible Preferred Stock and Stockholders’ Equity (Deficit)</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ectPr>
          <w:pgSz w:w="11900" w:h="16838" w:orient="portrait"/>
          <w:cols w:equalWidth="0" w:num="1">
            <w:col w:w="11220"/>
          </w:cols>
          <w:pgMar w:left="320" w:top="351" w:right="359" w:bottom="1440" w:gutter="0" w:footer="0" w:header="0"/>
        </w:sect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3"/>
                <w:szCs w:val="13"/>
                <w:b w:val="1"/>
                <w:bCs w:val="1"/>
                <w:color w:val="auto"/>
                <w:w w:val="97"/>
              </w:rPr>
              <w:t>Redeemable Convertible Preferred Stock</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04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rPr>
              <w:t>Series A</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Series B</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26"/>
              <w:spacing w:after="0" w:line="142" w:lineRule="exact"/>
              <w:rPr>
                <w:sz w:val="20"/>
                <w:szCs w:val="20"/>
                <w:color w:val="auto"/>
              </w:rPr>
            </w:pPr>
            <w:r>
              <w:rPr>
                <w:rFonts w:ascii="Arial" w:cs="Arial" w:eastAsia="Arial" w:hAnsi="Arial"/>
                <w:sz w:val="13"/>
                <w:szCs w:val="13"/>
                <w:b w:val="1"/>
                <w:bCs w:val="1"/>
                <w:color w:val="auto"/>
              </w:rPr>
              <w:t>Series C</w:t>
            </w: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Balance at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Amount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2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7"/>
              </w:rPr>
              <w:t>Amount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33"/>
        </w:trPr>
        <w:tc>
          <w:tcPr>
            <w:tcW w:w="1080" w:type="dxa"/>
            <w:vAlign w:val="bottom"/>
            <w:vMerge w:val="continue"/>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spacing w:after="0"/>
              <w:rPr>
                <w:sz w:val="20"/>
                <w:szCs w:val="20"/>
                <w:color w:val="auto"/>
              </w:rPr>
            </w:pPr>
            <w:r>
              <w:rPr>
                <w:rFonts w:ascii="Arial" w:cs="Arial" w:eastAsia="Arial" w:hAnsi="Arial"/>
                <w:sz w:val="14"/>
                <w:szCs w:val="14"/>
                <w:color w:val="auto"/>
              </w:rPr>
              <w:t>56,000,000</w:t>
            </w:r>
          </w:p>
        </w:tc>
        <w:tc>
          <w:tcPr>
            <w:tcW w:w="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62,468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49,501,221</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75,860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26,360,745</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47,947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Issuance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Series 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redeemable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preferred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stock, net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issuance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20"/>
              <w:spacing w:after="0"/>
              <w:rPr>
                <w:sz w:val="20"/>
                <w:szCs w:val="20"/>
                <w:color w:val="auto"/>
              </w:rPr>
            </w:pPr>
            <w:r>
              <w:rPr>
                <w:rFonts w:ascii="Arial" w:cs="Arial" w:eastAsia="Arial" w:hAnsi="Arial"/>
                <w:sz w:val="14"/>
                <w:szCs w:val="14"/>
                <w:color w:val="auto"/>
              </w:rPr>
              <w:t>costs of $167</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28,527,313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52,038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Vesting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founders’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stock and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awards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Option exercises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Stock-based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compensation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Net unrealized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gain 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short-term</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investments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08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20"/>
                <w:szCs w:val="20"/>
                <w:color w:val="auto"/>
              </w:rPr>
            </w:pPr>
            <w:r>
              <w:rPr>
                <w:rFonts w:ascii="Arial" w:cs="Arial" w:eastAsia="Arial" w:hAnsi="Arial"/>
                <w:sz w:val="14"/>
                <w:szCs w:val="14"/>
                <w:b w:val="1"/>
                <w:bCs w:val="1"/>
                <w:color w:val="auto"/>
              </w:rPr>
              <w:t>March 31, 2020</w:t>
            </w:r>
          </w:p>
        </w:tc>
        <w:tc>
          <w:tcPr>
            <w:tcW w:w="800" w:type="dxa"/>
            <w:vAlign w:val="bottom"/>
          </w:tcPr>
          <w:p>
            <w:pPr>
              <w:jc w:val="right"/>
              <w:spacing w:after="0"/>
              <w:rPr>
                <w:sz w:val="20"/>
                <w:szCs w:val="20"/>
                <w:color w:val="auto"/>
              </w:rPr>
            </w:pPr>
            <w:r>
              <w:rPr>
                <w:rFonts w:ascii="Arial" w:cs="Arial" w:eastAsia="Arial" w:hAnsi="Arial"/>
                <w:sz w:val="14"/>
                <w:szCs w:val="14"/>
                <w:color w:val="auto"/>
              </w:rPr>
              <w:t>56,000,000</w:t>
            </w:r>
          </w:p>
        </w:tc>
        <w:tc>
          <w:tcPr>
            <w:tcW w:w="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62,468</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49,501,221</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75,860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54,888,058</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99,985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Issuance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upon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initial public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offering, net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20"/>
              <w:spacing w:after="0"/>
              <w:rPr>
                <w:sz w:val="20"/>
                <w:szCs w:val="20"/>
                <w:color w:val="auto"/>
              </w:rPr>
            </w:pPr>
            <w:r>
              <w:rPr>
                <w:rFonts w:ascii="Arial" w:cs="Arial" w:eastAsia="Arial" w:hAnsi="Arial"/>
                <w:sz w:val="14"/>
                <w:szCs w:val="14"/>
                <w:color w:val="auto"/>
              </w:rPr>
              <w:t>issuance costs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Issuance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upon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private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placement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Vesting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founders’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stock and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awards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Option exercises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Conversion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Series A, B, 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preferred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to</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120"/>
              <w:spacing w:after="0"/>
              <w:rPr>
                <w:sz w:val="20"/>
                <w:szCs w:val="20"/>
                <w:color w:val="auto"/>
              </w:rPr>
            </w:pPr>
            <w:r>
              <w:rPr>
                <w:rFonts w:ascii="Arial" w:cs="Arial" w:eastAsia="Arial" w:hAnsi="Arial"/>
                <w:sz w:val="14"/>
                <w:szCs w:val="14"/>
                <w:color w:val="auto"/>
              </w:rPr>
              <w:t>common stock</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(56,000,000)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(62,468)</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(49,501,221)</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(75,860)</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(54,888,058)</w:t>
            </w: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5"/>
              </w:rPr>
              <w:t>(99,985)</w:t>
            </w: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Stock-based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compensation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Net unrealized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line="149" w:lineRule="exact"/>
              <w:rPr>
                <w:sz w:val="20"/>
                <w:szCs w:val="20"/>
                <w:color w:val="auto"/>
              </w:rPr>
            </w:pPr>
            <w:r>
              <w:rPr>
                <w:rFonts w:ascii="Arial" w:cs="Arial" w:eastAsia="Arial" w:hAnsi="Arial"/>
                <w:sz w:val="14"/>
                <w:szCs w:val="14"/>
                <w:color w:val="auto"/>
              </w:rPr>
              <w:t>loss 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short-term</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investments</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80" w:type="dxa"/>
            <w:vAlign w:val="bottom"/>
          </w:tcPr>
          <w:p>
            <w:pPr>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080" w:type="dxa"/>
            <w:vAlign w:val="bottom"/>
          </w:tcPr>
          <w:p>
            <w:pPr>
              <w:spacing w:after="0" w:line="133" w:lineRule="exact"/>
              <w:rPr>
                <w:sz w:val="20"/>
                <w:szCs w:val="20"/>
                <w:color w:val="auto"/>
              </w:rPr>
            </w:pPr>
            <w:r>
              <w:rPr>
                <w:rFonts w:ascii="Arial" w:cs="Arial" w:eastAsia="Arial" w:hAnsi="Arial"/>
                <w:sz w:val="14"/>
                <w:szCs w:val="14"/>
                <w:b w:val="1"/>
                <w:bCs w:val="1"/>
                <w:color w:val="auto"/>
              </w:rPr>
              <w:t>Balance, June</w:t>
            </w: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20"/>
                <w:szCs w:val="20"/>
                <w:color w:val="auto"/>
              </w:rPr>
            </w:pPr>
            <w:r>
              <w:rPr>
                <w:rFonts w:ascii="Arial" w:cs="Arial" w:eastAsia="Arial" w:hAnsi="Arial"/>
                <w:sz w:val="14"/>
                <w:szCs w:val="14"/>
                <w:b w:val="1"/>
                <w:bCs w:val="1"/>
                <w:color w:val="auto"/>
              </w:rPr>
              <w:t>30, 2020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-6419850</wp:posOffset>
            </wp:positionV>
            <wp:extent cx="7132320" cy="642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'Total</w:t>
            </w:r>
          </w:p>
        </w:tc>
      </w:tr>
      <w:tr>
        <w:trPr>
          <w:trHeight w:val="153"/>
        </w:trPr>
        <w:tc>
          <w:tcPr>
            <w:tcW w:w="12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4"/>
          </w:tcPr>
          <w:p>
            <w:pPr>
              <w:ind w:left="60"/>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w w:val="88"/>
              </w:rPr>
              <w:t>Stockholders’</w:t>
            </w:r>
          </w:p>
        </w:tc>
      </w:tr>
      <w:tr>
        <w:trPr>
          <w:trHeight w:val="124"/>
        </w:trPr>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0"/>
              </w:rPr>
              <w:t>Equity</w:t>
            </w:r>
          </w:p>
        </w:tc>
      </w:tr>
      <w:tr>
        <w:trPr>
          <w:trHeight w:val="153"/>
        </w:trPr>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9"/>
              </w:rPr>
              <w:t>Gain (Loss)</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0"/>
              </w:rPr>
              <w:t>(Deficit)</w:t>
            </w:r>
          </w:p>
        </w:tc>
        <w:tc>
          <w:tcPr>
            <w:tcW w:w="40" w:type="dxa"/>
            <w:vAlign w:val="bottom"/>
          </w:tcPr>
          <w:p>
            <w:pPr>
              <w:spacing w:after="0"/>
              <w:rPr>
                <w:sz w:val="13"/>
                <w:szCs w:val="13"/>
                <w:color w:val="auto"/>
              </w:rPr>
            </w:pPr>
          </w:p>
        </w:tc>
      </w:tr>
      <w:tr>
        <w:trPr>
          <w:trHeight w:val="468"/>
        </w:trPr>
        <w:tc>
          <w:tcPr>
            <w:tcW w:w="740" w:type="dxa"/>
            <w:vAlign w:val="bottom"/>
          </w:tcPr>
          <w:p>
            <w:pPr>
              <w:jc w:val="right"/>
              <w:spacing w:after="0"/>
              <w:rPr>
                <w:sz w:val="20"/>
                <w:szCs w:val="20"/>
                <w:color w:val="auto"/>
              </w:rPr>
            </w:pPr>
            <w:r>
              <w:rPr>
                <w:rFonts w:ascii="Arial" w:cs="Arial" w:eastAsia="Arial" w:hAnsi="Arial"/>
                <w:sz w:val="14"/>
                <w:szCs w:val="14"/>
                <w:color w:val="auto"/>
              </w:rPr>
              <w:t>1,846,024</w:t>
            </w:r>
          </w:p>
        </w:tc>
        <w:tc>
          <w:tcPr>
            <w:tcW w:w="460" w:type="dxa"/>
            <w:vAlign w:val="bottom"/>
            <w:gridSpan w:val="2"/>
          </w:tcPr>
          <w:p>
            <w:pPr>
              <w:jc w:val="right"/>
              <w:ind w:right="133"/>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(76,295)</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(76,295)</w:t>
            </w:r>
          </w:p>
        </w:tc>
      </w:tr>
      <w:tr>
        <w:trPr>
          <w:trHeight w:val="1053"/>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884"/>
        </w:trPr>
        <w:tc>
          <w:tcPr>
            <w:tcW w:w="740" w:type="dxa"/>
            <w:vAlign w:val="bottom"/>
          </w:tcPr>
          <w:p>
            <w:pPr>
              <w:jc w:val="right"/>
              <w:spacing w:after="0"/>
              <w:rPr>
                <w:sz w:val="20"/>
                <w:szCs w:val="20"/>
                <w:color w:val="auto"/>
              </w:rPr>
            </w:pPr>
            <w:r>
              <w:rPr>
                <w:rFonts w:ascii="Arial" w:cs="Arial" w:eastAsia="Arial" w:hAnsi="Arial"/>
                <w:sz w:val="14"/>
                <w:szCs w:val="14"/>
                <w:color w:val="auto"/>
              </w:rPr>
              <w:t>52,093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24"/>
                <w:szCs w:val="24"/>
                <w:color w:val="auto"/>
              </w:rPr>
            </w:pPr>
          </w:p>
        </w:tc>
      </w:tr>
      <w:tr>
        <w:trPr>
          <w:trHeight w:val="182"/>
        </w:trPr>
        <w:tc>
          <w:tcPr>
            <w:tcW w:w="740" w:type="dxa"/>
            <w:vAlign w:val="bottom"/>
          </w:tcPr>
          <w:p>
            <w:pPr>
              <w:jc w:val="right"/>
              <w:spacing w:after="0"/>
              <w:rPr>
                <w:sz w:val="20"/>
                <w:szCs w:val="20"/>
                <w:color w:val="auto"/>
              </w:rPr>
            </w:pPr>
            <w:r>
              <w:rPr>
                <w:rFonts w:ascii="Arial" w:cs="Arial" w:eastAsia="Arial" w:hAnsi="Arial"/>
                <w:sz w:val="14"/>
                <w:szCs w:val="14"/>
                <w:color w:val="auto"/>
              </w:rPr>
              <w:t>8,252</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5"/>
                <w:szCs w:val="15"/>
                <w:color w:val="auto"/>
              </w:rPr>
            </w:pPr>
          </w:p>
        </w:tc>
      </w:tr>
      <w:tr>
        <w:trPr>
          <w:trHeight w:val="459"/>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425</w:t>
            </w:r>
          </w:p>
        </w:tc>
        <w:tc>
          <w:tcPr>
            <w:tcW w:w="40" w:type="dxa"/>
            <w:vAlign w:val="bottom"/>
          </w:tcPr>
          <w:p>
            <w:pPr>
              <w:spacing w:after="0"/>
              <w:rPr>
                <w:sz w:val="24"/>
                <w:szCs w:val="24"/>
                <w:color w:val="auto"/>
              </w:rPr>
            </w:pPr>
          </w:p>
        </w:tc>
      </w:tr>
      <w:tr>
        <w:trPr>
          <w:trHeight w:val="587"/>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24"/>
                <w:szCs w:val="24"/>
                <w:color w:val="auto"/>
              </w:rPr>
            </w:pPr>
          </w:p>
        </w:tc>
      </w:tr>
      <w:tr>
        <w:trPr>
          <w:trHeight w:val="167"/>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11,029</w:t>
            </w:r>
          </w:p>
        </w:tc>
        <w:tc>
          <w:tcPr>
            <w:tcW w:w="40" w:type="dxa"/>
            <w:vAlign w:val="bottom"/>
          </w:tcPr>
          <w:p>
            <w:pPr>
              <w:spacing w:after="0"/>
              <w:rPr>
                <w:sz w:val="14"/>
                <w:szCs w:val="14"/>
                <w:color w:val="auto"/>
              </w:rPr>
            </w:pPr>
          </w:p>
        </w:tc>
      </w:tr>
      <w:tr>
        <w:trPr>
          <w:trHeight w:val="430"/>
        </w:trPr>
        <w:tc>
          <w:tcPr>
            <w:tcW w:w="740" w:type="dxa"/>
            <w:vAlign w:val="bottom"/>
          </w:tcPr>
          <w:p>
            <w:pPr>
              <w:jc w:val="right"/>
              <w:spacing w:after="0"/>
              <w:rPr>
                <w:sz w:val="20"/>
                <w:szCs w:val="20"/>
                <w:color w:val="auto"/>
              </w:rPr>
            </w:pPr>
            <w:r>
              <w:rPr>
                <w:rFonts w:ascii="Arial" w:cs="Arial" w:eastAsia="Arial" w:hAnsi="Arial"/>
                <w:sz w:val="14"/>
                <w:szCs w:val="14"/>
                <w:color w:val="auto"/>
              </w:rPr>
              <w:t>1,906,349</w:t>
            </w:r>
          </w:p>
        </w:tc>
        <w:tc>
          <w:tcPr>
            <w:tcW w:w="460" w:type="dxa"/>
            <w:vAlign w:val="bottom"/>
            <w:gridSpan w:val="2"/>
          </w:tcPr>
          <w:p>
            <w:pPr>
              <w:jc w:val="right"/>
              <w:ind w:right="133"/>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455</w:t>
            </w:r>
          </w:p>
        </w:tc>
        <w:tc>
          <w:tcPr>
            <w:tcW w:w="1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(65,266)</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(64,751)</w:t>
            </w:r>
          </w:p>
        </w:tc>
      </w:tr>
      <w:tr>
        <w:trPr>
          <w:trHeight w:val="793"/>
        </w:trPr>
        <w:tc>
          <w:tcPr>
            <w:tcW w:w="740" w:type="dxa"/>
            <w:vAlign w:val="bottom"/>
          </w:tcPr>
          <w:p>
            <w:pPr>
              <w:jc w:val="right"/>
              <w:spacing w:after="0"/>
              <w:rPr>
                <w:sz w:val="20"/>
                <w:szCs w:val="20"/>
                <w:color w:val="auto"/>
              </w:rPr>
            </w:pPr>
            <w:r>
              <w:rPr>
                <w:rFonts w:ascii="Arial" w:cs="Arial" w:eastAsia="Arial" w:hAnsi="Arial"/>
                <w:sz w:val="14"/>
                <w:szCs w:val="14"/>
                <w:color w:val="auto"/>
                <w:w w:val="99"/>
              </w:rPr>
              <w:t>10,350,000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148,399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148,400</w:t>
            </w:r>
          </w:p>
        </w:tc>
        <w:tc>
          <w:tcPr>
            <w:tcW w:w="40" w:type="dxa"/>
            <w:vAlign w:val="bottom"/>
          </w:tcPr>
          <w:p>
            <w:pPr>
              <w:spacing w:after="0"/>
              <w:rPr>
                <w:sz w:val="24"/>
                <w:szCs w:val="24"/>
                <w:color w:val="auto"/>
              </w:rPr>
            </w:pPr>
          </w:p>
        </w:tc>
      </w:tr>
      <w:tr>
        <w:trPr>
          <w:trHeight w:val="756"/>
        </w:trPr>
        <w:tc>
          <w:tcPr>
            <w:tcW w:w="740" w:type="dxa"/>
            <w:vAlign w:val="bottom"/>
          </w:tcPr>
          <w:p>
            <w:pPr>
              <w:jc w:val="right"/>
              <w:spacing w:after="0"/>
              <w:rPr>
                <w:sz w:val="20"/>
                <w:szCs w:val="20"/>
                <w:color w:val="auto"/>
              </w:rPr>
            </w:pPr>
            <w:r>
              <w:rPr>
                <w:rFonts w:ascii="Arial" w:cs="Arial" w:eastAsia="Arial" w:hAnsi="Arial"/>
                <w:sz w:val="14"/>
                <w:szCs w:val="14"/>
                <w:color w:val="auto"/>
              </w:rPr>
              <w:t>625,000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24"/>
                <w:szCs w:val="24"/>
                <w:color w:val="auto"/>
              </w:rPr>
            </w:pPr>
          </w:p>
        </w:tc>
      </w:tr>
      <w:tr>
        <w:trPr>
          <w:trHeight w:val="884"/>
        </w:trPr>
        <w:tc>
          <w:tcPr>
            <w:tcW w:w="740" w:type="dxa"/>
            <w:vAlign w:val="bottom"/>
          </w:tcPr>
          <w:p>
            <w:pPr>
              <w:jc w:val="right"/>
              <w:spacing w:after="0"/>
              <w:rPr>
                <w:sz w:val="20"/>
                <w:szCs w:val="20"/>
                <w:color w:val="auto"/>
              </w:rPr>
            </w:pPr>
            <w:r>
              <w:rPr>
                <w:rFonts w:ascii="Arial" w:cs="Arial" w:eastAsia="Arial" w:hAnsi="Arial"/>
                <w:sz w:val="14"/>
                <w:szCs w:val="14"/>
                <w:color w:val="auto"/>
              </w:rPr>
              <w:t>40,102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r>
      <w:tr>
        <w:trPr>
          <w:trHeight w:val="182"/>
        </w:trPr>
        <w:tc>
          <w:tcPr>
            <w:tcW w:w="740" w:type="dxa"/>
            <w:vAlign w:val="bottom"/>
          </w:tcPr>
          <w:p>
            <w:pPr>
              <w:jc w:val="right"/>
              <w:spacing w:after="0"/>
              <w:rPr>
                <w:sz w:val="20"/>
                <w:szCs w:val="20"/>
                <w:color w:val="auto"/>
              </w:rPr>
            </w:pPr>
            <w:r>
              <w:rPr>
                <w:rFonts w:ascii="Arial" w:cs="Arial" w:eastAsia="Arial" w:hAnsi="Arial"/>
                <w:sz w:val="14"/>
                <w:szCs w:val="14"/>
                <w:color w:val="auto"/>
              </w:rPr>
              <w:t>73,719</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w:t>
            </w:r>
          </w:p>
        </w:tc>
        <w:tc>
          <w:tcPr>
            <w:tcW w:w="40" w:type="dxa"/>
            <w:vAlign w:val="bottom"/>
          </w:tcPr>
          <w:p>
            <w:pPr>
              <w:spacing w:after="0"/>
              <w:rPr>
                <w:sz w:val="15"/>
                <w:szCs w:val="15"/>
                <w:color w:val="auto"/>
              </w:rPr>
            </w:pPr>
          </w:p>
        </w:tc>
      </w:tr>
      <w:tr>
        <w:trPr>
          <w:trHeight w:val="905"/>
        </w:trPr>
        <w:tc>
          <w:tcPr>
            <w:tcW w:w="740" w:type="dxa"/>
            <w:vAlign w:val="bottom"/>
          </w:tcPr>
          <w:p>
            <w:pPr>
              <w:jc w:val="right"/>
              <w:spacing w:after="0"/>
              <w:rPr>
                <w:sz w:val="20"/>
                <w:szCs w:val="20"/>
                <w:color w:val="auto"/>
              </w:rPr>
            </w:pPr>
            <w:r>
              <w:rPr>
                <w:rFonts w:ascii="Arial" w:cs="Arial" w:eastAsia="Arial" w:hAnsi="Arial"/>
                <w:sz w:val="14"/>
                <w:szCs w:val="14"/>
                <w:color w:val="auto"/>
                <w:w w:val="99"/>
              </w:rPr>
              <w:t>22,432,029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238,292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238,293</w:t>
            </w:r>
          </w:p>
        </w:tc>
        <w:tc>
          <w:tcPr>
            <w:tcW w:w="40" w:type="dxa"/>
            <w:vAlign w:val="bottom"/>
          </w:tcPr>
          <w:p>
            <w:pPr>
              <w:spacing w:after="0"/>
              <w:rPr>
                <w:sz w:val="24"/>
                <w:szCs w:val="24"/>
                <w:color w:val="auto"/>
              </w:rPr>
            </w:pPr>
          </w:p>
        </w:tc>
      </w:tr>
      <w:tr>
        <w:trPr>
          <w:trHeight w:val="459"/>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786</w:t>
            </w:r>
          </w:p>
        </w:tc>
        <w:tc>
          <w:tcPr>
            <w:tcW w:w="40" w:type="dxa"/>
            <w:vAlign w:val="bottom"/>
          </w:tcPr>
          <w:p>
            <w:pPr>
              <w:spacing w:after="0"/>
              <w:rPr>
                <w:sz w:val="24"/>
                <w:szCs w:val="24"/>
                <w:color w:val="auto"/>
              </w:rPr>
            </w:pPr>
          </w:p>
        </w:tc>
      </w:tr>
      <w:tr>
        <w:trPr>
          <w:trHeight w:val="587"/>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(89)</w:t>
            </w:r>
          </w:p>
        </w:tc>
      </w:tr>
      <w:tr>
        <w:trPr>
          <w:trHeight w:val="167"/>
        </w:trPr>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(17,001)</w:t>
            </w: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(17,001)</w:t>
            </w:r>
          </w:p>
        </w:tc>
      </w:tr>
      <w:tr>
        <w:trPr>
          <w:trHeight w:val="20"/>
        </w:trPr>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40" w:type="dxa"/>
            <w:vAlign w:val="bottom"/>
          </w:tcPr>
          <w:p>
            <w:pPr>
              <w:jc w:val="right"/>
              <w:spacing w:after="0"/>
              <w:rPr>
                <w:sz w:val="20"/>
                <w:szCs w:val="20"/>
                <w:color w:val="auto"/>
              </w:rPr>
            </w:pPr>
            <w:r>
              <w:rPr>
                <w:rFonts w:ascii="Arial" w:cs="Arial" w:eastAsia="Arial" w:hAnsi="Arial"/>
                <w:sz w:val="14"/>
                <w:szCs w:val="14"/>
                <w:color w:val="auto"/>
                <w:w w:val="99"/>
              </w:rPr>
              <w:t>35,427,199</w:t>
            </w:r>
          </w:p>
        </w:tc>
        <w:tc>
          <w:tcPr>
            <w:tcW w:w="180" w:type="dxa"/>
            <w:vAlign w:val="bottom"/>
          </w:tcPr>
          <w:p>
            <w:pPr>
              <w:spacing w:after="0"/>
              <w:rPr>
                <w:sz w:val="24"/>
                <w:szCs w:val="24"/>
                <w:color w:val="auto"/>
              </w:rPr>
            </w:pPr>
          </w:p>
        </w:tc>
        <w:tc>
          <w:tcPr>
            <w:tcW w:w="280" w:type="dxa"/>
            <w:vAlign w:val="bottom"/>
          </w:tcPr>
          <w:p>
            <w:pPr>
              <w:jc w:val="right"/>
              <w:ind w:right="133"/>
              <w:spacing w:after="0"/>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398,110</w:t>
            </w:r>
          </w:p>
        </w:tc>
        <w:tc>
          <w:tcPr>
            <w:tcW w:w="1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(82,267)</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315,816</w:t>
            </w:r>
          </w:p>
        </w:tc>
        <w:tc>
          <w:tcPr>
            <w:tcW w:w="40" w:type="dxa"/>
            <w:vAlign w:val="bottom"/>
          </w:tcPr>
          <w:p>
            <w:pPr>
              <w:spacing w:after="0"/>
              <w:rPr>
                <w:sz w:val="24"/>
                <w:szCs w:val="24"/>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80" w:space="200"/>
            <w:col w:w="5040"/>
          </w:cols>
          <w:pgMar w:left="320" w:top="351" w:right="359" w:bottom="1440" w:gutter="0" w:footer="0" w:header="0"/>
          <w:type w:val="continuous"/>
        </w:sectPr>
      </w:pPr>
    </w:p>
    <w:p>
      <w:pPr>
        <w:spacing w:after="0" w:line="2"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 share amounts do not add up due to rounding.</w:t>
      </w:r>
    </w:p>
    <w:p>
      <w:pPr>
        <w:spacing w:after="0" w:line="225" w:lineRule="exact"/>
        <w:rPr>
          <w:sz w:val="20"/>
          <w:szCs w:val="20"/>
          <w:color w:val="auto"/>
        </w:rPr>
      </w:pPr>
    </w:p>
    <w:p>
      <w:pPr>
        <w:jc w:val="right"/>
        <w:ind w:right="2220"/>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type w:val="continuous"/>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Condensed Statements of Redeemable Convertible Preferred Stock and Stockholders’ Equity (Deficit)</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(In thousands, except number of shares and per share amounts)</w:t>
      </w:r>
    </w:p>
    <w:p>
      <w:pPr>
        <w:sectPr>
          <w:pgSz w:w="11900" w:h="16838" w:orient="portrait"/>
          <w:cols w:equalWidth="0" w:num="1">
            <w:col w:w="11180"/>
          </w:cols>
          <w:pgMar w:left="320" w:top="121" w:right="399" w:bottom="1440" w:gutter="0" w:footer="0" w:header="0"/>
        </w:sect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8"/>
          </w:tcPr>
          <w:p>
            <w:pPr>
              <w:ind w:left="120"/>
              <w:spacing w:after="0"/>
              <w:rPr>
                <w:sz w:val="20"/>
                <w:szCs w:val="20"/>
                <w:color w:val="auto"/>
              </w:rPr>
            </w:pPr>
            <w:r>
              <w:rPr>
                <w:rFonts w:ascii="Arial" w:cs="Arial" w:eastAsia="Arial" w:hAnsi="Arial"/>
                <w:sz w:val="13"/>
                <w:szCs w:val="13"/>
                <w:b w:val="1"/>
                <w:bCs w:val="1"/>
                <w:color w:val="auto"/>
                <w:w w:val="86"/>
              </w:rPr>
              <w:t>Redeemable Convertible Preferred Stock</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17"/>
              <w:spacing w:after="0" w:line="142" w:lineRule="exact"/>
              <w:rPr>
                <w:sz w:val="20"/>
                <w:szCs w:val="20"/>
                <w:color w:val="auto"/>
              </w:rPr>
            </w:pPr>
            <w:r>
              <w:rPr>
                <w:rFonts w:ascii="Arial" w:cs="Arial" w:eastAsia="Arial" w:hAnsi="Arial"/>
                <w:sz w:val="13"/>
                <w:szCs w:val="13"/>
                <w:b w:val="1"/>
                <w:bCs w:val="1"/>
                <w:color w:val="auto"/>
              </w:rPr>
              <w:t>Series A</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17"/>
              <w:spacing w:after="0" w:line="142" w:lineRule="exact"/>
              <w:rPr>
                <w:sz w:val="20"/>
                <w:szCs w:val="20"/>
                <w:color w:val="auto"/>
              </w:rPr>
            </w:pPr>
            <w:r>
              <w:rPr>
                <w:rFonts w:ascii="Arial" w:cs="Arial" w:eastAsia="Arial" w:hAnsi="Arial"/>
                <w:sz w:val="13"/>
                <w:szCs w:val="13"/>
                <w:b w:val="1"/>
                <w:bCs w:val="1"/>
                <w:color w:val="auto"/>
              </w:rPr>
              <w:t>Series B</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320"/>
              <w:spacing w:after="0" w:line="142" w:lineRule="exact"/>
              <w:rPr>
                <w:sz w:val="20"/>
                <w:szCs w:val="20"/>
                <w:color w:val="auto"/>
              </w:rPr>
            </w:pPr>
            <w:r>
              <w:rPr>
                <w:rFonts w:ascii="Arial" w:cs="Arial" w:eastAsia="Arial" w:hAnsi="Arial"/>
                <w:sz w:val="13"/>
                <w:szCs w:val="13"/>
                <w:b w:val="1"/>
                <w:bCs w:val="1"/>
                <w:color w:val="auto"/>
              </w:rPr>
              <w:t>Series C</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8"/>
              </w:rPr>
              <w:t>Balance at December</w:t>
            </w:r>
          </w:p>
        </w:tc>
        <w:tc>
          <w:tcPr>
            <w:tcW w:w="760" w:type="dxa"/>
            <w:vAlign w:val="bottom"/>
          </w:tcPr>
          <w:p>
            <w:pPr>
              <w:jc w:val="right"/>
              <w:ind w:right="129"/>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2"/>
                <w:szCs w:val="12"/>
                <w:color w:val="auto"/>
              </w:rPr>
            </w:pPr>
          </w:p>
        </w:tc>
        <w:tc>
          <w:tcPr>
            <w:tcW w:w="580" w:type="dxa"/>
            <w:vAlign w:val="bottom"/>
            <w:gridSpan w:val="2"/>
          </w:tcPr>
          <w:p>
            <w:pPr>
              <w:jc w:val="right"/>
              <w:ind w:right="9"/>
              <w:spacing w:after="0" w:line="142"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2"/>
                <w:szCs w:val="12"/>
                <w:color w:val="auto"/>
              </w:rPr>
            </w:pPr>
          </w:p>
        </w:tc>
        <w:tc>
          <w:tcPr>
            <w:tcW w:w="740" w:type="dxa"/>
            <w:vAlign w:val="bottom"/>
          </w:tcPr>
          <w:p>
            <w:pPr>
              <w:jc w:val="right"/>
              <w:ind w:right="129"/>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560" w:type="dxa"/>
            <w:vAlign w:val="bottom"/>
            <w:gridSpan w:val="2"/>
          </w:tcPr>
          <w:p>
            <w:pPr>
              <w:jc w:val="right"/>
              <w:ind w:right="8"/>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ind w:left="40"/>
              <w:spacing w:after="0" w:line="142" w:lineRule="exact"/>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33"/>
        </w:trPr>
        <w:tc>
          <w:tcPr>
            <w:tcW w:w="1420" w:type="dxa"/>
            <w:vAlign w:val="bottom"/>
            <w:vMerge w:val="continue"/>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20"/>
                <w:szCs w:val="20"/>
                <w:color w:val="auto"/>
              </w:rPr>
            </w:pPr>
            <w:r>
              <w:rPr>
                <w:rFonts w:ascii="Arial" w:cs="Arial" w:eastAsia="Arial" w:hAnsi="Arial"/>
                <w:sz w:val="14"/>
                <w:szCs w:val="14"/>
                <w:b w:val="1"/>
                <w:bCs w:val="1"/>
                <w:color w:val="auto"/>
              </w:rPr>
              <w:t>31, 2018</w:t>
            </w:r>
          </w:p>
        </w:tc>
        <w:tc>
          <w:tcPr>
            <w:tcW w:w="760" w:type="dxa"/>
            <w:vAlign w:val="bottom"/>
          </w:tcPr>
          <w:p>
            <w:pPr>
              <w:jc w:val="right"/>
              <w:spacing w:after="0"/>
              <w:rPr>
                <w:sz w:val="20"/>
                <w:szCs w:val="20"/>
                <w:color w:val="auto"/>
              </w:rPr>
            </w:pPr>
            <w:r>
              <w:rPr>
                <w:rFonts w:ascii="Arial" w:cs="Arial" w:eastAsia="Arial" w:hAnsi="Arial"/>
                <w:sz w:val="14"/>
                <w:szCs w:val="14"/>
                <w:color w:val="auto"/>
              </w:rPr>
              <w:t>56,000,000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61,516</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49,501,221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70,587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46"/>
              <w:spacing w:after="0"/>
              <w:rPr>
                <w:sz w:val="20"/>
                <w:szCs w:val="20"/>
                <w:color w:val="auto"/>
              </w:rPr>
            </w:pPr>
            <w:r>
              <w:rPr>
                <w:rFonts w:ascii="Arial" w:cs="Arial" w:eastAsia="Arial" w:hAnsi="Arial"/>
                <w:sz w:val="10"/>
                <w:szCs w:val="10"/>
                <w:color w:val="auto"/>
                <w:w w:val="71"/>
              </w:rPr>
              <w:t>$</w:t>
            </w: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Vesting of founders’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Arial" w:cs="Arial" w:eastAsia="Arial" w:hAnsi="Arial"/>
                <w:sz w:val="14"/>
                <w:szCs w:val="14"/>
                <w:color w:val="auto"/>
              </w:rPr>
              <w:t>stock and restricted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rPr>
              <w:t>stock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Accretion to</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redemption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Arial" w:cs="Arial" w:eastAsia="Arial" w:hAnsi="Arial"/>
                <w:sz w:val="14"/>
                <w:szCs w:val="14"/>
                <w:color w:val="auto"/>
              </w:rPr>
              <w:t>and cumulative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Arial" w:cs="Arial" w:eastAsia="Arial" w:hAnsi="Arial"/>
                <w:sz w:val="14"/>
                <w:szCs w:val="14"/>
                <w:color w:val="auto"/>
              </w:rPr>
              <w:t>redeemable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convertible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Stock-based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w w:val="97"/>
              </w:rPr>
              <w:t>compensation expense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w w:val="99"/>
              </w:rPr>
              <w:t>Net unrealized gain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short-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Arial" w:cs="Arial" w:eastAsia="Arial" w:hAnsi="Arial"/>
                <w:sz w:val="14"/>
                <w:szCs w:val="14"/>
                <w:color w:val="auto"/>
              </w:rPr>
              <w:t>term investments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jc w:val="right"/>
              <w:spacing w:after="0"/>
              <w:rPr>
                <w:sz w:val="20"/>
                <w:szCs w:val="20"/>
                <w:color w:val="auto"/>
              </w:rPr>
            </w:pPr>
            <w:r>
              <w:rPr>
                <w:rFonts w:ascii="Arial" w:cs="Arial" w:eastAsia="Arial" w:hAnsi="Arial"/>
                <w:sz w:val="14"/>
                <w:szCs w:val="14"/>
                <w:color w:val="auto"/>
              </w:rPr>
              <w:t>56,000,000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61,516</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49,501,221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71,931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46"/>
              <w:spacing w:after="0"/>
              <w:rPr>
                <w:sz w:val="20"/>
                <w:szCs w:val="20"/>
                <w:color w:val="auto"/>
              </w:rPr>
            </w:pPr>
            <w:r>
              <w:rPr>
                <w:rFonts w:ascii="Arial" w:cs="Arial" w:eastAsia="Arial" w:hAnsi="Arial"/>
                <w:sz w:val="10"/>
                <w:szCs w:val="10"/>
                <w:color w:val="auto"/>
                <w:w w:val="71"/>
              </w:rPr>
              <w:t>$</w:t>
            </w: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Vesting of founders’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Arial" w:cs="Arial" w:eastAsia="Arial" w:hAnsi="Arial"/>
                <w:sz w:val="14"/>
                <w:szCs w:val="14"/>
                <w:color w:val="auto"/>
              </w:rPr>
              <w:t>stock and restricted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rPr>
              <w:t>stock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rPr>
              <w:t>Option exercises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Accretion to</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redemption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Arial" w:cs="Arial" w:eastAsia="Arial" w:hAnsi="Arial"/>
                <w:sz w:val="14"/>
                <w:szCs w:val="14"/>
                <w:color w:val="auto"/>
              </w:rPr>
              <w:t>and cumulative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Arial" w:cs="Arial" w:eastAsia="Arial" w:hAnsi="Arial"/>
                <w:sz w:val="14"/>
                <w:szCs w:val="14"/>
                <w:color w:val="auto"/>
              </w:rPr>
              <w:t>redeemable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convertible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1,359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Stock-based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color w:val="auto"/>
                <w:w w:val="97"/>
              </w:rPr>
              <w:t>compensation expense</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Net unrealized gains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on short-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Arial" w:cs="Arial" w:eastAsia="Arial" w:hAnsi="Arial"/>
                <w:sz w:val="14"/>
                <w:szCs w:val="14"/>
                <w:color w:val="auto"/>
              </w:rPr>
              <w:t>term investments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7"/>
        </w:trPr>
        <w:tc>
          <w:tcPr>
            <w:tcW w:w="1420" w:type="dxa"/>
            <w:vAlign w:val="bottom"/>
          </w:tcPr>
          <w:p>
            <w:pPr>
              <w:spacing w:after="0"/>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760" w:type="dxa"/>
            <w:vAlign w:val="bottom"/>
          </w:tcPr>
          <w:p>
            <w:pPr>
              <w:jc w:val="right"/>
              <w:spacing w:after="0"/>
              <w:rPr>
                <w:sz w:val="20"/>
                <w:szCs w:val="20"/>
                <w:color w:val="auto"/>
              </w:rPr>
            </w:pPr>
            <w:r>
              <w:rPr>
                <w:rFonts w:ascii="Arial" w:cs="Arial" w:eastAsia="Arial" w:hAnsi="Arial"/>
                <w:sz w:val="14"/>
                <w:szCs w:val="14"/>
                <w:color w:val="auto"/>
              </w:rPr>
              <w:t>56,000,000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61,516</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49,501,221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73,290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46"/>
              <w:spacing w:after="0"/>
              <w:rPr>
                <w:sz w:val="20"/>
                <w:szCs w:val="20"/>
                <w:color w:val="auto"/>
              </w:rPr>
            </w:pPr>
            <w:r>
              <w:rPr>
                <w:rFonts w:ascii="Arial" w:cs="Arial" w:eastAsia="Arial" w:hAnsi="Arial"/>
                <w:sz w:val="10"/>
                <w:szCs w:val="10"/>
                <w:color w:val="auto"/>
                <w:w w:val="71"/>
              </w:rPr>
              <w:t>$</w:t>
            </w:r>
          </w:p>
        </w:tc>
        <w:tc>
          <w:tcPr>
            <w:tcW w:w="280" w:type="dxa"/>
            <w:vAlign w:val="bottom"/>
          </w:tcPr>
          <w:p>
            <w:pPr>
              <w:ind w:left="14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-4422775</wp:posOffset>
            </wp:positionV>
            <wp:extent cx="7132320" cy="4423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423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4"/>
                <w:szCs w:val="14"/>
                <w:color w:val="auto"/>
              </w:rPr>
            </w:pPr>
          </w:p>
        </w:tc>
        <w:tc>
          <w:tcPr>
            <w:tcW w:w="680" w:type="dxa"/>
            <w:vAlign w:val="bottom"/>
          </w:tcPr>
          <w:p>
            <w:pPr>
              <w:jc w:val="center"/>
              <w:ind w:right="133"/>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Accumulated</w:t>
            </w: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Stockholders’</w:t>
            </w:r>
          </w:p>
        </w:tc>
      </w:tr>
      <w:tr>
        <w:trPr>
          <w:trHeight w:val="142"/>
        </w:trPr>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3"/>
              <w:spacing w:after="0" w:line="142" w:lineRule="exact"/>
              <w:rPr>
                <w:sz w:val="20"/>
                <w:szCs w:val="20"/>
                <w:color w:val="auto"/>
              </w:rPr>
            </w:pPr>
            <w:r>
              <w:rPr>
                <w:rFonts w:ascii="Arial" w:cs="Arial" w:eastAsia="Arial" w:hAnsi="Arial"/>
                <w:sz w:val="13"/>
                <w:szCs w:val="13"/>
                <w:b w:val="1"/>
                <w:bCs w:val="1"/>
                <w:color w:val="auto"/>
                <w:w w:val="89"/>
              </w:rPr>
              <w:t>Gain</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0"/>
              </w:rPr>
              <w:t>Deficit</w:t>
            </w:r>
          </w:p>
        </w:tc>
        <w:tc>
          <w:tcPr>
            <w:tcW w:w="40" w:type="dxa"/>
            <w:vAlign w:val="bottom"/>
          </w:tcPr>
          <w:p>
            <w:pPr>
              <w:spacing w:after="0"/>
              <w:rPr>
                <w:sz w:val="12"/>
                <w:szCs w:val="12"/>
                <w:color w:val="auto"/>
              </w:rPr>
            </w:pPr>
          </w:p>
        </w:tc>
      </w:tr>
      <w:tr>
        <w:trPr>
          <w:trHeight w:val="319"/>
        </w:trPr>
        <w:tc>
          <w:tcPr>
            <w:tcW w:w="700" w:type="dxa"/>
            <w:vAlign w:val="bottom"/>
          </w:tcPr>
          <w:p>
            <w:pPr>
              <w:jc w:val="right"/>
              <w:spacing w:after="0"/>
              <w:rPr>
                <w:sz w:val="20"/>
                <w:szCs w:val="20"/>
                <w:color w:val="auto"/>
              </w:rPr>
            </w:pPr>
            <w:r>
              <w:rPr>
                <w:rFonts w:ascii="Arial" w:cs="Arial" w:eastAsia="Arial" w:hAnsi="Arial"/>
                <w:sz w:val="14"/>
                <w:szCs w:val="14"/>
                <w:color w:val="auto"/>
              </w:rPr>
              <w:t>1,363,000</w:t>
            </w:r>
          </w:p>
        </w:tc>
        <w:tc>
          <w:tcPr>
            <w:tcW w:w="48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4"/>
              <w:spacing w:after="0"/>
              <w:rPr>
                <w:sz w:val="20"/>
                <w:szCs w:val="20"/>
                <w:color w:val="auto"/>
              </w:rPr>
            </w:pPr>
            <w:r>
              <w:rPr>
                <w:rFonts w:ascii="Arial" w:cs="Arial" w:eastAsia="Arial" w:hAnsi="Arial"/>
                <w:sz w:val="14"/>
                <w:szCs w:val="14"/>
                <w:color w:val="auto"/>
                <w:w w:val="76"/>
              </w:rPr>
              <w:t>$</w:t>
            </w: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   (71,470)</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   (71,469)</w:t>
            </w:r>
          </w:p>
        </w:tc>
      </w:tr>
      <w:tr>
        <w:trPr>
          <w:trHeight w:val="608"/>
        </w:trPr>
        <w:tc>
          <w:tcPr>
            <w:tcW w:w="700" w:type="dxa"/>
            <w:vAlign w:val="bottom"/>
          </w:tcPr>
          <w:p>
            <w:pPr>
              <w:jc w:val="right"/>
              <w:spacing w:after="0"/>
              <w:rPr>
                <w:sz w:val="20"/>
                <w:szCs w:val="20"/>
                <w:color w:val="auto"/>
              </w:rPr>
            </w:pPr>
            <w:r>
              <w:rPr>
                <w:rFonts w:ascii="Arial" w:cs="Arial" w:eastAsia="Arial" w:hAnsi="Arial"/>
                <w:sz w:val="14"/>
                <w:szCs w:val="14"/>
                <w:color w:val="auto"/>
              </w:rPr>
              <w:t>126,057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(320)</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(1,024)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(1,344)</w:t>
            </w:r>
          </w:p>
        </w:tc>
      </w:tr>
      <w:tr>
        <w:trPr>
          <w:trHeight w:val="310"/>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312</w:t>
            </w:r>
          </w:p>
        </w:tc>
        <w:tc>
          <w:tcPr>
            <w:tcW w:w="40" w:type="dxa"/>
            <w:vAlign w:val="bottom"/>
          </w:tcPr>
          <w:p>
            <w:pPr>
              <w:spacing w:after="0"/>
              <w:rPr>
                <w:sz w:val="24"/>
                <w:szCs w:val="24"/>
                <w:color w:val="auto"/>
              </w:rPr>
            </w:pPr>
          </w:p>
        </w:tc>
      </w:tr>
      <w:tr>
        <w:trPr>
          <w:trHeight w:val="439"/>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4"/>
                <w:szCs w:val="24"/>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(14,023)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(14,023)</w:t>
            </w: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9"/>
        </w:trPr>
        <w:tc>
          <w:tcPr>
            <w:tcW w:w="700" w:type="dxa"/>
            <w:vAlign w:val="bottom"/>
          </w:tcPr>
          <w:p>
            <w:pPr>
              <w:jc w:val="right"/>
              <w:spacing w:after="0"/>
              <w:rPr>
                <w:sz w:val="20"/>
                <w:szCs w:val="20"/>
                <w:color w:val="auto"/>
              </w:rPr>
            </w:pPr>
            <w:r>
              <w:rPr>
                <w:rFonts w:ascii="Arial" w:cs="Arial" w:eastAsia="Arial" w:hAnsi="Arial"/>
                <w:sz w:val="14"/>
                <w:szCs w:val="14"/>
                <w:color w:val="auto"/>
              </w:rPr>
              <w:t>1,489,057</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ind w:left="24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(86,517)</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(86,513)</w:t>
            </w:r>
          </w:p>
        </w:tc>
      </w:tr>
      <w:tr>
        <w:trPr>
          <w:trHeight w:val="587"/>
        </w:trPr>
        <w:tc>
          <w:tcPr>
            <w:tcW w:w="700" w:type="dxa"/>
            <w:vAlign w:val="bottom"/>
          </w:tcPr>
          <w:p>
            <w:pPr>
              <w:jc w:val="right"/>
              <w:spacing w:after="0"/>
              <w:rPr>
                <w:sz w:val="20"/>
                <w:szCs w:val="20"/>
                <w:color w:val="auto"/>
              </w:rPr>
            </w:pPr>
            <w:r>
              <w:rPr>
                <w:rFonts w:ascii="Arial" w:cs="Arial" w:eastAsia="Arial" w:hAnsi="Arial"/>
                <w:sz w:val="14"/>
                <w:szCs w:val="14"/>
                <w:color w:val="auto"/>
              </w:rPr>
              <w:t>139,363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24"/>
                <w:szCs w:val="24"/>
                <w:color w:val="auto"/>
              </w:rPr>
            </w:pPr>
          </w:p>
        </w:tc>
      </w:tr>
      <w:tr>
        <w:trPr>
          <w:trHeight w:val="182"/>
        </w:trPr>
        <w:tc>
          <w:tcPr>
            <w:tcW w:w="700" w:type="dxa"/>
            <w:vAlign w:val="bottom"/>
          </w:tcPr>
          <w:p>
            <w:pPr>
              <w:jc w:val="right"/>
              <w:spacing w:after="0"/>
              <w:rPr>
                <w:sz w:val="20"/>
                <w:szCs w:val="20"/>
                <w:color w:val="auto"/>
              </w:rPr>
            </w:pPr>
            <w:r>
              <w:rPr>
                <w:rFonts w:ascii="Arial" w:cs="Arial" w:eastAsia="Arial" w:hAnsi="Arial"/>
                <w:sz w:val="14"/>
                <w:szCs w:val="14"/>
                <w:color w:val="auto"/>
              </w:rPr>
              <w:t>21,940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(647)</w:t>
            </w: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(712)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(1,359)</w:t>
            </w:r>
          </w:p>
        </w:tc>
      </w:tr>
      <w:tr>
        <w:trPr>
          <w:trHeight w:val="311"/>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506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506</w:t>
            </w:r>
          </w:p>
        </w:tc>
        <w:tc>
          <w:tcPr>
            <w:tcW w:w="40" w:type="dxa"/>
            <w:vAlign w:val="bottom"/>
          </w:tcPr>
          <w:p>
            <w:pPr>
              <w:spacing w:after="0"/>
              <w:rPr>
                <w:sz w:val="24"/>
                <w:szCs w:val="24"/>
                <w:color w:val="auto"/>
              </w:rPr>
            </w:pPr>
          </w:p>
        </w:tc>
      </w:tr>
      <w:tr>
        <w:trPr>
          <w:trHeight w:val="439"/>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5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24"/>
                <w:szCs w:val="24"/>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24"/>
                <w:szCs w:val="24"/>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(15,522)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(15,522)</w:t>
            </w: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00" w:type="dxa"/>
            <w:vAlign w:val="bottom"/>
          </w:tcPr>
          <w:p>
            <w:pPr>
              <w:jc w:val="right"/>
              <w:spacing w:after="0"/>
              <w:rPr>
                <w:sz w:val="20"/>
                <w:szCs w:val="20"/>
                <w:color w:val="auto"/>
              </w:rPr>
            </w:pPr>
            <w:r>
              <w:rPr>
                <w:rFonts w:ascii="Arial" w:cs="Arial" w:eastAsia="Arial" w:hAnsi="Arial"/>
                <w:sz w:val="14"/>
                <w:szCs w:val="14"/>
                <w:color w:val="auto"/>
              </w:rPr>
              <w:t>1,650,360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ind w:left="24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11</w:t>
            </w:r>
          </w:p>
        </w:tc>
        <w:tc>
          <w:tcPr>
            <w:tcW w:w="1200" w:type="dxa"/>
            <w:vAlign w:val="bottom"/>
            <w:gridSpan w:val="5"/>
          </w:tcPr>
          <w:p>
            <w:pPr>
              <w:jc w:val="right"/>
              <w:ind w:right="80"/>
              <w:spacing w:after="0"/>
              <w:rPr>
                <w:sz w:val="20"/>
                <w:szCs w:val="20"/>
                <w:color w:val="auto"/>
              </w:rPr>
            </w:pPr>
            <w:r>
              <w:rPr>
                <w:rFonts w:ascii="Arial" w:cs="Arial" w:eastAsia="Arial" w:hAnsi="Arial"/>
                <w:sz w:val="14"/>
                <w:szCs w:val="14"/>
                <w:color w:val="auto"/>
              </w:rPr>
              <w:t>$  (102,751)  $</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(102,739)</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220"/>
            <w:col w:w="5020"/>
          </w:cols>
          <w:pgMar w:left="320" w:top="121" w:right="399" w:bottom="1440" w:gutter="0" w:footer="0" w:header="0"/>
          <w:type w:val="continuous"/>
        </w:sectPr>
      </w:pPr>
    </w:p>
    <w:p>
      <w:pPr>
        <w:spacing w:after="0" w:line="2" w:lineRule="exact"/>
        <w:rPr>
          <w:sz w:val="20"/>
          <w:szCs w:val="20"/>
          <w:color w:val="auto"/>
        </w:rPr>
      </w:pPr>
    </w:p>
    <w:p>
      <w:pPr>
        <w:ind w:left="2780"/>
        <w:spacing w:after="0"/>
        <w:rPr>
          <w:sz w:val="20"/>
          <w:szCs w:val="20"/>
          <w:color w:val="auto"/>
        </w:rPr>
      </w:pPr>
      <w:r>
        <w:rPr>
          <w:rFonts w:ascii="Arial" w:cs="Arial" w:eastAsia="Arial" w:hAnsi="Arial"/>
          <w:sz w:val="16"/>
          <w:szCs w:val="16"/>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(5,972)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(29,545)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 credit receivable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(6,431)</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(141,035)</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(32,762)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Maturity of short-term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23,997</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Accretion of short-term investments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(622)</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(117,692)</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common stock upon initial public offering, net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of issuance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153,119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completion of private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placement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Series C preferred stock, net of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52,019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restricted common stock</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 of deferred offering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215,340</w:t>
            </w:r>
          </w:p>
        </w:tc>
        <w:tc>
          <w:tcPr>
            <w:tcW w:w="28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85,807</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178,461</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Reclassification of restricted stock awards from liabilities to common stock</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upon vesting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Accretion to redemption value and cumulative dividends on redeemable convertible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offering costs in accounts payable and accrued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2,245</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 gain on short-term investments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Pliant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Pliant Therapeutics, Inc. (the “Company”)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On May 22, 2020, the Company implemented a 1-for-7.15 reverse stock split of the Company’s common stock. Stockholders entitled to fractional shares as a result of the reverse stock split will receive a cash payment in lieu of receiving fractional shares.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 As of June 30, 2020, all outstanding preferred stock have been converted into common stock.</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On June 3, 2019, the Company’s registration statement on Form S-1 was declared effective by the United States Securities and Exchange Commission (“SEC”), for its initial public offering (“IPO”) of its common stock. The Company’s shares of common stock started trading on the Nasdaq Select Global Market on June 3, 2020 and the transaction closed on June 5, 2020. In connection with the IPO, the Company sold an aggregate of 10,350,000 shares of common stock, which included 9,000,000 shares of common stock and 1,350,000 shares of common stock sold pursuant to the underwriters’ exercise of their option to purchase additional shares, at a public offering price of $16.00 per share. The aggregate net proceeds received by the Company from the offering were $148.4 million, net of underwriting discounts, commissions and offering expenses of $5.6 million, of which $2.6 million were paid in 2019 and $0.9 million paid in the current year. Upon the closing of the IPO, 160,389,279 shares of the Company’s outstanding convertible preferred stock were automatically converted to common stock on a 7.15:1 basis and the related carrying amount of $238.3 million was reclassified to common stock and additional paid-in capital within stockholders’ equity (deficit).</w:t>
      </w:r>
    </w:p>
    <w:p>
      <w:pPr>
        <w:spacing w:after="0" w:line="181"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Concurrent with the completion of the IPO, the Company also issued 625,000 shares of its common stock to Novartis (“Novartis”), a strategic partner and existing stockholder of the Company, in a private placement at a price of $16.00 per share for proceeds of $10.0 million, which resulted in Novartis owning approximately 6.1% of the Company’s outstanding shares of common stock (Note 6).</w:t>
      </w:r>
    </w:p>
    <w:p>
      <w:pPr>
        <w:spacing w:after="0" w:line="288" w:lineRule="exact"/>
        <w:rPr>
          <w:sz w:val="20"/>
          <w:szCs w:val="20"/>
          <w:color w:val="auto"/>
        </w:rPr>
      </w:pPr>
    </w:p>
    <w:p>
      <w:pPr>
        <w:ind w:left="260" w:right="7660" w:hanging="252"/>
        <w:spacing w:after="0" w:line="378" w:lineRule="auto"/>
        <w:tabs>
          <w:tab w:leader="none" w:pos="18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380" w:firstLine="510"/>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accompanying condensed balance sheet as of June 30, 2020, condensed statements of operations and comprehensive (loss) income, condensed statements of cash flows, and the condensed statements of convertible preferred shares and shareholders’ (deficit) equity for the three and six months ended June 30, 2020 and 2019, are unaudited. The balance sheet as of December 31, 2019 was derived from audited financial statements as of and for the year ended December 31, 2019. The unaudited interim condensed financial statements have been prepared on the same basis as the audited annual financial statements as of and for the year ended December 31, 2019, and, in the opinion of management, reflect all adjustments, which include only normal recurring adjustments, necessary for the fair statement of the Company’s financial position as of June 30, 2020, and the results of its operations and its cash flows for the three and six months ended June 30, 2020 and 2019. The financial data and other information disclosed in these notes related to the three and six months ended June 30, 2020 and 2019, are also unaudited.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useful lives assigned to property and equipment, the fair values of common and redeemable convertible preferred stock, stock-based compensation expense, accruals for research and development costs, income taxes and uncertain tax positions. The Company assesses estimates on an ongoing basis; however, actual results could materially differ from those estimates.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 xml:space="preserve">The Company accounts for its total revenue under Accounting Standards Update or ASU, ASU 2014-09,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which was adopted by the Company using the full retrospective transition method. ASU 2014-09 provides a single,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comprehensive revenue recognition model for all contracts with customers. This standard contains principles for the determination of the measurement of revenue and the timing of when such revenue is recognized. Revenue recognition will reflect the transfer of goods or services to customers at an amount that is expected to be earned in exchange for those goods or services. Subsequently, the FASB has issued the following guidance to amend ASU 2014-09: ASU No. 2015-14, Revenue from Contracts with Customers (Topic 606): </w:t>
      </w:r>
      <w:r>
        <w:rPr>
          <w:rFonts w:ascii="Arial" w:cs="Arial" w:eastAsia="Arial" w:hAnsi="Arial"/>
          <w:sz w:val="16"/>
          <w:szCs w:val="16"/>
          <w:i w:val="1"/>
          <w:iCs w:val="1"/>
          <w:color w:val="auto"/>
        </w:rPr>
        <w:t>Deferral of the Effective Date</w:t>
      </w:r>
      <w:r>
        <w:rPr>
          <w:rFonts w:ascii="Arial" w:cs="Arial" w:eastAsia="Arial" w:hAnsi="Arial"/>
          <w:sz w:val="16"/>
          <w:szCs w:val="16"/>
          <w:color w:val="auto"/>
        </w:rPr>
        <w:t xml:space="preserve">; ASU No. 2016-08,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w:t>
      </w:r>
      <w:r>
        <w:rPr>
          <w:rFonts w:ascii="Arial" w:cs="Arial" w:eastAsia="Arial" w:hAnsi="Arial"/>
          <w:sz w:val="16"/>
          <w:szCs w:val="16"/>
          <w:i w:val="1"/>
          <w:iCs w:val="1"/>
          <w:color w:val="auto"/>
        </w:rPr>
        <w:t xml:space="preserve"> Principal versus Agent Considerations (Reporting Revenue Gross versus Net)</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(Topic 606):</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ASU No. 2016-12,</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(Topic 606):</w:t>
      </w:r>
      <w:r>
        <w:rPr>
          <w:rFonts w:ascii="Arial" w:cs="Arial" w:eastAsia="Arial" w:hAnsi="Arial"/>
          <w:sz w:val="16"/>
          <w:szCs w:val="16"/>
          <w:i w:val="1"/>
          <w:iCs w:val="1"/>
          <w:color w:val="auto"/>
        </w:rPr>
        <w:t xml:space="preserve">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w:t>
      </w:r>
      <w:r>
        <w:rPr>
          <w:rFonts w:ascii="Arial" w:cs="Arial" w:eastAsia="Arial" w:hAnsi="Arial"/>
          <w:sz w:val="16"/>
          <w:szCs w:val="16"/>
          <w:color w:val="auto"/>
        </w:rPr>
        <w:t>, which clarifies</w:t>
      </w:r>
      <w:r>
        <w:rPr>
          <w:rFonts w:ascii="Arial" w:cs="Arial" w:eastAsia="Arial" w:hAnsi="Arial"/>
          <w:sz w:val="16"/>
          <w:szCs w:val="16"/>
          <w:i w:val="1"/>
          <w:iCs w:val="1"/>
          <w:color w:val="auto"/>
        </w:rPr>
        <w:t xml:space="preserve"> </w:t>
      </w:r>
      <w:r>
        <w:rPr>
          <w:rFonts w:ascii="Arial" w:cs="Arial" w:eastAsia="Arial" w:hAnsi="Arial"/>
          <w:sz w:val="16"/>
          <w:szCs w:val="16"/>
          <w:color w:val="auto"/>
        </w:rPr>
        <w:t>narrow aspects of Topic 606 or corrects unintended application of the guidance. The Company adopted ASU No. 2015-14, ASU No. 2016-08, ASU No. 2016-10, ASU No. 2016-12, and ASU No. 2016-20 with ASU No. 2014-09, which are referred to collectively as the “Topic 606”.</w:t>
      </w:r>
    </w:p>
    <w:p>
      <w:pPr>
        <w:spacing w:after="0" w:line="17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FASB issued ASU No. 2018-18, “Collaborative Arrangements (Topic 808)” issued in November 2018. The Company assessed and concluded that they are not under Topic 808 and as the Novartis Agreement is not considered a collaboration under its provisions.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 date all revenue has been generated from the Company’s Collaboration and License Agreement with Novartis (the “Novartis Agreement”).</w:t>
      </w:r>
    </w:p>
    <w:p>
      <w:pPr>
        <w:spacing w:after="0" w:line="23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Company’s revenue is generated solely from the Novartis Agreement. The Company’s licensing agreement includes upfront signing fees, cost reimbursements, research and development services, milestone payments and royalties on future licensee’s product sales. The Company has both fixed and variable consideration. Non-refundable upfront fees are considered fixed, while funding of research and development activities and milestone payments are identified as variable consideration. A contract liability is an obligation to transfer goods or services for which the Company has received consideration, or for which an amount of consideration is due from the customer. A contract asset is a right to consideration in exchange for goods or services that the Company has transferred to a customer when that right is conditional on something other than the passage of time. A receivable will be recorded on the balance sheet when the Company has unconditional rights to consideration (i.e., only the passage of time is required before payment becomes due). Receivables cannot be netted against contract liabilities and are presented separately from contract assets. Contract assets and contract liabilities are netted at the contract level and are then aggregated and presented separately each reporting period.</w:t>
      </w:r>
    </w:p>
    <w:p>
      <w:pPr>
        <w:spacing w:after="0" w:line="166" w:lineRule="exact"/>
        <w:rPr>
          <w:sz w:val="20"/>
          <w:szCs w:val="20"/>
          <w:color w:val="auto"/>
        </w:rPr>
      </w:pPr>
    </w:p>
    <w:p>
      <w:pPr>
        <w:ind w:right="480" w:firstLine="510"/>
        <w:spacing w:after="0" w:line="291"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its agreements, the Company performs the following steps: (i) identification of the contract with a customer; (ii) identification of the performance obligations in the contract;</w:t>
      </w:r>
    </w:p>
    <w:p>
      <w:pPr>
        <w:ind w:right="380" w:firstLine="8"/>
        <w:spacing w:after="0" w:line="260"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 (iv) allocation of the transaction price to the performance obligations in the contract; and (v) recognition of revenue when (or as) we satisfy each performance obligation.</w:t>
      </w:r>
    </w:p>
    <w:p>
      <w:pPr>
        <w:spacing w:after="0" w:line="18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The Company’s performance obligations include providing the worldwide license rights to compound PLN-1474, provide research and development services for PLN-1474 through Phase 1 of its development and provide research and development services on initial candidate targets, which services are combined with a non-exclusive license to the initial candidate targets. The Company concluded that the worldwide license was distinct because the customer can benefit from the license on its own or together with other resources that are readily available, and the research and development services are not transformative in nature. The Company concluded the research and development services on initial candidate targets were not distinct from a non-exclusive license for the initial candidate targets, primarily as a result of (i) Pliant being unable to benefit on its own or together with other resources that are readily available as the license and (ii) the research and development services, including manufacturing in support of such services, were expected to significantly modify the initial license. Therefore, the promised goods and services were considered a single performance obligation. Significant management judgment is required in the identification of performance obligations and to determine the level of effort required under an arrangement and the period over which the Company expects to complete our performance obligations under the arrangement. If the Company cannot reasonably estimate when the performance obligations either are completed or become inconsequential, then revenue recognition is deferred until the Company can reasonably make such estimates. The Company estimates the transaction price and records revenue in the amount for which it is probable that a significant reversal of cumulative revenue recognized will not occur. At the end of each subsequent reporting period, we re-evaluate the estimated variable consideration included in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9" w:name="page10"/>
    <w:bookmarkEnd w:id="9"/>
    <w:p>
      <w:pPr>
        <w:ind w:right="320"/>
        <w:spacing w:after="0" w:line="286" w:lineRule="auto"/>
        <w:rPr>
          <w:sz w:val="20"/>
          <w:szCs w:val="20"/>
          <w:color w:val="auto"/>
        </w:rPr>
      </w:pPr>
      <w:r>
        <w:rPr>
          <w:rFonts w:ascii="Arial" w:cs="Arial" w:eastAsia="Arial" w:hAnsi="Arial"/>
          <w:sz w:val="17"/>
          <w:szCs w:val="17"/>
          <w:color w:val="auto"/>
        </w:rPr>
        <w:t>transaction price and any related constraint, and if necessary, adjusts its estimate of the overall transaction price. Revenue is then recognized over the remaining estimated period of performance using the cumulative catch-up method. The estimated period of performance and project costs are reviewed quarterly and adjusted, as needed, to reflect the Company’s current assumptions regarding the timing of our deliverables.</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As part of the accounting for these arrangements, the Company must develop assumptions that require judgment to determine the stand-alone selling price of each performance obligation identified in the contract. The Company has never sold the performance obligations separately; therefore, an observable stand-alone selling price does not exist. Accordingly, the Company estimates a stand-alone selling price through maximizing the use of observable inputs such as market data, project cost estimates, and targeted margins. The Company determined that each of the performance obligations is priced and delivered at the stand-alone selling price. Therefore, no reallocations are needed since there is no material right and the license and services are provided at the stand-alone selling price.</w:t>
      </w:r>
    </w:p>
    <w:p>
      <w:pPr>
        <w:spacing w:after="0" w:line="19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During the three and six months ended June 30, 2020, the entirety of the Company’s revenue—related party is related to the Collaboration and License Agreement with Novartis. The Company did not have any prior revenue agreements and did not recognize revenue during the three and six months ended June 30, 2019. Receivables from collaborations are typically unsecured and are concentrated in the biopharmaceutical industry. Accordingly, the Company may be exposed to credit risk generally associated with biopharmaceutical companies or specific to the Novartis Agreement. An allowance on the receivables will be recorded if circumstances indicate collection is doubtful for a particular receivables balance. To date, the Company has not experienced any losses related to these receivables.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short-term investments, tax credit receivable, accounts receivable, prepaid expenses and other current assets, accounts payable and accrued liabilities approximate fair value due to their short-term maturities.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short-term investments and accounts receivable. The Company invests in money market funds, treasury bill and notes and government notes. The Company limits its credit risk associated with its cash and cash equivalents by placing them with banks and institutions it believes are highly credit worthy and in highly rated investments. The Company performs credit evaluations of its customer, and the risk with respect to accounts receivable is further mitigated by the short duration of customer payment terms, generally within 60 days, and the pedigree of the customer base. During the three and six months ended June 30, 2020, Novartis accounted for 100% of the Company’s revenue—related party and accounts receivable.</w:t>
      </w:r>
    </w:p>
    <w:p>
      <w:pPr>
        <w:spacing w:after="0" w:line="178"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and United States (“U.S.”) government agency securities and are stated at fair value.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Company’s short-term investments consist of U.S. Treasury securities and U.S. government agency securities with remaining maturities beyond three months at the date of purchase and one year or less from the balance sheet date. As of June 30, 2020 and December 31, 2019, all of the Company’s short-term investments were classified as available-for-sale and were carried at fair market value. The unrealized losses on the Company’s available-for-sale securities are recorded in “other comprehensive income and losses” (“OCI”) in the statements of operations and comprehensive (loss) income. See Note 3 for further details.</w:t>
      </w:r>
    </w:p>
    <w:p>
      <w:pPr>
        <w:spacing w:after="0" w:line="188"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 Once a decline in fair value is determined to be other-than-temporary, an impairment charge will be recorded to other expense, net, in the statements of operations and comprehensive (loss) income and a new cost basis in the short-term investment will be established. As of June 30, 2020, the Company had not recorded any impairment related to other-than-temporary declines in the fair value of short-term investments.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6440" w:type="dxa"/>
            <w:vAlign w:val="bottom"/>
            <w:shd w:val="clear" w:color="auto" w:fill="CFF0FC"/>
          </w:tcPr>
          <w:p>
            <w:pPr>
              <w:ind w:left="134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440" w:type="dxa"/>
            <w:vAlign w:val="bottom"/>
          </w:tcPr>
          <w:p>
            <w:pPr>
              <w:ind w:left="134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440" w:type="dxa"/>
            <w:vAlign w:val="bottom"/>
            <w:shd w:val="clear" w:color="auto" w:fill="CFF0FC"/>
          </w:tcPr>
          <w:p>
            <w:pPr>
              <w:ind w:left="1340"/>
              <w:spacing w:after="0"/>
              <w:rPr>
                <w:sz w:val="20"/>
                <w:szCs w:val="20"/>
                <w:color w:val="auto"/>
              </w:rPr>
            </w:pPr>
            <w:r>
              <w:rPr>
                <w:rFonts w:ascii="Arial" w:cs="Arial" w:eastAsia="Arial" w:hAnsi="Arial"/>
                <w:sz w:val="18"/>
                <w:szCs w:val="18"/>
                <w:color w:val="auto"/>
              </w:rPr>
              <w:t>Shorter of remaining lease term or estimated useful life</w:t>
            </w:r>
          </w:p>
        </w:tc>
      </w:tr>
    </w:tbl>
    <w:p>
      <w:pPr>
        <w:spacing w:after="0" w:line="242"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Upon retirement or sale of the assets, the cost and related accumulated depreciation and amortization are removed from the balance sheets and the resulting gain or loss is recorded to the statements of operations and comprehensive (loss) income. Repairs and maintenance are expensed as incurred.</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three and six months ended June 30, 2020 and 2019.</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Company classified redeemable convertible preferred stock outside of stockholders’ deficit because, upon the occurrence of certain change in control events that are outside the Company’s control, including liquidation, sale or transfer of the Company’s assets, holders of the redeemable convertible preferred stock can cause redemption for cash. At any time on or after December 19, 2024, the holders of a majority of the outstanding redeemable convertible preferred stock could also require the Company to redeem the redeemable convertible preferred stock by providing the Company a written notice requesting such redemption. The Company recognized changes in the redemption value immediately as they occur, for example changes in fair value of preferred stock, and adjusts the carrying amount of the redeemable convertible preferred stock to equal the redemption value at the end of each reporting period up through December 19, 2019, when the Company entered into the Series C Preferred Stock Purchase Agreement. See Note 9 for further details. In the absence of retained earnings these accretion charges are recorded against additional paid in capital, if any, and then to accumulated deficit. The Company analyzed all embedded derivatives and beneficial conversion features for its redeemable convertible preferred stock and concluded that none requires bifurcation. All preferred stock was automatically converted into common stock upon the Company’s IPO in June 2020.</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60" w:firstLine="51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primarily of personnel costs for the Company’s research and product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ind w:right="60" w:firstLine="510"/>
        <w:spacing w:after="0" w:line="273" w:lineRule="auto"/>
        <w:rPr>
          <w:sz w:val="20"/>
          <w:szCs w:val="20"/>
          <w:color w:val="auto"/>
        </w:rPr>
      </w:pPr>
      <w:r>
        <w:rPr>
          <w:rFonts w:ascii="Arial" w:cs="Arial" w:eastAsia="Arial" w:hAnsi="Arial"/>
          <w:sz w:val="17"/>
          <w:szCs w:val="17"/>
          <w:color w:val="auto"/>
        </w:rPr>
        <w:t>The Company estimates preclinical and clinical studies and research expenses based on the services performed, pursuant to contracts with research institutions that conduct and manage preclinical and clinical studies and research services on its behalf. The Company estimates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and are expensed over the time when services are rendered.</w:t>
      </w:r>
    </w:p>
    <w:p>
      <w:pPr>
        <w:spacing w:after="0" w:line="17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Credit Receivable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was eligible for federal and California research and development credits for its research and development activities performed within the United States and California, respectively. The credits are generally available to offset federal and California income tax liabilities. Starting in the fourth quarter of 2019, the Company was no longer eligible for federal and California research development credits as it generated revenue during the year. The Company, however, is still eligible for future federal research and development credits for its research and development activities performed within the United States and California.</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Company’s stock-based equity awards include restricted stock awards and stock options that are granted to employees and consultants and accounted at fair value on the award grant date. Stock-based compensation expense is recognized over the awards’ vesting period on a straight-line basis and recorded as either research and development or general and administrative expenses in the statements of operations and comprehensive (loss) income based on the function to which the related services are provided. Forfeitures are accounted for as they occur.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Black-Scholes option-pricing model, used to estimate fair value of stock-based awards, requires the use of the following assumptions:</w:t>
      </w:r>
    </w:p>
    <w:p>
      <w:pPr>
        <w:spacing w:after="0" w:line="129" w:lineRule="exact"/>
        <w:rPr>
          <w:sz w:val="20"/>
          <w:szCs w:val="20"/>
          <w:color w:val="auto"/>
        </w:rPr>
      </w:pPr>
    </w:p>
    <w:p>
      <w:pPr>
        <w:ind w:left="1000" w:right="1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options was calculated based on the weighted-average vesting term of the awards and the contract period, or simplified method.</w:t>
      </w:r>
    </w:p>
    <w:p>
      <w:pPr>
        <w:spacing w:after="0" w:line="75" w:lineRule="exact"/>
        <w:rPr>
          <w:rFonts w:ascii="Arial" w:cs="Arial" w:eastAsia="Arial" w:hAnsi="Arial"/>
          <w:sz w:val="18"/>
          <w:szCs w:val="18"/>
          <w:color w:val="auto"/>
        </w:rPr>
      </w:pPr>
    </w:p>
    <w:p>
      <w:pPr>
        <w:ind w:left="1000" w:right="260" w:hanging="493"/>
        <w:spacing w:after="0" w:line="25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—Prior to the Company being public, the Company did not have any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we will continue to apply this process until enough historical information regarding the volatility of its stock price becomes available.</w:t>
      </w:r>
    </w:p>
    <w:p>
      <w:pPr>
        <w:spacing w:after="0" w:line="79"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the common stock and has no plans to pay dividends on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Company used an expected dividend yield of zero.</w:t>
      </w:r>
    </w:p>
    <w:p>
      <w:pPr>
        <w:spacing w:after="0" w:line="170"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 xml:space="preserve">Prior to our IPO, the fair value of our common stock has been determined using independent third-party valuations based on relevant valuation methodologies as outlined in the American Institute of Certified Public Accountants (AICPA) Practice Aid,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The Company also considered the amount of time between the independent third-party valuation dates and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dates and used interpolation of the fair value between the two valuation dates to estimate common stock fair value at each grant date. This determination included an evaluation of whether the subsequent valuation indicated that any significant change in valuation had occurred between the previous valuation and the grant date. After our IPO, we will use our stock price traded on NASAQ to determine its fair value.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Deferred offering costs, consisting of direct legal, accounting, filing and other fees directly related to the Company’s IPO were capitalized and reclassified to additional paid in capital upon completion of the IPO. The Company deferred $2.7 million as of December 31, 2019, which is recorded as other non-current assets in the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Leases and Rent Expense</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Company records rent expense on a straight-line basis over the life of the lease. In cases where there is a free rent period or future fixed rent escalations, the Company records a deferred rent liability. Additionally, the receipt of any lease incentives is recorded as a deferred rent liability which is amortized over the lease term as a reduction of rent expense. Building improvements made with the lease incentives or tenant allowances are capitalized as leasehold improvements and included in property and equipment, net in the Balance Sheets.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16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accounts for uncertain tax positions in accordance with ASC No. 740-10</w:t>
      </w:r>
      <w:r>
        <w:rPr>
          <w:rFonts w:ascii="Arial" w:cs="Arial" w:eastAsia="Arial" w:hAnsi="Arial"/>
          <w:sz w:val="16"/>
          <w:szCs w:val="16"/>
          <w:i w:val="1"/>
          <w:iCs w:val="1"/>
          <w:color w:val="auto"/>
        </w:rPr>
        <w:t>, Accounting for Uncertainty in Income Taxes</w:t>
      </w:r>
      <w:r>
        <w:rPr>
          <w:rFonts w:ascii="Arial" w:cs="Arial" w:eastAsia="Arial" w:hAnsi="Arial"/>
          <w:sz w:val="16"/>
          <w:szCs w:val="16"/>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includes any penalties and interest expense related to income taxes as a component of income tax expense, as necessary.</w:t>
      </w: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 Income</w:t>
      </w:r>
    </w:p>
    <w:p>
      <w:pPr>
        <w:spacing w:after="0" w:line="117"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Comprehensive (loss) income includes net (loss) income as well as other changes in stockholders’ deficit that result from transactions and economic events other than those with stockholders. For the three and six months ended June 30, 2020, the Company had a $89,000 and a $29,000 net unrealized loss on short-term investments, respectively. For the three and six months ended June 30, 2019, the Company had a $8,000 and a $11,000 net unrealized gain on short-term investments, respectively.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Income Per Share</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Basic net (loss) income per share is computed by dividing net (loss) income attributed to common stockholders by the weighted-average number of shares of common stock outstanding during the period. Diluted net (loss) income per share is computed using the weighted-average number of shares of common stock outstanding during the period and, if dilutive, the weighted-average number of potential shares of common stock.</w:t>
      </w:r>
    </w:p>
    <w:p>
      <w:pPr>
        <w:spacing w:after="0" w:line="14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Prior to the conversion of our preferred stock in our IPO, net (loss) income per share attributable to common stockholders is calculated using the two-class method, which is based on an earnings allocation formula that determines net (loss) income per share for the Company’s common stockholders and holders of participating securities. The holders of preferred stock are entitled to receive dividends prior and in preference to any declaration or payment of any dividend on the common stock. Under this method, net (loss) income is increased or reduced by the amount of any dividends earned and accretion of redeemable convertible preferred stock to its redemption value, if any, during the period. The undistributed earnings are allocated to common stock and each series of redeemable convertible preferred stock to the extent that each preferred security may share in the earnings as if all of the earnings for the period had been distributed. Net (loss) income attributable to common stockholders and participating preferred shares are allocated to each share on an as-converted basis as if all the earnings for the period had been distributed. The participating securities do not include a contractual obligation to share in losses of the Company and are not included in the calculation of net (loss) income per share in the periods in which a net loss is recorded. Diluted net (loss) income per share is computed using the more dilutive of (a) the two-class method or (b) the as-converted method. The Company allocates earnings first to redeemable convertible preferred shares stockholders based on dividend rights and then to common and preferred stockholders based on ownership interests. The weighted-average number of shares of common stock included in the computation of diluted net (loss) income gives effect to all potentially dilutive common equivalent shares, including outstanding stock options and preferred stock.</w:t>
      </w:r>
    </w:p>
    <w:p>
      <w:pPr>
        <w:spacing w:after="0" w:line="17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Common stock equivalent shares are excluded from the computation of diluted net loss income per share if their effect is antidilutive. In periods in which the Company reports a net loss income attributable to common stockholders, diluted net loss income per share attributable to common stockholders is generally the same as basic net loss income per share attributable to common stockholders since dilutive common shares are not assumed to have been issued if their effect is antidilutive. The Company reported a net loss attributable to common stockholders for the three and six months ended June 30, 2020 and 2019.</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 Update (“ASU”) No. 2016-02,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r>
        <w:rPr>
          <w:rFonts w:ascii="Arial" w:cs="Arial" w:eastAsia="Arial" w:hAnsi="Arial"/>
          <w:sz w:val="16"/>
          <w:szCs w:val="16"/>
          <w:color w:val="auto"/>
        </w:rPr>
        <w:t>), which requires an entity to recognize assets and liabilities arising from a lease for both financing and operating leases. For public entities, ASU</w:t>
      </w:r>
      <w:r>
        <w:rPr>
          <w:rFonts w:ascii="Arial" w:cs="Arial" w:eastAsia="Arial" w:hAnsi="Arial"/>
          <w:sz w:val="16"/>
          <w:szCs w:val="16"/>
          <w:i w:val="1"/>
          <w:iCs w:val="1"/>
          <w:color w:val="auto"/>
        </w:rPr>
        <w:t xml:space="preserve"> </w:t>
      </w:r>
      <w:r>
        <w:rPr>
          <w:rFonts w:ascii="Arial" w:cs="Arial" w:eastAsia="Arial" w:hAnsi="Arial"/>
          <w:sz w:val="16"/>
          <w:szCs w:val="16"/>
          <w:color w:val="auto"/>
        </w:rPr>
        <w:t>No. 2016-02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 having elected the extended transition period for complying with new or revised accounting standards pursuant to Section 107(b) of the JOBS Act, ASU No. 2016-02 is effective for the Company in the fiscal years beginning after December 15, 2022, with early adoption permitted. The Company is currently in the process of evaluating the impact of the adoption of ASU No. 2016-02 on the Company’s financial statements.</w:t>
      </w:r>
    </w:p>
    <w:p>
      <w:pPr>
        <w:spacing w:after="0" w:line="166"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In December 2019, the FASB issued Accounting Standards Update 2019-12 (“ASU 2019-12”), Income Taxes (topic 740): Simplifying the Accounting for Income Taxes.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ASU 2019-12 removes the exception for intraperiod tax allocations when there is a loss from continuing operations and income or a gain from other items (other comprehensive income). ASU 2019-12 is effective beginning on January 1, 2021. Early adoption of the amendments is permitted. The Company has early adopted the new standard effective January 1, 2020, and its adoption did not have a material impact on our condensed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short-term investments in U.S. Treasury and U.S. government agency securities have been classified and accounted for as available-for-sale. The Company classifies its U.S. Treasury and U.S. government agency securities as Level 2 based on each instrument’s underlying contractual maturity date. Unrealized gains and losses on U.S. Treasury and U.S. government agency securities classified as available-for-sale are recognized in other comprehensive (loss) income.</w:t>
      </w:r>
    </w:p>
    <w:p>
      <w:pPr>
        <w:spacing w:after="0" w:line="187"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70"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w:t>
      </w:r>
      <w:r>
        <w:rPr>
          <w:rFonts w:ascii="Arial" w:cs="Arial" w:eastAsia="Arial" w:hAnsi="Arial"/>
          <w:sz w:val="18"/>
          <w:szCs w:val="18"/>
          <w:i w:val="1"/>
          <w:iCs w:val="1"/>
          <w:color w:val="auto"/>
        </w:rPr>
        <w:t xml:space="preserve"> </w:t>
      </w:r>
      <w:r>
        <w:rPr>
          <w:rFonts w:ascii="Arial" w:cs="Arial" w:eastAsia="Arial" w:hAnsi="Arial"/>
          <w:sz w:val="18"/>
          <w:szCs w:val="18"/>
          <w:color w:val="auto"/>
        </w:rPr>
        <w:t>no market data.</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Company’s cash equivalent Money Market Funds are classified as Level 1 because they are valued using quoted market prices. The fair value of the Company’s U.S. Treasury securities and U.S. government agency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and U.S. Treasury securities.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ind w:right="260" w:firstLine="510"/>
        <w:spacing w:after="0" w:line="277" w:lineRule="auto"/>
        <w:rPr>
          <w:sz w:val="20"/>
          <w:szCs w:val="20"/>
          <w:color w:val="auto"/>
        </w:rPr>
      </w:pPr>
      <w:r>
        <w:rPr>
          <w:rFonts w:ascii="Arial" w:cs="Arial" w:eastAsia="Arial" w:hAnsi="Arial"/>
          <w:sz w:val="18"/>
          <w:szCs w:val="18"/>
          <w:color w:val="auto"/>
        </w:rPr>
        <w:t>The following tables show the Company’s cash and cash equivalents, Money Market Funds and short-term investments by significant investment category as of June 30, 2020 and December 31, 2019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As of June 30, 2020</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1"/>
                <w:szCs w:val="11"/>
                <w:color w:val="auto"/>
              </w:rPr>
            </w:pPr>
          </w:p>
        </w:tc>
        <w:tc>
          <w:tcPr>
            <w:tcW w:w="86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1:</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126,191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240"/>
              <w:spacing w:after="0"/>
              <w:rPr>
                <w:sz w:val="20"/>
                <w:szCs w:val="20"/>
                <w:color w:val="auto"/>
              </w:rPr>
            </w:pPr>
            <w:r>
              <w:rPr>
                <w:rFonts w:ascii="Arial" w:cs="Arial" w:eastAsia="Arial" w:hAnsi="Arial"/>
                <w:sz w:val="18"/>
                <w:szCs w:val="18"/>
                <w:color w:val="auto"/>
              </w:rPr>
              <w:t>U.S. Treasury securities included in short-term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 included in cash</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cash equivalents and short-term investments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62,051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273,948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1"/>
                <w:szCs w:val="11"/>
                <w:color w:val="auto"/>
              </w:rPr>
            </w:pPr>
          </w:p>
        </w:tc>
        <w:tc>
          <w:tcPr>
            <w:tcW w:w="86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Level 1:</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16,366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240"/>
              <w:spacing w:after="0"/>
              <w:rPr>
                <w:sz w:val="20"/>
                <w:szCs w:val="20"/>
                <w:color w:val="auto"/>
              </w:rPr>
            </w:pPr>
            <w:r>
              <w:rPr>
                <w:rFonts w:ascii="Arial" w:cs="Arial" w:eastAsia="Arial" w:hAnsi="Arial"/>
                <w:sz w:val="18"/>
                <w:szCs w:val="18"/>
                <w:color w:val="auto"/>
              </w:rPr>
              <w:t>U.S. Treasury securities included in short-term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 included in</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53,568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There were no liabilities measured at fair value on a recurring basis as of June 30, 20202 and December 31, 2019. There have been no transfers between fair value measurement levels during the six months ended June 30, 2020 and 2019. In addition, there were no assets or liabilities measured at fair value on a non-recurring basis as of June 30, 2020 and December 31, 2019.</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As of June 30, 2020,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76"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The Company records interest income and accretion income earned on Money Market Funds and U.S. Treasury and U.S. government agency securities to interest income in its statement of operations and comprehensive (loss) income.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property and equipment, gross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6,267</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(2,188)</w:t>
            </w:r>
          </w:p>
        </w:tc>
      </w:tr>
      <w:tr>
        <w:trPr>
          <w:trHeight w:val="223"/>
        </w:trPr>
        <w:tc>
          <w:tcPr>
            <w:tcW w:w="53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Depreciation expense for the three months ended June 30, 2020 and 2019 was $0.3 million and $0.2 million, respectively. Depreciation expense for the six months ended June 30, 2020 and 2019 was $0.6 million and $0.5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Accrued Liabilities and Other Long-Term Liabilities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5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compensation and benefits consist primarily of accrued bonuses and accrued vacation.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jc w:val="center"/>
              <w:ind w:left="219"/>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jc w:val="center"/>
              <w:ind w:left="219"/>
              <w:spacing w:after="0" w:line="149"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000" w:type="dxa"/>
            <w:vAlign w:val="bottom"/>
          </w:tcPr>
          <w:p>
            <w:pPr>
              <w:spacing w:after="0"/>
              <w:rPr>
                <w:sz w:val="14"/>
                <w:szCs w:val="14"/>
                <w:color w:val="auto"/>
              </w:rPr>
            </w:pPr>
          </w:p>
        </w:tc>
        <w:tc>
          <w:tcPr>
            <w:tcW w:w="2180" w:type="dxa"/>
            <w:vAlign w:val="bottom"/>
            <w:gridSpan w:val="2"/>
          </w:tcPr>
          <w:p>
            <w:pPr>
              <w:jc w:val="center"/>
              <w:ind w:left="1588"/>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3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540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Leasehold incentive obligation</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 deposits</w:t>
            </w:r>
          </w:p>
        </w:tc>
        <w:tc>
          <w:tcPr>
            <w:tcW w:w="13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8"/>
                <w:szCs w:val="18"/>
                <w:color w:val="auto"/>
              </w:rPr>
              <w:t>Total other long-term liabilities</w:t>
            </w:r>
          </w:p>
        </w:tc>
        <w:tc>
          <w:tcPr>
            <w:tcW w:w="136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951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Novartis Agreement</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October 2019, the Company entered into a Collaboration and License Agreement with Novartis (the “Novartis Agreement”), for the development and commercialization of our preclinical product candidate, PLN-1474 and up to three additional integrin research targets. PLN-1474 is an internally discovered small molecule selective inhibitor of integrin α</w:t>
      </w:r>
      <w:r>
        <w:rPr>
          <w:rFonts w:ascii="Arial" w:cs="Arial" w:eastAsia="Arial" w:hAnsi="Arial"/>
          <w:sz w:val="15"/>
          <w:szCs w:val="15"/>
          <w:color w:val="auto"/>
        </w:rPr>
        <w:t>v</w:t>
      </w:r>
      <w:r>
        <w:rPr>
          <w:rFonts w:ascii="Arial" w:cs="Arial" w:eastAsia="Arial" w:hAnsi="Arial"/>
          <w:sz w:val="18"/>
          <w:szCs w:val="18"/>
          <w:color w:val="auto"/>
        </w:rPr>
        <w:t>ß</w:t>
      </w:r>
      <w:r>
        <w:rPr>
          <w:rFonts w:ascii="Arial" w:cs="Arial" w:eastAsia="Arial" w:hAnsi="Arial"/>
          <w:sz w:val="15"/>
          <w:szCs w:val="15"/>
          <w:color w:val="auto"/>
        </w:rPr>
        <w:t>1</w:t>
      </w:r>
      <w:r>
        <w:rPr>
          <w:rFonts w:ascii="Arial" w:cs="Arial" w:eastAsia="Arial" w:hAnsi="Arial"/>
          <w:sz w:val="18"/>
          <w:szCs w:val="18"/>
          <w:color w:val="auto"/>
        </w:rPr>
        <w:t>, currently being developed for the treatment of liver fibrosis associated with nonalcoholic steatohepatitis (“NASH”). In accordance with the Novartis Agreement, on December 7, 2019, Novartis paid to Pliant an upfront non-refundable license fee of $50.0 million for the worldwide exclusive license to PLN-1474.</w:t>
      </w:r>
    </w:p>
    <w:p>
      <w:pPr>
        <w:spacing w:after="0" w:line="18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Novartis will fund the Company’s research and development services for PLN-1474 through Phase 1 after which Novartis will assume responsibility for all future development, manufacturing and commercialization costs of PLN-1474. Novartis will also fund the research and development services associated with integrin research targets as outlined in the Novartis Agreement. The Company is scheduled to receive up to $19.6 million in funding for PLN-1474 development services through Phase 1 of its development, which is expected to go through 2020. The Company is initially obligated to perform research and development services on the integrin research targets for sixty days, and Novartis has the option to terminate the services with 60 days notification. Novartis has the option to continue the research and development services through 2022. If any of the targets achieves target validation and are deemed a research target, Novartis holds the rights to exercise its license options to obtain an exclusive license for those deemed research targets on a research target-by-research target basis by paying an option exercise fee for each target (up to three in total), including all license compounds that are the subject of the applicable research program. Novartis will also pay the Company a certain specified target validation fee of $4.0 million for each candidate target that achieves target validation and is deemed a research target, for up to three candidate targets. Upon exercise of an option, Novartis will be responsible for global clinical development and commercialization of each licensed research target.</w:t>
      </w:r>
    </w:p>
    <w:p>
      <w:pPr>
        <w:spacing w:after="0" w:line="17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Novartis Agreement, the Company is eligible for developmental, regulatory and commercial milestone payments related to PLN-1474 and the integrin research targets of up to $416.0 million if defined development and commercialization milestones are achieved and tiered royalties ranging from the mid-single digits to low teens on product sales upon commercialization.</w:t>
      </w:r>
    </w:p>
    <w:p>
      <w:pPr>
        <w:spacing w:after="0" w:line="184"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Upon execution of the Novartis Agreement, Pliant also entered into a Financing Side Letter with Novartis (the “Financing Side Letter”), whereby Novartis committed to provide up to $30.0 million in equity financing of which $20.0 million was satisfied by the issuance of 10,928,962 shares of Series C Redeemable Convertible Preferred Stock on December 19, 2019 and the remaining $10.0 million was satisfied by the issuance of shares of common stock through a concurrent private placement with the Company’s IPO. The Company determined that Novartis Agreement and the Financing Side Letter are separate agreements, they were not entered into for single commercial objective, the consideration in each agreement are tied to separate and different types of performance obligations and they are not considered a single performance obligation. The Series C Redeemable Preferred Stock was issued to Novartis at fair value of $1.83 per share in conjunction with its issuance to other investors at the same price. In addition, the contingent issuance of shares upon an Initial Public Offering would also be at fair value. Further, Novartis became a related party to the Company following its purchase of 10.9 million shares of our Series C Redeemable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 w:name="page17"/>
    <w:bookmarkEnd w:id="16"/>
    <w:p>
      <w:pPr>
        <w:ind w:right="40"/>
        <w:spacing w:after="0" w:line="308" w:lineRule="auto"/>
        <w:rPr>
          <w:sz w:val="20"/>
          <w:szCs w:val="20"/>
          <w:color w:val="auto"/>
        </w:rPr>
      </w:pPr>
      <w:r>
        <w:rPr>
          <w:rFonts w:ascii="Arial" w:cs="Arial" w:eastAsia="Arial" w:hAnsi="Arial"/>
          <w:sz w:val="17"/>
          <w:szCs w:val="17"/>
          <w:color w:val="auto"/>
        </w:rPr>
        <w:t>Convertible Stock on December 19, 2019, representing holdings of 6.1% and 7.4% of our outstanding shares of common stock on a fully diluted basis as of June 30, 2020 and December 31, 2019, respectively. See Notes 9 and 14 to these financial statements for additional information.</w:t>
      </w:r>
    </w:p>
    <w:p>
      <w:pPr>
        <w:spacing w:after="0" w:line="146"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evaluated the Novartis Agreement under the revenue standard Topic 606 and concluded that Novartis is a customer. The Company identified the following performance obligations at the inception of the contract.</w:t>
      </w:r>
    </w:p>
    <w:p>
      <w:pPr>
        <w:spacing w:after="0" w:line="62"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Novartis worldwide license rights to PLN-1474.</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research and development services for PLN-1474 through Phase 1 of its development.</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non-exclusive license rights to integrin research targets and research and development services on integrin research targets, together as a single performance obligation.</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 determined the transaction price at inception of the Novartis Agreement is the $69.6 million consisting of the license fee of $50.0 million and research and development funding of $19.6 million payment to be allocated to the various performance obligations. The Novartis Agreement includes variable consideration for the funding of research and development services and potential future milestones and royalties that were contingent on future success factors for development programs. The Company used the “most likely” method to determine the variable consideration. None of the regulatory or development milestones were included in the transaction price. The Company will re-evaluate the transaction price in each reporting period as uncertain events are resolved or other changes in circumstances occur.</w:t>
      </w:r>
    </w:p>
    <w:p>
      <w:pPr>
        <w:spacing w:after="0" w:line="178"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The Company considered the license to PLN-1474 as functional intellectual property, as when control of the license was transferred to Novartis at the inception of the Novartis Agreement, Novartis had the right to access its technology and it was functional. The Company determined the $50.0 million was the standalone selling price PLN-1474 license and was recognized as revenue when control of the license transferred to Novartis, which was at or near inception of the Novartis Agreement.</w:t>
      </w:r>
    </w:p>
    <w:p>
      <w:pPr>
        <w:spacing w:after="0" w:line="187"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The Company estimated the standalone selling price of each research program based on internal and external costs to perform the research plus a reasonable profit margin. The total estimated cost of the research and development services reflects the nature of the services to be performed and the Company’s best estimate of the length of time required to perform the services. The Company selected an input method of costs incurred to measure progress toward complete satisfaction of its performance obligation to provide research and development services as such method faithfully depicts the Company’s performance in transferring control of the research and development service to Novartis. Changes in estimates of total internal and external costs expected to be incurred are recognized in the period of change as a cumulative catch-up adjustment. There have been no changes to the Company’s estimates to date.</w:t>
      </w:r>
    </w:p>
    <w:p>
      <w:pPr>
        <w:spacing w:after="0" w:line="195" w:lineRule="exact"/>
        <w:rPr>
          <w:sz w:val="20"/>
          <w:szCs w:val="20"/>
          <w:color w:val="auto"/>
        </w:rPr>
      </w:pPr>
    </w:p>
    <w:p>
      <w:pPr>
        <w:ind w:right="160" w:firstLine="510"/>
        <w:spacing w:after="0" w:line="262" w:lineRule="auto"/>
        <w:rPr>
          <w:sz w:val="20"/>
          <w:szCs w:val="20"/>
          <w:color w:val="auto"/>
        </w:rPr>
      </w:pPr>
      <w:r>
        <w:rPr>
          <w:rFonts w:ascii="Arial" w:cs="Arial" w:eastAsia="Arial" w:hAnsi="Arial"/>
          <w:sz w:val="18"/>
          <w:szCs w:val="18"/>
          <w:color w:val="auto"/>
        </w:rPr>
        <w:t>During the three and six months ended June 30, 2020, the Company recognized revenue—related party of $3.6 million and $32.5 million, respectively. Revenue-related party for the three months ended June 30, 2020 consists of $3.6 million generated from research and development services performed during the period. Revenue-related party for the six months ended June 30, 2020, consists of $25.0 million of revenue from the achievement of the first patient dosing milestone of the Novartis agreement in the first quarter of 2020 and $7.5 million of revenue generated from research and development services performed during the six months ended June 30, 2020. The Company recognized no revenue during the three and six months ended June 30, 2019.</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June 30,2020 and December 31, 2019, there is a receivable of $3.6 million and $7.1 million, respectively, related to the Novartis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 assets or contract liabilities as of June 30, 2020 and December 31, 2019.</w:t>
      </w:r>
    </w:p>
    <w:p>
      <w:pPr>
        <w:spacing w:after="0" w:line="315" w:lineRule="exact"/>
        <w:rPr>
          <w:sz w:val="20"/>
          <w:szCs w:val="20"/>
          <w:color w:val="auto"/>
        </w:rPr>
      </w:pPr>
    </w:p>
    <w:p>
      <w:pPr>
        <w:ind w:left="260" w:right="9520" w:hanging="252"/>
        <w:spacing w:after="0" w:line="453" w:lineRule="auto"/>
        <w:tabs>
          <w:tab w:leader="none" w:pos="186"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Agreements </w:t>
      </w:r>
      <w:r>
        <w:rPr>
          <w:rFonts w:ascii="Arial" w:cs="Arial" w:eastAsia="Arial" w:hAnsi="Arial"/>
          <w:sz w:val="15"/>
          <w:szCs w:val="15"/>
          <w:b w:val="1"/>
          <w:bCs w:val="1"/>
          <w:i w:val="1"/>
          <w:iCs w:val="1"/>
          <w:color w:val="auto"/>
        </w:rPr>
        <w:t>UC Regents</w:t>
      </w:r>
    </w:p>
    <w:p>
      <w:pPr>
        <w:spacing w:after="0" w:line="1" w:lineRule="exact"/>
        <w:rPr>
          <w:sz w:val="20"/>
          <w:szCs w:val="20"/>
          <w:color w:val="auto"/>
        </w:rPr>
      </w:pPr>
    </w:p>
    <w:p>
      <w:pPr>
        <w:ind w:right="80" w:firstLine="510"/>
        <w:spacing w:after="0" w:line="284" w:lineRule="auto"/>
        <w:rPr>
          <w:sz w:val="20"/>
          <w:szCs w:val="20"/>
          <w:color w:val="auto"/>
        </w:rPr>
      </w:pPr>
      <w:r>
        <w:rPr>
          <w:rFonts w:ascii="Arial" w:cs="Arial" w:eastAsia="Arial" w:hAnsi="Arial"/>
          <w:sz w:val="16"/>
          <w:szCs w:val="16"/>
          <w:color w:val="auto"/>
        </w:rPr>
        <w:t>In August 2015, the Company entered into an exclusive, worldwide license agreement (the “UC Agreement”) with the Regents of the University of California (the “UC Regents”) relating to the use of certain patents and technology relating to α</w:t>
      </w:r>
      <w:r>
        <w:rPr>
          <w:rFonts w:ascii="Arial" w:cs="Arial" w:eastAsia="Arial" w:hAnsi="Arial"/>
          <w:sz w:val="13"/>
          <w:szCs w:val="13"/>
          <w:color w:val="auto"/>
        </w:rPr>
        <w:t>v</w:t>
      </w:r>
      <w:r>
        <w:rPr>
          <w:rFonts w:ascii="Arial" w:cs="Arial" w:eastAsia="Arial" w:hAnsi="Arial"/>
          <w:sz w:val="16"/>
          <w:szCs w:val="16"/>
          <w:color w:val="auto"/>
        </w:rPr>
        <w:t>ß</w:t>
      </w:r>
      <w:r>
        <w:rPr>
          <w:rFonts w:ascii="Arial" w:cs="Arial" w:eastAsia="Arial" w:hAnsi="Arial"/>
          <w:sz w:val="13"/>
          <w:szCs w:val="13"/>
          <w:color w:val="auto"/>
        </w:rPr>
        <w:t>1</w:t>
      </w:r>
      <w:r>
        <w:rPr>
          <w:rFonts w:ascii="Arial" w:cs="Arial" w:eastAsia="Arial" w:hAnsi="Arial"/>
          <w:sz w:val="16"/>
          <w:szCs w:val="16"/>
          <w:color w:val="auto"/>
        </w:rPr>
        <w:t xml:space="preserve"> compound in fibrosis indications. Pursuant to the UC Agreement, the Company is obligated to (i) make a non-refundable upfront license fee payment of $0.4 million and annual license maintenance fee payments of $10,000 per year beginning on the first anniversary of the UC Agreement escalating to $25,000 per year thereafter (ii) make royalty payments to the UC Regents of 3% of net sales of a therapeutic licensed product or 1% of net sales of a method of use licensed product, subject to an annual minimum of $1.0 million, (iii) make milestone payments up to an aggregate of $18.2 million to the UC Regents upon the occurrence of certain events,</w:t>
      </w:r>
    </w:p>
    <w:p>
      <w:pPr>
        <w:spacing w:after="0" w:line="4" w:lineRule="exact"/>
        <w:rPr>
          <w:sz w:val="20"/>
          <w:szCs w:val="20"/>
          <w:color w:val="auto"/>
        </w:rPr>
      </w:pPr>
    </w:p>
    <w:p>
      <w:pPr>
        <w:ind w:firstLine="8"/>
        <w:spacing w:after="0" w:line="251" w:lineRule="auto"/>
        <w:tabs>
          <w:tab w:leader="none" w:pos="3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 milestone payment based on the number of outstanding shares and a price per share as defined in the UC Agreement within 30 days of the closing of an IPO or change of control, and (v) reimburse the UC Regents for prosecution and maintenance expenses of the licensed patents without limitation. As a result of the IPO on June 3, 2020, the Company made a $2.4 million milestone payment to the UC Regents. The Company will expense any payments for milestones to research and development expenses prior to receiving FDA approval for any of its product candidates. These costs will be capitalized when FDA approval is obtained for any products being selected for commercialization and amortized over the remaining life of the patent. If the Company sublicenses its rights under the UC Agreement, it is obligated to pay the UC Regents a percentage of the total gross proceeds received in consideration of the grant of the sublicense, which total amount would be first reduced by the aggregate amount of certain research and development related expense incurred by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firstLine="510"/>
        <w:spacing w:after="0" w:line="259" w:lineRule="auto"/>
        <w:rPr>
          <w:sz w:val="20"/>
          <w:szCs w:val="20"/>
          <w:color w:val="auto"/>
        </w:rPr>
      </w:pPr>
      <w:r>
        <w:rPr>
          <w:rFonts w:ascii="Arial" w:cs="Arial" w:eastAsia="Arial" w:hAnsi="Arial"/>
          <w:sz w:val="18"/>
          <w:szCs w:val="18"/>
          <w:color w:val="auto"/>
        </w:rPr>
        <w:t>The UC Agreement can be terminated at any time upon the material breach of contract terms by either party to the agreement. The Company has the right to terminate the agreement at any time upon providing written notice to the UC Regents. Unless terminated early, the UC Agreement will remain in effect from the effective date until the later of (i) the expiration or abandonment of the patent rights licensed under the UC Agreement, or (ii) ten years from the date of the first commercial sale of the first licensed product under the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Research Agreement</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Adimab Development and Option Agreement</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October 2018, the Company and Adimab LLC (“Adimab”) entered into a development and option agreement (the “Adimab Agreement”) for the discovery and optimization of proprietary antibodies as potential therapeutic product candidates. Under the Adimab Agreement, the Company will select biological targets against which Adimab will use its proprietary platform technology to research and develop antibody proteins using a mutually agreed upon research plan.</w:t>
      </w:r>
    </w:p>
    <w:p>
      <w:pPr>
        <w:spacing w:after="0" w:line="18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Upon the Company’s selection of a target, the Company and Adimab will initiate a research plan and the discovery term begins. During the discovery term, Adimab will grant the Company a non-exclusive, non-sublicensable license under its technology with respect to the target, to research, design and preclinically develop and use antibodies that were modified or derived using Adimab technology, solely to evaluate such antibodies, perform the Company’s responsibilities under the research plan and use such antibodies for certain diagnostic purposes. The Company will also grant to Adimab a non-exclusive, non-sublicensable and non-transferable license with respect to the target under the Company’s technology that covers or relates to such target, solely to perform its responsibilities under the research plan during the discovery period. The Company is required to pay Adimab at an agreed upon rate for its full-time employees during the discovery period while Adimab performs research on each target under the applicable research plan.</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Adimab granted the Company an exclusive option to obtain a worldwide, royalty-bearing, sublicensable license under Adimab platform patents and other Adimab technology to research, develop and commercialize up to twenty-four antibodies selected by the Company (the “Program Antibodies”) against specific biological targets (the “Commercialization Option”). Upon the exercise of a Commercialization Option, and payment of the applicable option fee to Adimab, Adimab will assign the patents that cover the Program Antibodies to Company.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Pursuant to the Adimab Agreement, the Company is obligated to (i) make a nonrefundable upfront license fee payment for access to Adimab’s technology; (ii) pay Adimab at an agreed upon rate for each full-time employee (“FTE”) during the research period; (iii) make additional payments upon the Company making other research related elections; (iv) pay up to a dollar amount in the low double digit millions for the achievement of certain research and development milestones for each research target program which can vary by target type; (v) make royalty payments to Adimab on Company net sales of its products covered under the Adimab Agreement, subject to varying royalty payments on certain product types. Currently, no product types have been selected by the Company.</w:t>
      </w:r>
    </w:p>
    <w:p>
      <w:pPr>
        <w:spacing w:after="0" w:line="19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During the three and six months ended June 30, 2020, the Company recognized research and development expenses under the Adimab Agreement of $37,000 related to FTE costs.</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During the three and six months ended June 30, 2019, the Company recognized research and development expense under the Adimab Agreement of $0.2 million and $0.3 million, related to the FTE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As a result of the IPO in June 2020, in which all convertible preferred stock was converted into common shares of the Company, there was no outstanding redeemable convertible preferred stock as of June 30, 2020. The following is a summary of the Company’s redeemable convertible preferred stock as of December 31, 2019 (in thousands except share amounts):</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Redemption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Value/</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Authorized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56,000,000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56,000,000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49,501,221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49,501,221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44,000,000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26,360,745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47,947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149,501,221</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131,861,966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A Preferred</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August 2015, the Company entered into a Series A Preferred Stock Purchase Agreement (the “Series A Purchase Agreement”) pursuant to which it agreed to sell, and the purchasers agreed to purchase up to $45.0 million of Series A Redeemable Convertible Preferred Stock (“Series A Preferred”) in three anticipated tranches based on the achievement of defined performance milestones. The Series A Preferred stockholders may not assign the rights to purchase shares of Series A Preferred at any future milestone closing tranches separately without a transfer of already purchased shares. The Company determined that these future tranche obligations did not meet the definition of a freestanding financial instrument because, while separately exercisable, they were not legally detachable. Further, the Company determined that the embedded future tranche obligation did not require bifurcation for accounting purposes as it was clearly and closely related to the economic characteristics and risks of the Series A Preferred and would not meet the definition of a derivative on a standalone basis.</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Under the Series A Purchase Agreement, as part of the initial closing, the Company issued 6.5 million shares of Series A Preferred at $1.00 per share in exchange for cash proceeds of $6.4 million and the conversion of convertible promissory notes in the amount of $0.1 million representing outstanding principal and accrued interest.</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April 2016, the Company issued 5.0 million shares of Series A Preferred at $1.00 per share in exchange for cash proceeds of $5.0 million in an additional closing of the first tranche. The final closing of the first tranche occurred in September of 2016, when the Company issued 5.0 million additional shares of Series A Preferred at $1.00 per share in exchange for cash proceeds of $5.0 million.</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February 2017, the Company issued 8.0 million shares of Series A Preferred at $1.00 per share in exchange for cash proceeds of $8.0 million in a closing of the second tranche.</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 July 2017, the Company issued 12.0 million shares of Series A Preferred at $1.00 per share in exchange for cash proceeds of $12.0 million in an initial closing of the third tranche.</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January 2018, the Company issued 8.5 million shares of Series A Preferred at $1.00 per share in exchange for cash proceeds of $8.5 million in an additional closing of the third tranche.</w:t>
      </w:r>
    </w:p>
    <w:p>
      <w:pPr>
        <w:spacing w:after="0" w:line="170"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In March 2018, based on the amendment to the Series A Purchase Agreement, the Company issued 11.0 million additional shares of Series A Preferred at $1.00 per share in exchange for cash proceeds of $11.0 million in the final closing of the third tranche.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Series B Preferred</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July 2018, the Company entered into a Series B Preferred Stock Purchase Agreement (the “Series B Purchase Agreement”) in which it agreed to sell, and the purchasers agreed to purchase, up to $70.0 million of Series B Redeemable Convertible Preferred Stock (“Series B Preferred”). Under the Series B Purchase Agreement, the Company initially issued 45.1 million shares of Series B Preferred at $1.3767 per share in exchange for cash proceeds of approximately $62.1 million.</w:t>
      </w:r>
    </w:p>
    <w:p>
      <w:pPr>
        <w:spacing w:after="0" w:line="18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November 2018, the Company issued 4.4 million additional shares of Series B Preferred at $1.3767 per share in exchange for cash proceeds of approximately $6.0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b w:val="1"/>
          <w:bCs w:val="1"/>
          <w:i w:val="1"/>
          <w:iCs w:val="1"/>
          <w:color w:val="auto"/>
        </w:rPr>
        <w:t>Series C Preferred</w:t>
      </w:r>
    </w:p>
    <w:p>
      <w:pPr>
        <w:spacing w:after="0" w:line="11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In December 2019, the Company entered into a Series C Preferred Stock Purchase Agreement (the “Series C Purchase Agreement”) in which it agreed to sell, and the purchasers agreed to purchase, up to $80.5 million of Series C Redeemable Convertible Preferred Stock (“Series C Preferred”). Under the Series C Purchase Agreement, the Company initially issued 26.4 million shares of Series C Preferred at $1.83 per share in exchange for aggregate cash proceeds of $48.2 million. Novartis purchased 10.9 million shares of this allotment of Series C Preferred at $1.83 per share for cash proceeds of $20.0 million. Novartis became a related party following its purchase of 10.9 million shares of our Series C Preferred. Novartis holdings represent of 6.1% and 7.4% of our outstanding shares of common stock on a fully diluted basis as of June 30, 2020 and December 31, 2019, respectively. See Note 14 for additional information.</w:t>
      </w:r>
    </w:p>
    <w:p>
      <w:pPr>
        <w:spacing w:after="0" w:line="19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In February 2020, the Company issued an additional 28.5 million additional shares of Series C Preferred at $1.83 per share in exchange for gross cash proceeds of $52.2 million and incurred $0.2 of issuance costs.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Series A Preferred, Series B Preferred and Series C Preferred (collectively, the “Preferred Stock”) have the following rights and privileges: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Each holder of shares of Preferred Stock is entitled to the number of votes equal to the number of shares of common stock into which such shares could be converted and has voting rights and powers equal to the voting rights and powers of the common stock, and except as provided by law or by other provisions of the Company’s Certificate of Incorporation, as amended, shall vote together with the common stock as a single class on an as-converted basis on all matters as to which holders of common stock have the right to vote.</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holders of Series A Preferred, voting separately as a single class, are entitled to elect two members of the Company’s board of directors. At any time when at least 12.5 million shares of Series B Preferred are outstanding, the holders of Series B Preferred are entitled to elect one member of the Company’s board of directors. The holders of shares of common stock, voting separately as a single class, are entitled to elect one member of the Company’s board of directors. All remaining members of the Company’s board of directors are elected by the holders of the common stock and Preferred Stock voting together as a single class.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Shares of the Preferred Stock are convertible at any time at the option of the holder into such number of shares as is determined by dividing the original issuance price by the conversion price in effect at the time. The conversion price is the original issuance price for each series of Preferred Stock, as adjusted for the 1-for-7.15 reverse stock split of the Common Stock. Following such adjustment, the per-share conversion price was $7.15 for Series A Preferred, $9.843405 for Series B Preferred and $13.0845 for Series C Preferred, subject to certain adjustments.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outstanding shares of Preferred Stock converted to shares of common stock upon the completion of the Company’s IPO.</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holders of Series A Preferred were originally entitled to receive cumulative dividends from their respective dates of issuance at the rate of 8.0% on their original issue price. In July 2018, in conjunction with the execution of the Series B Purchase Agreement, the Series A Preferred accreted dividends were cancelled.</w:t>
      </w:r>
    </w:p>
    <w:p>
      <w:pPr>
        <w:spacing w:after="0" w:line="184"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Under the Series B Purchase Agreement, the holders of both shares of Series A and Series B Preferred are entitled to receive cumulative dividends commencing on July 10, 2018, the issuance date of Series B Preferred, at an annual rate of 8.0% on their original issuance price. The Series A Preferred and Series B Preferred dividends accrue from day-to-day, whether declared or not, and are payable only when and if declared by the Company’s board of directors. As such, the Company recorded accretion charges to adjust the carrying values of the Series A Preferred and Series B Preferred to their redemption values up until the date the Series C Purchase Agreement was executed. In December 2019, in conjunction with the execution of the Series C Purchase agreement, the Series A preferred and Series B preferred accreted dividends were cancelled.</w:t>
      </w:r>
    </w:p>
    <w:p>
      <w:pPr>
        <w:spacing w:after="0" w:line="17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Under the Series C Purchase Agreement, the holders of Series A, Series B and Series C Preferred are entitled to receive non-cumulative dividends commencing on December 19, 2019 at an annual rate of 8.0% on their original issuance price. The Series A, Series B and Series C Preferred dividends accrue from day-to-day, whether declared or not, and are payable only when and if declared by the Company’s board of directors. Since inception, the Company has never declared or paid any dividends.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i w:val="1"/>
          <w:iCs w:val="1"/>
          <w:color w:val="auto"/>
        </w:rPr>
        <w:t>Liquidation Preferences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holders of all shares of preferred stock are entitled to receive dividends prior and in preference to any declaration or payment of any dividend on the common stock.</w:t>
      </w:r>
    </w:p>
    <w:p>
      <w:pPr>
        <w:spacing w:after="0" w:line="170"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Upon liquidation, dissolution, or winding up of the Company or a deemed liquidation event as defined in the Company’s Certificate of Incorporation, the holders of shares of Series C and Series B Preferred Stock will receive, on a pari passu basis, a per share amount equal to the Series C purchase price of $1.83 (plus any declared but unpaid dividends) and equal to the original Series B purchase of $1.3767 (plus any declared but unpaid dividends), collectively (the “Series C and Series B Liquidation Preference”) or such amount per share as would have been payable had all shares of Series C and Series B had been converted into common stock immediately prior to such liquidation event. The payment of Series C and Series B Liquidation Preference is to be made before any payment made to the holders of Series A Preferred Stock and Common Stock. Thereafter, the Series A Preferred holders are entitled to receive their liquidation preference before any distributions are made to common stockholders, a per share amount equal to $1.00 (plus any declared but unpaid dividends) (the “Series A Liquidation Preference”) or such amount per share as would have been payable had all shares of Series A had been converted into common stock immediately prior to such liquidation event. After payments of the full liquidation preferences of the Series C and Series B Liquidation Preference and the Series A Liquidation Preference described above, any remaining assets of the Company shall be distributed to the holders of the common stock in proportion to the number of shares of common stock that they hold.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Series A Preferred were redeemable at any time on or after five years from August 19, 2015, the original issuance date of the 6.5 million shares of Series A Preferred, upon receipt of a written notice from the holders of a majority of the shares of Series A Preferred. The initial redemption price was the greater of (i) the Series A Preferred original issuance price per share, plus any accrued and unpaid dividends, whether or not declared by the board of directors, and (ii) the fair market value of Series A Preferred as mutually agreed upon by the Company and the holders of a majority of the shares of Series A Preferred then outstanding.</w:t>
      </w:r>
    </w:p>
    <w:p>
      <w:pPr>
        <w:spacing w:after="0" w:line="188"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In July 2018, in conjunction with the execution of the Series B Preferred Purchase Agreement, the Series A Preferred redemption provision was amended as follows:</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All outstanding shares of Preferred Stock shall be redeemed by the Company at a price equal to the original issuance price per share, plus any accrued and unpaid dividends, whether or not declared, together with any other dividends declared but unpaid in three annual installments commencing not more than sixty (60) days after receipt by the Company at any time on or after five years from the Series B Preferred original issuance date, July 10, 2018, a written notice from the holders of a majority of the shares of Preferred Stock.</w:t>
      </w:r>
    </w:p>
    <w:p>
      <w:pPr>
        <w:spacing w:after="0" w:line="18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accounted for the changes in Series A Preferred redemption provision as a modification as there was no significant difference in Series A Preferred fair value before and after the modification.</w:t>
      </w:r>
    </w:p>
    <w:p>
      <w:pPr>
        <w:spacing w:after="0" w:line="17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December 2019, in conjunction with the execution of the Series C Preferred Purchase Agreement, the Series A Preferred and Series B Preferred redemption provisions were modified as follows:</w:t>
      </w:r>
    </w:p>
    <w:p>
      <w:pPr>
        <w:spacing w:after="0" w:line="1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All outstanding shares of Preferred Stock shall be redeemed by the Company at a price equal to the original issuance price per share, plus any dividends declared but unpaid, in three annual installments commencing not more than sixty (60) days after receipt by the Company at any time on or after five years from the Series C Preferred original issuance date, December 19, 2019, a written notice from the holders of a majority of the shares of Preferred Stock.</w:t>
      </w:r>
    </w:p>
    <w:p>
      <w:pPr>
        <w:spacing w:after="0" w:line="187"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The Company accounted for the changes in Series A Preferred redemption and Series B Preferred redemption provisions as a modification as there was no significant difference in Series A Preferred and Series B Preferred fair values before and after the modification.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voting, dividend, and liquidation rights of the holders of the common stock are subject to and qualified by the rights, powers, and preferences of the holders of the Preferred Stock. As of June 30, 2020 and December 31, 2019, the Company had 300,000,000 and 181,000,000 authorized shares of common stock, respectively, at a par value of $0.0001 per share. The common stock has the following rights and privileges: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any meeting of stockholders and at the time of any written action in lieu of a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right="500" w:firstLine="510"/>
        <w:spacing w:after="0" w:line="286" w:lineRule="auto"/>
        <w:rPr>
          <w:sz w:val="20"/>
          <w:szCs w:val="20"/>
          <w:color w:val="auto"/>
        </w:rPr>
      </w:pPr>
      <w:r>
        <w:rPr>
          <w:rFonts w:ascii="Arial" w:cs="Arial" w:eastAsia="Arial" w:hAnsi="Arial"/>
          <w:sz w:val="17"/>
          <w:szCs w:val="17"/>
          <w:color w:val="auto"/>
        </w:rPr>
        <w:t>After payment of the respective liquidation preferences to the holders of shares of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140" w:type="dxa"/>
            <w:vAlign w:val="bottom"/>
          </w:tcPr>
          <w:p>
            <w:pPr>
              <w:spacing w:after="0"/>
              <w:rPr>
                <w:sz w:val="12"/>
                <w:szCs w:val="12"/>
                <w:color w:val="auto"/>
              </w:rPr>
            </w:pPr>
          </w:p>
        </w:tc>
        <w:tc>
          <w:tcPr>
            <w:tcW w:w="14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June 30,</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1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18,442,233</w:t>
            </w:r>
          </w:p>
        </w:tc>
        <w:tc>
          <w:tcPr>
            <w:tcW w:w="8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Exercises of outstanding stock option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2,529,999</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1,337,501</w:t>
            </w:r>
          </w:p>
        </w:tc>
        <w:tc>
          <w:tcPr>
            <w:tcW w:w="80" w:type="dxa"/>
            <w:vAlign w:val="bottom"/>
          </w:tcPr>
          <w:p>
            <w:pPr>
              <w:spacing w:after="0"/>
              <w:rPr>
                <w:sz w:val="19"/>
                <w:szCs w:val="19"/>
                <w:color w:val="auto"/>
              </w:rPr>
            </w:pP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available for future grants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the 2015 Equity Incentive Plan, as amended</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567,110</w:t>
            </w:r>
          </w:p>
        </w:tc>
        <w:tc>
          <w:tcPr>
            <w:tcW w:w="80" w:type="dxa"/>
            <w:vAlign w:val="bottom"/>
            <w:shd w:val="clear" w:color="auto" w:fill="CFF0FC"/>
          </w:tcPr>
          <w:p>
            <w:pPr>
              <w:spacing w:after="0"/>
              <w:rPr>
                <w:sz w:val="20"/>
                <w:szCs w:val="20"/>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Shares of common stock available for future grants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under the 2020 Equity Incentive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4,200,000</w:t>
            </w: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Shares of common stock available for future issuance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 the 2020 ESPP</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Total shares reserved for future issuance</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7,429,999</w:t>
            </w:r>
          </w:p>
        </w:tc>
        <w:tc>
          <w:tcPr>
            <w:tcW w:w="1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20,346,844</w:t>
            </w:r>
          </w:p>
        </w:tc>
        <w:tc>
          <w:tcPr>
            <w:tcW w:w="8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Founders’ Common Stock Awards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During 2015, the Company’s board of directors granted common stock awards to the Company’s founders in exchange for services provided to the Company. The purchase price of the common stock awards was the estimated fair value at the issuance date. The shares vest from one to four years and vesting could be accelerated upon a change in control. The vesting of certain performance-based grants of restricted stock awards were contingent upon the filing of an Investigational New Drug Application by the Company with the FDA.</w:t>
      </w:r>
    </w:p>
    <w:p>
      <w:pPr>
        <w:spacing w:after="0" w:line="18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If the holder of founders’ common stock award terminates their relationship with the Company during the vesting period, the Company may repurchase any unvested restricted common stock held by these individuals at their original purchase price. During the vesting term, holders of founders’ common stock awards are deemed to be common stockholders and have dividend and voting rights. The Company issued 745,244 shares of founders’ common stock during 2015. No founders’ common stock awards were granted in subsequent years. Total compensation expense was $25,000 for these founders’ common stock awards, which are recorded to operating expenses in the statements of operations over their respective vesting period. As of June 30, 2020 and December 31, 2019, all shares of founders’ common stock awards were fully vested.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Incentive Plans and Stock-Based Compensation</w:t>
      </w:r>
    </w:p>
    <w:p>
      <w:pPr>
        <w:spacing w:after="0" w:line="13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May 2020, the board of directors adopted the 2020 Stock Options and Incentive Plan, (the “2020 Plan”), which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registrant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As of June 30, 2020, all 4.2 million shares remained available for issuance under the Plan.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2" w:name="page23"/>
    <w:bookmarkEnd w:id="22"/>
    <w:p>
      <w:pPr>
        <w:ind w:right="120" w:firstLine="510"/>
        <w:spacing w:after="0" w:line="259" w:lineRule="auto"/>
        <w:rPr>
          <w:sz w:val="20"/>
          <w:szCs w:val="20"/>
          <w:color w:val="auto"/>
        </w:rPr>
      </w:pPr>
      <w:r>
        <w:rPr>
          <w:rFonts w:ascii="Arial" w:cs="Arial" w:eastAsia="Arial" w:hAnsi="Arial"/>
          <w:sz w:val="18"/>
          <w:szCs w:val="18"/>
          <w:color w:val="auto"/>
        </w:rPr>
        <w:t>Options under the 2020 Plan may be granted for periods of up to 10 years and at prices no less than 100.0% of the estimated fair value of the shares on the date of grant as determined by the board of directors,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18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August 2015, the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the 2015 Plan was amended to increase the number of shares reserved thereunder by 1.0 million shares. In January 2019, the Company’s board of directors and stockholders voted to increase the number of shares reserved for issuance under the 2015 Equity Incentive Plan by 0.4 million shares. In March 2020, the Company’s board of directors and stockholders voted to increase the number of shares reserved for issuance under the 2015 Plan by 1.4 million shares. In May 2020, the board of directors voted to adopt the 2020 Plan and not to issue any further grants under the 2015 Plan. As of June 30, 2020, 2.5 million shares remain available for issuance only upon the exercise of outstanding stock options under the 2015 Plan.</w:t>
      </w:r>
    </w:p>
    <w:p>
      <w:pPr>
        <w:spacing w:after="0" w:line="178"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Prior to the adoption of the 2020 Plan, options under the 2015 Plan may be granted for periods of up to 10 years and at prices no less than 100.0% of the estimated fair value of the shares on the date of grant as determined by the board of directors,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Company granted restricted stock awards under the Plan. The purchase price of the restricted common stock awards was the estimated fair value as determined by the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a common stock shareholder and have dividends and voting rights.</w:t>
      </w:r>
    </w:p>
    <w:p>
      <w:pPr>
        <w:spacing w:after="0" w:line="17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June 30, 2020 and December 31, 2019, the Company recorded a liability included in accrued expenses and other liabilities of $16,000 and $22,000,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grants of restricted stock awards granted for the six months ended June 30, 2020 and 2019.</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activity during the six months ended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fair value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89"/>
              </w:rPr>
              <w:t>Outstanding and unvested, as of December 31, 2019</w:t>
            </w:r>
          </w:p>
        </w:tc>
        <w:tc>
          <w:tcPr>
            <w:tcW w:w="13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302,211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Issued</w:t>
            </w:r>
          </w:p>
        </w:tc>
        <w:tc>
          <w:tcPr>
            <w:tcW w:w="13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26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(92,199)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Repurchases</w:t>
            </w:r>
          </w:p>
        </w:tc>
        <w:tc>
          <w:tcPr>
            <w:tcW w:w="2640" w:type="dxa"/>
            <w:vAlign w:val="bottom"/>
            <w:gridSpan w:val="3"/>
          </w:tcPr>
          <w:p>
            <w:pPr>
              <w:jc w:val="right"/>
              <w:ind w:right="60"/>
              <w:spacing w:after="0"/>
              <w:rPr>
                <w:sz w:val="20"/>
                <w:szCs w:val="20"/>
                <w:color w:val="auto"/>
              </w:rPr>
            </w:pPr>
            <w:r>
              <w:rPr>
                <w:rFonts w:ascii="Arial" w:cs="Arial" w:eastAsia="Arial" w:hAnsi="Arial"/>
                <w:sz w:val="18"/>
                <w:szCs w:val="18"/>
                <w:color w:val="auto"/>
              </w:rPr>
              <w:t>(12,121)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Outstanding and unvested, as of June 30, 2020</w:t>
            </w:r>
          </w:p>
        </w:tc>
        <w:tc>
          <w:tcPr>
            <w:tcW w:w="13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197,891</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00" w:type="dxa"/>
            <w:vAlign w:val="bottom"/>
          </w:tcPr>
          <w:p>
            <w:pPr>
              <w:jc w:val="right"/>
              <w:ind w:right="990"/>
              <w:spacing w:after="0"/>
              <w:rPr>
                <w:sz w:val="20"/>
                <w:szCs w:val="20"/>
                <w:color w:val="auto"/>
              </w:rPr>
            </w:pPr>
            <w:r>
              <w:rPr>
                <w:rFonts w:ascii="Arial" w:cs="Arial" w:eastAsia="Arial" w:hAnsi="Arial"/>
                <w:sz w:val="18"/>
                <w:szCs w:val="18"/>
                <w:color w:val="auto"/>
                <w:w w:val="99"/>
              </w:rPr>
              <w:t>23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table summarizes restricted stock activity during the six months ended June 30, 2019:</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unvested, as of December 31, 2018</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703,188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Issued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(225,551)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Repurchases</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Outstanding and unvested, as of June 30, 2019</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474,329</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Restricted stock awards of 4,195 shares with a weighted-average grant date fair value of $0.08 per share, were not purchased by the award holders as of June 30, 2020. As these shares of the restricted common stock awards were not issued, they are not included in the table above.</w:t>
      </w:r>
    </w:p>
    <w:p>
      <w:pPr>
        <w:spacing w:after="0" w:line="14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aggregate fair value of restricted stock awards vested during the six months ended June 30, 2020 and 2019 was $109,000 and $219,000, respectively. Total intrinsic value of outstanding unvested restricted stock awards as of June 30, 2020 and December 31, 2019 was $6.4 million and $3.3 million, respectively.</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Incentive Stock Options and Nonqualified Stock Options</w:t>
      </w:r>
    </w:p>
    <w:p>
      <w:pPr>
        <w:spacing w:after="0" w:line="117"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Stock options issued under the 2015 Plan and to be issued under the 2020 Plan generally vest over a four-year period and expire ten years from the date of grant. Certain options provide for accelerated vesting if there is a change in control, as defined in the respective plans.</w:t>
      </w:r>
    </w:p>
    <w:p>
      <w:pPr>
        <w:spacing w:after="0" w:line="14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used Black-Scholes option pricing model to estimate stock-based compensation expense for stock option awards with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58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Pr>
          <w:p>
            <w:pPr>
              <w:spacing w:after="0"/>
              <w:rPr>
                <w:sz w:val="14"/>
                <w:szCs w:val="14"/>
                <w:color w:val="auto"/>
              </w:rPr>
            </w:pPr>
          </w:p>
        </w:tc>
        <w:tc>
          <w:tcPr>
            <w:tcW w:w="1820" w:type="dxa"/>
            <w:vAlign w:val="bottom"/>
            <w:gridSpan w:val="3"/>
          </w:tcPr>
          <w:p>
            <w:pPr>
              <w:ind w:left="100"/>
              <w:spacing w:after="0"/>
              <w:rPr>
                <w:sz w:val="20"/>
                <w:szCs w:val="20"/>
                <w:color w:val="auto"/>
              </w:rPr>
            </w:pPr>
            <w:r>
              <w:rPr>
                <w:rFonts w:ascii="Arial" w:cs="Arial" w:eastAsia="Arial" w:hAnsi="Arial"/>
                <w:sz w:val="14"/>
                <w:szCs w:val="14"/>
                <w:b w:val="1"/>
                <w:bCs w:val="1"/>
                <w:color w:val="auto"/>
                <w:w w:val="93"/>
              </w:rPr>
              <w:t>Six Months Ended June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0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gridSpan w:val="2"/>
          </w:tcPr>
          <w:p>
            <w:pPr>
              <w:jc w:val="right"/>
              <w:ind w:right="51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gridSpan w:val="2"/>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53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FF0FC"/>
          </w:tcPr>
          <w:p>
            <w:pPr>
              <w:jc w:val="right"/>
              <w:ind w:right="5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79.37%</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- 82.15%</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72.10%</w:t>
            </w:r>
          </w:p>
        </w:tc>
        <w:tc>
          <w:tcPr>
            <w:tcW w:w="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- 77.50%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- 82.55%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800" w:type="dxa"/>
            <w:vAlign w:val="bottom"/>
          </w:tcPr>
          <w:p>
            <w:pPr>
              <w:ind w:left="20"/>
              <w:spacing w:after="0"/>
              <w:rPr>
                <w:sz w:val="20"/>
                <w:szCs w:val="20"/>
                <w:color w:val="auto"/>
              </w:rPr>
            </w:pPr>
            <w:r>
              <w:rPr>
                <w:rFonts w:ascii="Arial" w:cs="Arial" w:eastAsia="Arial" w:hAnsi="Arial"/>
                <w:sz w:val="18"/>
                <w:szCs w:val="18"/>
                <w:color w:val="auto"/>
              </w:rPr>
              <w:t>- 2.30%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840" w:type="dxa"/>
            <w:vAlign w:val="bottom"/>
          </w:tcPr>
          <w:p>
            <w:pPr>
              <w:ind w:left="40"/>
              <w:spacing w:after="0"/>
              <w:rPr>
                <w:sz w:val="20"/>
                <w:szCs w:val="20"/>
                <w:color w:val="auto"/>
              </w:rPr>
            </w:pPr>
            <w:r>
              <w:rPr>
                <w:rFonts w:ascii="Arial" w:cs="Arial" w:eastAsia="Arial" w:hAnsi="Arial"/>
                <w:sz w:val="18"/>
                <w:szCs w:val="18"/>
                <w:color w:val="auto"/>
              </w:rPr>
              <w:t>- 0.82%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820" w:type="dxa"/>
            <w:vAlign w:val="bottom"/>
          </w:tcPr>
          <w:p>
            <w:pPr>
              <w:ind w:left="20"/>
              <w:spacing w:after="0"/>
              <w:rPr>
                <w:sz w:val="20"/>
                <w:szCs w:val="20"/>
                <w:color w:val="auto"/>
              </w:rPr>
            </w:pPr>
            <w:r>
              <w:rPr>
                <w:rFonts w:ascii="Arial" w:cs="Arial" w:eastAsia="Arial" w:hAnsi="Arial"/>
                <w:sz w:val="18"/>
                <w:szCs w:val="18"/>
                <w:color w:val="auto"/>
              </w:rPr>
              <w:t>- 2.59%</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w:t>
            </w:r>
          </w:p>
        </w:tc>
        <w:tc>
          <w:tcPr>
            <w:tcW w:w="1840" w:type="dxa"/>
            <w:vAlign w:val="bottom"/>
            <w:gridSpan w:val="2"/>
            <w:shd w:val="clear" w:color="auto" w:fill="CFF0FC"/>
          </w:tcPr>
          <w:p>
            <w:pPr>
              <w:jc w:val="right"/>
              <w:ind w:right="9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5.81</w:t>
            </w:r>
          </w:p>
        </w:tc>
        <w:tc>
          <w:tcPr>
            <w:tcW w:w="800" w:type="dxa"/>
            <w:vAlign w:val="bottom"/>
          </w:tcPr>
          <w:p>
            <w:pPr>
              <w:ind w:left="20"/>
              <w:spacing w:after="0"/>
              <w:rPr>
                <w:sz w:val="20"/>
                <w:szCs w:val="20"/>
                <w:color w:val="auto"/>
              </w:rPr>
            </w:pPr>
            <w:r>
              <w:rPr>
                <w:rFonts w:ascii="Arial" w:cs="Arial" w:eastAsia="Arial" w:hAnsi="Arial"/>
                <w:sz w:val="18"/>
                <w:szCs w:val="18"/>
                <w:color w:val="auto"/>
              </w:rPr>
              <w:t>- 6.08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840" w:type="dxa"/>
            <w:vAlign w:val="bottom"/>
          </w:tcPr>
          <w:p>
            <w:pPr>
              <w:ind w:left="40"/>
              <w:spacing w:after="0"/>
              <w:rPr>
                <w:sz w:val="20"/>
                <w:szCs w:val="20"/>
                <w:color w:val="auto"/>
              </w:rPr>
            </w:pPr>
            <w:r>
              <w:rPr>
                <w:rFonts w:ascii="Arial" w:cs="Arial" w:eastAsia="Arial" w:hAnsi="Arial"/>
                <w:sz w:val="18"/>
                <w:szCs w:val="18"/>
                <w:color w:val="auto"/>
              </w:rPr>
              <w:t>- 6.75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820" w:type="dxa"/>
            <w:vAlign w:val="bottom"/>
          </w:tcPr>
          <w:p>
            <w:pPr>
              <w:ind w:left="20"/>
              <w:spacing w:after="0"/>
              <w:rPr>
                <w:sz w:val="20"/>
                <w:szCs w:val="20"/>
                <w:color w:val="auto"/>
              </w:rPr>
            </w:pPr>
            <w:r>
              <w:rPr>
                <w:rFonts w:ascii="Arial" w:cs="Arial" w:eastAsia="Arial" w:hAnsi="Arial"/>
                <w:sz w:val="18"/>
                <w:szCs w:val="18"/>
                <w:color w:val="auto"/>
              </w:rPr>
              <w:t>- 6.08</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Underlying common stock fair value</w:t>
            </w:r>
          </w:p>
        </w:tc>
        <w:tc>
          <w:tcPr>
            <w:tcW w:w="1840" w:type="dxa"/>
            <w:vAlign w:val="bottom"/>
            <w:gridSpan w:val="2"/>
            <w:shd w:val="clear" w:color="auto" w:fill="CFF0FC"/>
          </w:tcPr>
          <w:p>
            <w:pPr>
              <w:jc w:val="right"/>
              <w:ind w:righ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74"/>
              <w:spacing w:after="0"/>
              <w:rPr>
                <w:sz w:val="20"/>
                <w:szCs w:val="20"/>
                <w:color w:val="auto"/>
              </w:rPr>
            </w:pPr>
            <w:r>
              <w:rPr>
                <w:rFonts w:ascii="Arial" w:cs="Arial" w:eastAsia="Arial" w:hAnsi="Arial"/>
                <w:sz w:val="18"/>
                <w:szCs w:val="18"/>
                <w:color w:val="auto"/>
              </w:rPr>
              <w:t>6.22</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stock options granted under the 2015 Plan or the 2020 Plan during the three months ended June 30,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option activity under the 2015 Plan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Price 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0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1,337,501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1,275,202</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(81,996)</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260" w:type="dxa"/>
            <w:vAlign w:val="bottom"/>
            <w:gridSpan w:val="3"/>
          </w:tcPr>
          <w:p>
            <w:pPr>
              <w:jc w:val="right"/>
              <w:ind w:right="14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2020</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2,529,999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rPr>
              <w:t>Exercisable as of June 30, 2020</w:t>
            </w: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8.79</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13,367</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18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459,864</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June 30, 2020</w:t>
            </w:r>
          </w:p>
        </w:tc>
        <w:tc>
          <w:tcPr>
            <w:tcW w:w="10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2,529,999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70,079</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24" w:name="page25"/>
    <w:bookmarkEnd w:id="24"/>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Price 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113,174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1,166,398</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(21,940)</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1,255,622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Exercisable as of June 30, 2019</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9.55</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97,942</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June 30,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1,255,622</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Aggregate intrinsic value represents the difference between the fair value of the underlying common stock and the exercise price as of June 30, 2020 and December 31, 2019. The weighted-average grant date fair value of options granted during the six months ended June 30, 2020 and 2019, was $4.29 per share and $4.29 per share, respectively.</w:t>
      </w:r>
    </w:p>
    <w:p>
      <w:pPr>
        <w:spacing w:after="0" w:line="184"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In March, 2020 the Company granted 26,573 stock options with a grant date fair value of $0.1 million to a partner at Third Rock Ventures, who is also serving as a non-employee director on the Company’s Board of Directors. The common shares subject to these options vest 1/12th on the last day of each calendar quarter over a three year period and only commence vesting upon the effectiveness of an IPO by the Company, provided that the IPO must occur no later than December 31, 2021. Lastly, in order to vest at each calendar quarter end date, the shareholder must be providing continuous service to the Company through such vesting date. On December 31, 2021, this option will be cancelled if it has not commenced vesting. The stock-based compensation expense related to these options was immaterial during the three and six months ended June 30, 2020. See Note 14 for additional information.</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presents the components and classification of stock-based compensation expense for the Company’s stock-based awards for the three and six months ended June 30, 2020 and 2019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4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87"/>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and founders’ common stock awards</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735</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438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786</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506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287</w:t>
            </w:r>
          </w:p>
        </w:tc>
        <w:tc>
          <w:tcPr>
            <w:tcW w:w="220" w:type="dxa"/>
            <w:vAlign w:val="bottom"/>
          </w:tcPr>
          <w:p>
            <w:pPr>
              <w:spacing w:after="0"/>
              <w:rPr>
                <w:sz w:val="18"/>
                <w:szCs w:val="18"/>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136</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499</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As of June 30, 2020, there was $0.3 million of unrecognized compensation costs that is expected to be recognized over the weighted-average periods of 1.7 years related to restricted stock awards. As of June 30, 2020, there was $8.3 million of unrecognized compensation costs that is expected to be recognized over the weighted-average periods of 2.78 years related to stock options.</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June 30, 2019, there was $0.6 million of unrecognized compensation costs that is expected to be recognized over the weighted-average periods of 2.62 years related to restricted stock awards. As of June 30, 2019, there was $4.7 million of unrecognized compensation costs that is expected to be recognized over the weighted-average periods of 3.54 years related to stock options.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June 2020, the Company adopted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5" w:name="page26"/>
    <w:bookmarkEnd w:id="25"/>
    <w:p>
      <w:pPr>
        <w:ind w:right="20" w:firstLine="510"/>
        <w:spacing w:after="0" w:line="255" w:lineRule="auto"/>
        <w:rPr>
          <w:sz w:val="20"/>
          <w:szCs w:val="20"/>
          <w:color w:val="auto"/>
        </w:rPr>
      </w:pPr>
      <w:r>
        <w:rPr>
          <w:rFonts w:ascii="Arial" w:cs="Arial" w:eastAsia="Arial" w:hAnsi="Arial"/>
          <w:sz w:val="18"/>
          <w:szCs w:val="18"/>
          <w:color w:val="auto"/>
        </w:rPr>
        <w:t>Under the 2020 ESPP, eligible employees are granted options to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The 2020 ESPP is considered a compensatory plan, and the Company has not recorded any stock-based compensation expense for the three and six months ended June 30, 2020, as there have not been any grants under the ESPP plan. As of June 30, 2020, no shares of common stock were issued under the 2020 ESPP.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the three and six months ended June 30, 2020 and 2019,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0.00% because no items that are either estimated or discrete items would impact the tax provision.</w:t>
      </w:r>
    </w:p>
    <w:p>
      <w:pPr>
        <w:spacing w:after="0" w:line="18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and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annual deduction limitation of 80% of taxable income from net operating losses generated in a tax year beginning after December 31, 2017 through December 31, 2020, changes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pandemic. The Company evaluated the impact of the CARES Act and determined that its adoption did not have a material impact to the income tax provision for the three and six months ended June 30, 2020.</w:t>
      </w:r>
    </w:p>
    <w:p>
      <w:pPr>
        <w:spacing w:after="0" w:line="269" w:lineRule="exact"/>
        <w:rPr>
          <w:sz w:val="20"/>
          <w:szCs w:val="20"/>
          <w:color w:val="auto"/>
        </w:rPr>
      </w:pPr>
    </w:p>
    <w:p>
      <w:pPr>
        <w:ind w:left="260" w:right="8420" w:hanging="252"/>
        <w:spacing w:after="0" w:line="425" w:lineRule="auto"/>
        <w:tabs>
          <w:tab w:leader="none" w:pos="27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Purchase Commitments</w:t>
      </w:r>
    </w:p>
    <w:p>
      <w:pPr>
        <w:ind w:right="420" w:firstLine="510"/>
        <w:spacing w:after="0" w:line="308" w:lineRule="auto"/>
        <w:rPr>
          <w:sz w:val="20"/>
          <w:szCs w:val="20"/>
          <w:color w:val="auto"/>
        </w:rPr>
      </w:pPr>
      <w:r>
        <w:rPr>
          <w:rFonts w:ascii="Arial" w:cs="Arial" w:eastAsia="Arial" w:hAnsi="Arial"/>
          <w:sz w:val="17"/>
          <w:szCs w:val="17"/>
          <w:color w:val="auto"/>
        </w:rPr>
        <w:t>The Company has contractual arrangements with research and development organizations and suppliers; however, these contracts are generally cancelable on 30 days’ notice and the obligations under these contracts are largely based on services performed.</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Potential payments related to the Company’s license and research agreements, including milestone and royalty payments, are detailed in Notes 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June 30, 2020 and December 31, 2019.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9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the three months ended June 30, 2020 and 2019, rent expense, including common area maintenance expense, was $0.6 million. For the six months ended June 30, 2020 and 2019 rent expense was $1.3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Future minimum lease payments under the Lease as of June 30, 2020 were as follows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(remainder of the year)</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2024 and beyond</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as of June 30, 2020 and December 31, 2019, and, to the best of its knowledge, no material legal proceedings are currently pending or threatened.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48"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In 2019, certain employees of Third Rock Ventures, a stockholder of the Company, provided consulting services to the Company. Commencing January 2020, Third Rock Ventures ceased providing management consulting services to the Company, The Company recorded no consulting expenses for consulting services provided by Third Rock Ventures during the three and six months ended June 30, 2020. The Company recorded Third Rock Ventures consulting expenses to general and administrative expense of $14,000 and $26,000, respectively for the three and six months ended June 30, 2019.</w:t>
      </w:r>
    </w:p>
    <w:p>
      <w:pPr>
        <w:spacing w:after="0" w:line="157"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In March 2020, the Company granted 26,573 stock options with a grant date fair value of $0.1 million to a partner at Third Rock Ventures, who is also serving as a non-employee director on the Company’s Board of Directors. The common shares subject to these options vest 1/12th on the last day of each calendar quarter over a three-year period and commenced vesting upon our IPO. Lastly, in order to vest at each calendar quarter end date, the shareholder must be providing continuous service to the Company through such vesting date. See Note 11 for additional information.</w:t>
      </w:r>
    </w:p>
    <w:p>
      <w:pPr>
        <w:spacing w:after="0" w:line="1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From time to time, the Company makes charitable contributions to the University of California, San Francisco Foundation (the “UCSF Foundation”), which are directed to support research performed in the laboratories of two of the Company’s scientific founders. The Company made charitable contributions to the UCSF Foundation in the amount of nil and $0.7 million during the three and six months ended June 30, 2020, respectively. The Company made charitable contributions to the UCSF Foundation in the amount of $0.4 million and $0.4 million during the three and six months ended June 30, 2019, respectively.</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October 2019, the Company entered into the Novartis Agreement with Novartis covering the development and commercialization of Pliant’s preclinical product candidate, PLN-1474 and up to three additional targets. Upon execution of the Agreement, Pliant also entered into a financing side letter with Novartis, whereby Novartis committed to provide up to $30.0 million in equity financing of which $20.0 million was provided for preferred shares as a part of a Series C equity offering and the remaining $10.0 million was completed in a private placement for common shares upon the Company’s IPO. As of June 30, 2020 and December 31, 2019, Novartis owns approximately 6.1% and 7.4 % of our outstanding shares of common stock on a fully diluted basis. See Notes 6 and Note 9 for additional information.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$0.1 million and $0.1 million for the three months ended June 30, 2020 and 2019, respectively, and $0.2 million and $0.1 million for the six months ended June 30,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560" w:type="dxa"/>
            <w:vAlign w:val="bottom"/>
            <w:gridSpan w:val="4"/>
          </w:tcPr>
          <w:p>
            <w:pPr>
              <w:ind w:left="8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54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(on an as-converted basis)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14,755,415</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2,529,999</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1,259,905</w:t>
            </w:r>
          </w:p>
        </w:tc>
        <w:tc>
          <w:tcPr>
            <w:tcW w:w="12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granted and not purchased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197,891</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474,329</w:t>
            </w:r>
          </w:p>
        </w:tc>
        <w:tc>
          <w:tcPr>
            <w:tcW w:w="12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Unvested shares of founders’ common stock</w:t>
            </w: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CFF0FC"/>
          </w:tcPr>
          <w:p>
            <w:pPr>
              <w:spacing w:after="0"/>
              <w:rPr>
                <w:sz w:val="19"/>
                <w:szCs w:val="19"/>
                <w:color w:val="auto"/>
              </w:rPr>
            </w:pPr>
          </w:p>
        </w:tc>
      </w:tr>
      <w:tr>
        <w:trPr>
          <w:trHeight w:val="223"/>
        </w:trPr>
        <w:tc>
          <w:tcPr>
            <w:tcW w:w="6540" w:type="dxa"/>
            <w:vAlign w:val="bottom"/>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2,732,085</w:t>
            </w:r>
          </w:p>
        </w:tc>
        <w:tc>
          <w:tcPr>
            <w:tcW w:w="2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16,500,650</w:t>
            </w:r>
          </w:p>
        </w:tc>
        <w:tc>
          <w:tcPr>
            <w:tcW w:w="12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Three Months Ended June 30,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(17,001)</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(15,522)</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(5,972)</w:t>
            </w: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(29,545)</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20"/>
                <w:szCs w:val="20"/>
                <w:color w:val="auto"/>
              </w:rPr>
            </w:pPr>
            <w:r>
              <w:rPr>
                <w:rFonts w:ascii="Arial" w:cs="Arial" w:eastAsia="Arial" w:hAnsi="Arial"/>
                <w:sz w:val="18"/>
                <w:szCs w:val="18"/>
                <w:color w:val="auto"/>
              </w:rPr>
              <w:t>Add: accretion to redemption value and cumulative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dividends on redeemable convertible preferred shares</w:t>
            </w: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(1,359)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used to</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calculate net loss per share attributable to common</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12,253,943</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1,559,942</w:t>
            </w:r>
          </w:p>
        </w:tc>
        <w:tc>
          <w:tcPr>
            <w:tcW w:w="14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7,062,780</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1,486,109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12,253,943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1,559,942</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7,062,780</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1,486,109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(10.82)</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(0.85)</w:t>
            </w: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Company has evaluated subsequent events for financial statement purposes occurring through August 10, 2020, the date these financial statements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notes for the year ended December 31, 2019, included in the Company’s final prospectus filed with the SEC pursuant to Rule 424(b) under the Securities Act of 1933, as amended, on June 3, 2020 (the “Prospectus”), and other financial information appearing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9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a clinical stage biopharmaceutical company focused on discovering and developing novel therapies for the treatment of fibrosis.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PLN-74809, is an oral small-molecule dual selective inhibitor of α</w:t>
      </w:r>
      <w:r>
        <w:rPr>
          <w:rFonts w:ascii="Arial" w:cs="Arial" w:eastAsia="Arial" w:hAnsi="Arial"/>
          <w:sz w:val="13"/>
          <w:szCs w:val="13"/>
          <w:color w:val="auto"/>
        </w:rPr>
        <w:t>v</w:t>
      </w:r>
      <w:r>
        <w:rPr>
          <w:rFonts w:ascii="Arial" w:cs="Arial" w:eastAsia="Arial" w:hAnsi="Arial"/>
          <w:sz w:val="16"/>
          <w:szCs w:val="16"/>
          <w:color w:val="auto"/>
        </w:rPr>
        <w:t>ß</w:t>
      </w:r>
      <w:r>
        <w:rPr>
          <w:rFonts w:ascii="Arial" w:cs="Arial" w:eastAsia="Arial" w:hAnsi="Arial"/>
          <w:sz w:val="13"/>
          <w:szCs w:val="13"/>
          <w:color w:val="auto"/>
        </w:rPr>
        <w:t>6</w:t>
      </w:r>
      <w:r>
        <w:rPr>
          <w:rFonts w:ascii="Arial" w:cs="Arial" w:eastAsia="Arial" w:hAnsi="Arial"/>
          <w:sz w:val="16"/>
          <w:szCs w:val="16"/>
          <w:color w:val="auto"/>
        </w:rPr>
        <w:t xml:space="preserve"> and α</w:t>
      </w:r>
      <w:r>
        <w:rPr>
          <w:rFonts w:ascii="Arial" w:cs="Arial" w:eastAsia="Arial" w:hAnsi="Arial"/>
          <w:sz w:val="13"/>
          <w:szCs w:val="13"/>
          <w:color w:val="auto"/>
        </w:rPr>
        <w:t>v</w:t>
      </w:r>
      <w:r>
        <w:rPr>
          <w:rFonts w:ascii="Arial" w:cs="Arial" w:eastAsia="Arial" w:hAnsi="Arial"/>
          <w:sz w:val="16"/>
          <w:szCs w:val="16"/>
          <w:color w:val="auto"/>
        </w:rPr>
        <w:t>ß</w:t>
      </w:r>
      <w:r>
        <w:rPr>
          <w:rFonts w:ascii="Arial" w:cs="Arial" w:eastAsia="Arial" w:hAnsi="Arial"/>
          <w:sz w:val="13"/>
          <w:szCs w:val="13"/>
          <w:color w:val="auto"/>
        </w:rPr>
        <w:t>1</w:t>
      </w:r>
      <w:r>
        <w:rPr>
          <w:rFonts w:ascii="Arial" w:cs="Arial" w:eastAsia="Arial" w:hAnsi="Arial"/>
          <w:sz w:val="16"/>
          <w:szCs w:val="16"/>
          <w:color w:val="auto"/>
        </w:rPr>
        <w:t xml:space="preserve"> integrins that we are developing for the treatment of idiopathic pulmonary fibrosis, or IPF, and primary sclerosing cholangitis, or PSC. We have completed a Phase 1a SAD/MAD trial and a Phase 1b proof-of-mechanism trial of PLN-74809 in IPF. We are recruiting two Phase 2a trials of PLN-74809 in IPF. We submitted an IND for PLN-74809 for the treatment of PSC in March 2020, and plan to initiate a Phase 2a PSC trial in the second half of 2020, subject to the impact of the COVID-19 pandemic. Our second product candidate, PLN-1474, is a small-molecule selective inhibitor of α</w:t>
      </w:r>
      <w:r>
        <w:rPr>
          <w:rFonts w:ascii="Arial" w:cs="Arial" w:eastAsia="Arial" w:hAnsi="Arial"/>
          <w:sz w:val="13"/>
          <w:szCs w:val="13"/>
          <w:color w:val="auto"/>
        </w:rPr>
        <w:t>v</w:t>
      </w:r>
      <w:r>
        <w:rPr>
          <w:rFonts w:ascii="Arial" w:cs="Arial" w:eastAsia="Arial" w:hAnsi="Arial"/>
          <w:sz w:val="16"/>
          <w:szCs w:val="16"/>
          <w:color w:val="auto"/>
        </w:rPr>
        <w:t>ß</w:t>
      </w:r>
      <w:r>
        <w:rPr>
          <w:rFonts w:ascii="Arial" w:cs="Arial" w:eastAsia="Arial" w:hAnsi="Arial"/>
          <w:sz w:val="13"/>
          <w:szCs w:val="13"/>
          <w:color w:val="auto"/>
        </w:rPr>
        <w:t>1</w:t>
      </w:r>
      <w:r>
        <w:rPr>
          <w:rFonts w:ascii="Arial" w:cs="Arial" w:eastAsia="Arial" w:hAnsi="Arial"/>
          <w:sz w:val="16"/>
          <w:szCs w:val="16"/>
          <w:color w:val="auto"/>
        </w:rPr>
        <w:t xml:space="preserve"> for the treatment of liver fibrosis associated with NASH, which we have partnered with Novartis. PLN-1474 is currently undergoing Phase 1 testing. In addition to our clinical programs, we currently have preclinical integrin-based programs targeting oncology and muscular dystrophies.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17" w:lineRule="exact"/>
        <w:rPr>
          <w:sz w:val="20"/>
          <w:szCs w:val="20"/>
          <w:color w:val="auto"/>
        </w:rPr>
      </w:pPr>
    </w:p>
    <w:p>
      <w:pPr>
        <w:ind w:left="1000" w:right="60" w:hanging="493"/>
        <w:spacing w:after="0" w:line="256"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Completed an initial public offering (IPO) and concurrent private placement with Novartis. </w:t>
      </w:r>
      <w:r>
        <w:rPr>
          <w:rFonts w:ascii="Arial" w:cs="Arial" w:eastAsia="Arial" w:hAnsi="Arial"/>
          <w:sz w:val="18"/>
          <w:szCs w:val="18"/>
          <w:color w:val="auto"/>
        </w:rPr>
        <w:t>The IPO priced at $16.00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gross proceeds of $165.6 million including shares sold to the underwriters pursuant to the full exercise of their overallotment option before deducting underwriting discounts, commissions and other offering expenses payable by Pliant. The company also received $10.0 million in additional proceeds from a concurrent private placement with Novartis Institutes for BioMedical Research, Inc. at the public offering price of $16.00 per share. The Company's common stock commenced trading on the Nasdaq Global Select Market under the ticker symbol "PLRX" on June 3rd, 2020.</w:t>
      </w:r>
    </w:p>
    <w:p>
      <w:pPr>
        <w:spacing w:after="0" w:line="9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Phase 2a 12-week trials of PLN-74809 in IPF and PSC have resumed enrollment. </w:t>
      </w:r>
      <w:r>
        <w:rPr>
          <w:rFonts w:ascii="Arial" w:cs="Arial" w:eastAsia="Arial" w:hAnsi="Arial"/>
          <w:sz w:val="17"/>
          <w:szCs w:val="17"/>
          <w:color w:val="auto"/>
        </w:rPr>
        <w:t>Through close coordination with over 100 global trial</w:t>
      </w:r>
      <w:r>
        <w:rPr>
          <w:rFonts w:ascii="Arial" w:cs="Arial" w:eastAsia="Arial" w:hAnsi="Arial"/>
          <w:sz w:val="17"/>
          <w:szCs w:val="17"/>
          <w:b w:val="1"/>
          <w:bCs w:val="1"/>
          <w:color w:val="auto"/>
        </w:rPr>
        <w:t xml:space="preserve"> </w:t>
      </w:r>
      <w:r>
        <w:rPr>
          <w:rFonts w:ascii="Arial" w:cs="Arial" w:eastAsia="Arial" w:hAnsi="Arial"/>
          <w:sz w:val="17"/>
          <w:szCs w:val="17"/>
          <w:color w:val="auto"/>
        </w:rPr>
        <w:t>sites, Pliant has continued to conduct site initiation activities throughout the COVID-19 pandemic. The Company is offering a hybrid approach to clinical trial participation with home-health solutions designed to minimize the requirements for visits to healthcare facilities, as well as a campaign to raise awareness of the IPF and PSC programs across patient communities and patient advocacy groups. Phase 2a clinical trial sites are currently enrolling patients in both the IPF and PSC trials.</w:t>
      </w:r>
    </w:p>
    <w:p>
      <w:pPr>
        <w:spacing w:after="0" w:line="73" w:lineRule="exact"/>
        <w:rPr>
          <w:rFonts w:ascii="Arial" w:cs="Arial" w:eastAsia="Arial" w:hAnsi="Arial"/>
          <w:sz w:val="17"/>
          <w:szCs w:val="17"/>
          <w:color w:val="auto"/>
        </w:rPr>
      </w:pPr>
    </w:p>
    <w:p>
      <w:pPr>
        <w:ind w:left="1000" w:hanging="493"/>
        <w:spacing w:after="0" w:line="25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Opened IND for PLN-74809 for treatment of acute respiratory distress syndrome (ARDS) associated with COVID-19. </w:t>
      </w:r>
      <w:r>
        <w:rPr>
          <w:rFonts w:ascii="Arial" w:cs="Arial" w:eastAsia="Arial" w:hAnsi="Arial"/>
          <w:sz w:val="18"/>
          <w:szCs w:val="18"/>
          <w:color w:val="auto"/>
        </w:rPr>
        <w:t>Pliant</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the COVID-19 ARDS IND in June and the FDA has since issued a "safe to proceed" letter. The Company plans to initiate a Phase 2 trial evaluating safety, tolerability and pharmacokinetics (PK) of PLN-74809, as well as exploratory clinical outcome measures in patients hospitalized with severe and critical COVID-19 in the second half of 2020. This represents the fourth IND that Pliant has successfully opened since operations began in 2016.</w:t>
      </w:r>
    </w:p>
    <w:p>
      <w:pPr>
        <w:spacing w:after="0" w:line="88" w:lineRule="exact"/>
        <w:rPr>
          <w:rFonts w:ascii="Arial" w:cs="Arial" w:eastAsia="Arial" w:hAnsi="Arial"/>
          <w:sz w:val="18"/>
          <w:szCs w:val="18"/>
          <w:color w:val="auto"/>
        </w:rPr>
      </w:pPr>
    </w:p>
    <w:p>
      <w:pPr>
        <w:ind w:left="1000" w:right="300" w:hanging="493"/>
        <w:spacing w:after="0" w:line="303"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Completed dosing of initial cohorts of a Phase 1 trial of PLN-1474. </w:t>
      </w:r>
      <w:r>
        <w:rPr>
          <w:rFonts w:ascii="Arial" w:cs="Arial" w:eastAsia="Arial" w:hAnsi="Arial"/>
          <w:sz w:val="16"/>
          <w:szCs w:val="16"/>
          <w:color w:val="auto"/>
        </w:rPr>
        <w:t>The Phase 1 trial is designed to evaluate safety and tolerability, as</w:t>
      </w:r>
      <w:r>
        <w:rPr>
          <w:rFonts w:ascii="Arial" w:cs="Arial" w:eastAsia="Arial" w:hAnsi="Arial"/>
          <w:sz w:val="16"/>
          <w:szCs w:val="16"/>
          <w:b w:val="1"/>
          <w:bCs w:val="1"/>
          <w:color w:val="auto"/>
        </w:rPr>
        <w:t xml:space="preserve"> </w:t>
      </w:r>
      <w:r>
        <w:rPr>
          <w:rFonts w:ascii="Arial" w:cs="Arial" w:eastAsia="Arial" w:hAnsi="Arial"/>
          <w:sz w:val="16"/>
          <w:szCs w:val="16"/>
          <w:color w:val="auto"/>
        </w:rPr>
        <w:t>well as PK of PLN-1474 in approximately 100 healthy volunteers across a dose range compared to placebo. The Phase 1 trial site has experienced delays due to COVID-19; however, it is now open and expected to continue dosing the remaining cohorts with topline data expected in the first quarter of 2021, subject to further impact of the COVID-19 pandemic. PLN-1474 is partnered with Novartis.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firstLine="510"/>
        <w:spacing w:after="0" w:line="269" w:lineRule="auto"/>
        <w:rPr>
          <w:sz w:val="20"/>
          <w:szCs w:val="20"/>
          <w:color w:val="auto"/>
        </w:rPr>
      </w:pPr>
      <w:r>
        <w:rPr>
          <w:rFonts w:ascii="Arial" w:cs="Arial" w:eastAsia="Arial" w:hAnsi="Arial"/>
          <w:sz w:val="17"/>
          <w:szCs w:val="17"/>
          <w:color w:val="auto"/>
        </w:rPr>
        <w:t>In October 2019, we entered into a Collaboration and License Agreement with Novartis, or the Novartis Agreement, for the development and commercialization of our then preclinical product candidate, PLN-1474 and up to three integrin research targets. PLN-1474 is an internally discovered small molecule selective inhibitor of integrin α</w:t>
      </w:r>
      <w:r>
        <w:rPr>
          <w:rFonts w:ascii="Arial" w:cs="Arial" w:eastAsia="Arial" w:hAnsi="Arial"/>
          <w:sz w:val="14"/>
          <w:szCs w:val="14"/>
          <w:color w:val="auto"/>
        </w:rPr>
        <w:t>v</w:t>
      </w:r>
      <w:r>
        <w:rPr>
          <w:rFonts w:ascii="Arial" w:cs="Arial" w:eastAsia="Arial" w:hAnsi="Arial"/>
          <w:sz w:val="17"/>
          <w:szCs w:val="17"/>
          <w:color w:val="auto"/>
        </w:rPr>
        <w:t>ß</w:t>
      </w:r>
      <w:r>
        <w:rPr>
          <w:rFonts w:ascii="Arial" w:cs="Arial" w:eastAsia="Arial" w:hAnsi="Arial"/>
          <w:sz w:val="14"/>
          <w:szCs w:val="14"/>
          <w:color w:val="auto"/>
        </w:rPr>
        <w:t>1</w:t>
      </w:r>
      <w:r>
        <w:rPr>
          <w:rFonts w:ascii="Arial" w:cs="Arial" w:eastAsia="Arial" w:hAnsi="Arial"/>
          <w:sz w:val="17"/>
          <w:szCs w:val="17"/>
          <w:color w:val="auto"/>
        </w:rPr>
        <w:t>, currently being developed for the treatment of liver fibrosis associated with nonalcoholic steatohepatitis, or NASH. In December 2019, we received an upfront license payment of $50.0 million for the worldwide exclusive license to PLN-1474. During the second quarter of 2020, we received $27.8 million in payments from Novartis. Pursuant to the Novartis Agreement, we expect to receive research and development funding totaling $19.6 million for PLN-1474 development services and funding of up to $13.4 million for option research and development services on the integrin research targets. Additionally, we are eligible to receive developmental, regulatory and commercial milestone payments of up to $416.0 million in total,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8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December 19, 2019, we issued 26.4 million shares of Series C redeemable convertible preferred stock, or the Series C Funding, for aggregate cash proceeds of $48.2 million. Novartis purchased 10.9 million shares of the December 19, 2019 Series C redeemable convertible preferred stock offering at $1.83 per share, which as at fair value as the Company sold Series C redeemable convertible preferred stock investor which is at arms-length transaction as $1.83 per share was the purchase price paid for shares by other unrelated investors who participated in the funding round. In February 2020, we issued an additional 28.5 million shares of Series C redeemable convertible preferred stock for aggregate cash proceeds of $52.2 million.</w:t>
      </w:r>
    </w:p>
    <w:p>
      <w:pPr>
        <w:spacing w:after="0" w:line="16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June 2020, we completed an IPO issuing an aggregate of 10,350,000 shares of common stock, which included 1,350,000 shares of common stock issued pursuant to the over-allotment option granted to the underwriters at a price of $16.00 per share, before underwriting discounts and commissions. As a result of the IPO, we received approximately $148.4 million in net proceeds, after deducting underwriting discounts, commissions and offering expenses of $5.6 million, of which $2.6 million was paid in 2019. As of June 30, 2020, we offset the deferred offering costs against the net proceeds received from the sale of common stock. At the closing of the IPO, 160,389,279 shares of outstanding convertible preferred stock were automatically converted to 22,423,029 shares common stock on a 7.15:1 basis. Following the IPO, there were no shares of preferred stock outstanding. Concurrent with the completion of the IPO, we also issued 625,000 shares to Novartis in a private placement at a price of $16.00 per share for proceeds of $10.0 million, which resulted in Novartis owning approximately 6.1% of our outstanding shares of common stock.</w:t>
      </w:r>
    </w:p>
    <w:p>
      <w:pPr>
        <w:spacing w:after="0" w:line="178"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Since our inception in 2015, our operations have included organizing and hiring personnel for our company, business planning, raising capital, establishing our intellectual property portfolio and performing research and development of TGF-ß signaling and integrin biology, medicinal chemistry, translational screening technologies, and clinical insights to create tissue-specific inhibitors of fibrotic diseases.</w:t>
      </w:r>
    </w:p>
    <w:p>
      <w:pPr>
        <w:spacing w:after="0" w:line="16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have incurred net losses since inception and expect to incur losses in the future as we continue our research and development activities. To date, we have funded our operations primarily through private placements of our redeemable convertible preferred stock and from revenue generated from the Novartis Agreement.</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To date, all our revenue has solely been generated from the Novartis Agreement. We expect revenue will continue to fluctuate from period to period and there can be no assurance that we will generate other revenue, that we will enter into new collaborations, or that new or existing collaborations will continue beyond their initial terms or that we will be able to meet the milestones specified in these agreements.</w:t>
      </w:r>
    </w:p>
    <w:p>
      <w:pPr>
        <w:spacing w:after="0" w:line="184" w:lineRule="exact"/>
        <w:rPr>
          <w:sz w:val="20"/>
          <w:szCs w:val="20"/>
          <w:color w:val="auto"/>
        </w:rPr>
      </w:pPr>
    </w:p>
    <w:p>
      <w:pPr>
        <w:jc w:val="both"/>
        <w:ind w:right="180" w:firstLine="510"/>
        <w:spacing w:after="0" w:line="287" w:lineRule="auto"/>
        <w:rPr>
          <w:sz w:val="20"/>
          <w:szCs w:val="20"/>
          <w:color w:val="auto"/>
        </w:rPr>
      </w:pPr>
      <w:r>
        <w:rPr>
          <w:rFonts w:ascii="Arial" w:cs="Arial" w:eastAsia="Arial" w:hAnsi="Arial"/>
          <w:sz w:val="16"/>
          <w:szCs w:val="16"/>
          <w:color w:val="auto"/>
        </w:rPr>
        <w:t>Since our inception, we have incurred significant operating losses. Our net losses were $17.0 million and $6.0 million for the three and six months ended June 30, 2020, respectively, compared to losses of $15.5 million and $29.5 million for the three and six months ended June 30, 2019, respectively. Our net loss was $0.6 million and $30.3 million for the years ended December 31, 2019 and December 31, 2018. As of June 30, 2020 and December</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31, 2019, we had an accumulated deficit of $82.3 million and $76.3 million, respectively. We expect to continue to incur significant expenses and operating losses for the foreseeable future. In addition, we anticipate that our expenses will increase significantly in connection with our ongoing activities, as we:</w:t>
      </w:r>
    </w:p>
    <w:p>
      <w:pPr>
        <w:spacing w:after="0" w:line="30" w:lineRule="exact"/>
        <w:rPr>
          <w:sz w:val="20"/>
          <w:szCs w:val="20"/>
          <w:color w:val="auto"/>
        </w:rPr>
      </w:pPr>
    </w:p>
    <w:p>
      <w:pPr>
        <w:ind w:left="1000" w:right="9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PLN-74809, through clinical development, and, if approved by the FDA, commercialization;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advance our other clinical programs through clinical development and our preclinical development programs into clinical development;</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regulatory approval for PLN-74809 or any of our other product candidates. In addition, if we obtain regulatory approval for PLN-74809 or any of our other product candidates and do not enter into one or more collaborations with third-parties for commercialization, we expect to incur significant expenses related to developing our commercialization capability to support product sales, marketing and distribution activities.</w:t>
      </w:r>
    </w:p>
    <w:p>
      <w:pPr>
        <w:spacing w:after="0" w:line="18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and the economic and developmental uncertainty arising from the COVID-19 pandemic, we may be unable to accurately predict the timing or magnitude of all expenses. Even if we can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1"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As of June 30, 2020, we had cash, cash equivalents and short-term investments of $312.5 million. We expect to continue to incur losses for the foreseeable future and will require additional financial resources to continue to advance our products and intellectual property. We believe that our existing cash, cash equivalents and short-term investments, will enable us to fund our operating expenses and capital expenditure requirements into 2023. As a result, we will need substantial additional funding to support our continuing operations and pursue our growth strategy. Until such time as we can generate significant revenue from product sales, if ever, we expect to finance our operations through a combination of public or private equity offerings and debt financings, government funding arrangements,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March 2020, the World Health Organization declared the outbreak of a novel coronavirus, or COVID-19, as a pandemic, which continues to spread throughout the United States and worldwide. We could be materially and adversely affected by the risks, or the public perception of the risks, related to an epidemic, pandemic, outbreak, or other public health crisis, such as the recent outbreak of COVID-19. Among other things, our clinical trials have been and may continue to be delayed, extending the timelines and increasing the overall costs to finish the clinical trials, as our fixed costs are not substantially reduced while the clinical trials are delayed. For example, the clinical site conducting Pliant’s Phase 2a PET trial of PLN-74809 in IPF was closed to clinical research in March, but has recently resumed enrollment and trial activities in the third quarter.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will be affected. We remain focused on maintaining a strong balance sheet, liquidity and financial flexibility and continue to monitor developments as we deal with the disruptions and uncertainties from a business and financial perspective relating to COVID-19.</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Revenue—Related Party</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October 2019, we entered into the Novartis Agreement for the development and commercialization of our then preclinical product candidate, PLN-1474 and up to three additional integrin research targets. Under the terms of the Novartis Agreement, in December 2019, Novartis paid Pliant an upfront license fee payment of $50.0 million for the worldwide exclusive license to PLN-1474. Novartis will fund our research and development activities for PLN-1474 through Phase 1 after which Novartis will assume responsibility for all future development, manufacturing and commercialization of PLN-1474. Novartis will also fund the research and development activities associated with the integrin research targets as outlined in the Novartis Agreement. We are scheduled to receive up to $19.6 million in funding for PLN -1474 development services through Phase 1 and are expected to receive up to $13.4 million in funding for optional development and research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jc w:val="both"/>
        <w:ind w:right="140"/>
        <w:spacing w:after="0" w:line="301" w:lineRule="auto"/>
        <w:rPr>
          <w:sz w:val="20"/>
          <w:szCs w:val="20"/>
          <w:color w:val="auto"/>
        </w:rPr>
      </w:pPr>
      <w:r>
        <w:rPr>
          <w:rFonts w:ascii="Arial" w:cs="Arial" w:eastAsia="Arial" w:hAnsi="Arial"/>
          <w:sz w:val="16"/>
          <w:szCs w:val="16"/>
          <w:color w:val="auto"/>
        </w:rPr>
        <w:t>services on the integrin research targets. The research and development funding payments are expected to be paid periodically throughout 2020, 2021 and 2022. We are eligible for milestone payments of up to $416.0 million in total, if defined developmental,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5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Revenue-related party was $3.6 million and $32.5 million for the three and six months ended June 30, 2020, respectively, compared to no revenue for the three and six months ended June 30, 2019, respectively. Novartis became a related party to us following its purchase of 10.9 million shares of our Series C redeemable convertible preferred stock on December 19, 2019 which were subsequently converted to common stock upon our IPO, along with the concurrent private placement of 625,000 shares upon our IPO, representing aggregate holdings of 6.1% and 7.4% of our outstanding shares of common stock on a fully diluted basis as of June 30, 2020 and December 31, 2019,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Our research and development expenses consist of expenses incurred in connection with the development of our product candidates. Research and development expenses include:</w:t>
      </w:r>
    </w:p>
    <w:p>
      <w:pPr>
        <w:spacing w:after="0" w:line="6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employee-related expenses, which include salaries, benefits and stock-based compensation for our research and development personnel;</w:t>
      </w:r>
    </w:p>
    <w:p>
      <w:pPr>
        <w:spacing w:after="0" w:line="140" w:lineRule="exact"/>
        <w:rPr>
          <w:rFonts w:ascii="Arial" w:cs="Arial" w:eastAsia="Arial" w:hAnsi="Arial"/>
          <w:sz w:val="16"/>
          <w:szCs w:val="16"/>
          <w:color w:val="auto"/>
        </w:rPr>
      </w:pPr>
    </w:p>
    <w:p>
      <w:pPr>
        <w:ind w:left="1000" w:right="5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for pre-clinical studies, investigative clinical trial sites and consultants that conduct research and development activities on our behalf;</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of laboratory equipment and costs of equipment and supplies;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expenses for rent and other facility related costs and other supplies.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research and development expenses for the three and six months ended June 30, 2020 and 2019 (in thousands):</w:t>
      </w: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2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FF0FC"/>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Outside and consulting services for preclinical studies 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Arial" w:cs="Arial" w:eastAsia="Arial" w:hAnsi="Arial"/>
                <w:sz w:val="18"/>
                <w:szCs w:val="18"/>
                <w:color w:val="auto"/>
              </w:rPr>
              <w:t>research and development activities by third party</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contract organizations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12,173</w:t>
            </w:r>
          </w:p>
        </w:tc>
        <w:tc>
          <w:tcPr>
            <w:tcW w:w="100" w:type="dxa"/>
            <w:vAlign w:val="bottom"/>
          </w:tcPr>
          <w:p>
            <w:pPr>
              <w:spacing w:after="0"/>
              <w:rPr>
                <w:sz w:val="20"/>
                <w:szCs w:val="20"/>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Clinical trials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FF0FC"/>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rPr>
              <w:t>Depreciation of lab equipment and costs of equipment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and supplies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0"/>
                <w:szCs w:val="20"/>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intellectual property licenses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Facilities and other allocated expenses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31,455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We expense all research and development costs in the periods in which they are incurred. 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w:t>
      </w:r>
    </w:p>
    <w:p>
      <w:pPr>
        <w:spacing w:after="0" w:line="14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During 2018, we were eligible for a research and development tax credit. The tax incentive was available to us based on research and development activity within the United States and California during those years. These research and development tax incentives are recognized as a contra to FICA payroll tax expense when the right to receive has been attained and funds are collectible and is capped at $250,000 per year. Starting in the fourth quarter of 2019, the Company was no longer eligible for federal and California research development credits as it generated revenue during the year. As such, all federal and California research and development credits generated and accrued during the first three quarters of 2019 were reversed. The Company, however, is still eligible to apply for federal research and development credits for its research and development activities performed within the United States and California.</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40" w:firstLine="510"/>
        <w:spacing w:after="0" w:line="296" w:lineRule="auto"/>
        <w:rPr>
          <w:sz w:val="20"/>
          <w:szCs w:val="20"/>
          <w:color w:val="auto"/>
        </w:rPr>
      </w:pPr>
      <w:r>
        <w:rPr>
          <w:rFonts w:ascii="Arial" w:cs="Arial" w:eastAsia="Arial" w:hAnsi="Arial"/>
          <w:sz w:val="16"/>
          <w:szCs w:val="16"/>
          <w:color w:val="auto"/>
        </w:rPr>
        <w:t>We expect our research and development expenses to increase substantially for the foreseeable future as we continue to invest in research and development activities related to developing our product candidates and our preclinical programs and as they advance into later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general and administrative expenses consist primarily of personnel costs, allocated facilities costs and other expenses for outside professional services, including legal, marketing, investor relations, human resource and accounting services. Personnel costs consist of salaries, benefits and stock-based compensation for our general and administrative personnel. We expect to incur additional expenses as a result of operating as a public company, including expenses related to compliance with the rules and regulations of the SEC, The Nasdaq Global Market, additional insurance expenses, investor relations activities and other administrative and professional services. We also expect to increase the size of our administrative function to support the growth of our business.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interest income consists of interest income earned on cash and cash equivalents, money market funds and short-term investments.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described above in “COVID 19 Pandemic”, the ultimate extent of the impact of any epidemic, pandemic, outbreak or other public health crisis on our results of operations will depend on future developments, which are highly uncertain, including new information that may emerge concerning the severity of the COVID-19 pandemic or other public health crisis and actions taken to contain or prevent the further spread, among others. Accordingly, we cannot fully predict the extent to which our business and results of operations will be affected; however, we expect the COVID-19 pandemic to impact our operations in several ways. Many clinical trial sites have been impacted by the pandemic, forcing them to delay enrollment in research trials, including ours. This will likely impact the speed of enrollment in our current trials. Additionally, the pandemic has limited our ability to perform basic science R&amp;D in our facilities due to government shelter-in-place orders, ultimately slowing, but not stopping, progress of several early stage projects.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Revenue—related party</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(17,536)</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(13,098)</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(4,438)</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(3,040)</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(2,643)</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(129)</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Results not meaningful</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 Related Party</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Revenue-related party consists primarily of revenue generated from the Novartis Agreement. Related party revenue was $3.6 million and none the three months ended June 30, 2020 and 2019, respectively. The increase of $3.6 million in revenue-related party for the three months ended June 30, 2020 compared to the same period in 2019 was due to $3.6 million in revenue generated off of research and development services performed during the period. We anticipate revenue over the next several quarters will be derived primarily from the Novartis Agreement as we continue to recognize revenue-related party from research and development services and from the potential achievement of the Novartis Agreement’s developmental, regulatory and commercial milestones.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Research and development expenses were $17.5 million and $13.1 million for the three months ended June 30, 2020 and 2019, respectively. Research and development expenses increased by $4.4 million, or 33.9%, which was primarily due to $2.2 million of increased license fees, $1.3 million of increased consulting and outside services costs, $0.9 million of increased compensation costs, $0.2 million of increased stock-based compensation costs and $0.2 million of increase for insurance expenses, partially offset by decreases in equipment and supplies expense and sponsored research expenses of $0.3 million and 0.2 million, respectively. License fees increased due to the $2.4 million milestone payment to the UC Regents in connection with our IPO. Consulting and outside services costs increased due to increased PLN-74809 and PLN-1474 development activities. Compensation costs and stock-based compensation costs increased as a result of increased headcount. Insurance expenses increased to costs for insurance as a public company. Sponsored research expenses decreased due to decreased research sponsorship activities with universities in 2020. The reduction in equipment and supplies expense was due to a decrease in purchases of laboratory equipment during the three months ended June 30, 2020 compared to 2019.</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General and administrative expenses were $3.0 million and $2.6 million for the three months ended June 30, 2020 and 2019, respectively. The increase of $0.4 million, or 15.0%, was primarily due to $0.4 million of increased compensation costs, $0.1 million of increased stock-based compensation costs, $0.1 million of increased professional and consulting costs, partially offset by a decrease of $0.2 million in travel expense. Compensation costs and stock-based compensation costs increased as a result of increased headcount. Professional and consulting costs increased primarily as a result of increased legal, marketing, investor relations and accounting fees. Travel expenses decreased primarily due to decreased executive travel as a result of the COVID-19 pandemic.</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Interest income decreased by $0.1 million for the three months ended June 30, 2020, when compared to the three months ended June 30, 2019. The decrease was primarily attributable lower interest rates in the three months ended June 30, 2020 when compared to the corresponding period in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4"/>
                <w:szCs w:val="1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Six Months Ended June 30,</w:t>
            </w:r>
          </w:p>
        </w:tc>
        <w:tc>
          <w:tcPr>
            <w:tcW w:w="160" w:type="dxa"/>
            <w:vAlign w:val="bottom"/>
          </w:tcPr>
          <w:p>
            <w:pPr>
              <w:spacing w:after="0"/>
              <w:rPr>
                <w:sz w:val="14"/>
                <w:szCs w:val="14"/>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Revenue—related party</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32,538</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(31,455)</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(24,847)</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(6,608)</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(7,051)</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(5,244)</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(30,091)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(8,415)</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(30,091)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24,123</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4528.6%</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Results not meaningful</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 Related Party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Revenue-related party of $32.5 million consists primarily of revenue generated from the Novartis Agreement. The increase of $32.5 million in revenue-related party for the six months ended June 30, 2020 compared to the six months ended June 30, 2019 was due to us recognizing revenue—related party of $25.0 million for the milestone payment that was achieved with the first patient dosing under the Novartis agreement in the first quarter of 2020. In addition, we recognized revenue—related party of $7.5 million generated off of research and development services performed during the period. Over the next several years, we expect our revenue will be derived primarily from the Novartis Agreement as we continue to recognize revenue-related party from research and development services funding and from the potential achievement of the Novartis Agreement’s developmental, regulatory and commercial milestones.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20" w:firstLine="510"/>
        <w:spacing w:after="0" w:line="257" w:lineRule="auto"/>
        <w:rPr>
          <w:sz w:val="20"/>
          <w:szCs w:val="20"/>
          <w:color w:val="auto"/>
        </w:rPr>
      </w:pPr>
      <w:r>
        <w:rPr>
          <w:rFonts w:ascii="Arial" w:cs="Arial" w:eastAsia="Arial" w:hAnsi="Arial"/>
          <w:sz w:val="18"/>
          <w:szCs w:val="18"/>
          <w:color w:val="auto"/>
        </w:rPr>
        <w:t>Research and development expenses were $31.5 million and $24.8 million for the six months ended June 30, 2020 and 2019, respectively. Research and development expenses increased by $6.6 million, or 26.6%, which was primarily due to $2.3 million of increased consulting and outside services costs, $2.2 million in increased license fees due to the $2.4 milestone payment to the UC Regents in connection with our IPO, $2.1 million of increased compensation costs, including stock-based compensation costs, and $0.3 million of increased insurance expense, partially offset by a decrease of $0.2 million in equipment and supplies expense and $0.2 million in decreased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ind w:right="60"/>
        <w:spacing w:after="0" w:line="311" w:lineRule="auto"/>
        <w:rPr>
          <w:sz w:val="20"/>
          <w:szCs w:val="20"/>
          <w:color w:val="auto"/>
        </w:rPr>
      </w:pPr>
      <w:r>
        <w:rPr>
          <w:rFonts w:ascii="Arial" w:cs="Arial" w:eastAsia="Arial" w:hAnsi="Arial"/>
          <w:sz w:val="16"/>
          <w:szCs w:val="16"/>
          <w:color w:val="auto"/>
        </w:rPr>
        <w:t>research studies expense. Consulting and outside services costs increased due to increased PLN-74809 and PLN-1474 development activities with external vendors. Compensation costs and stock-based compensation costs increased as a result of increased headcount. The decreases in equipment and supplies expense and research expenses is primarily due to delayed research related activities stemming from the Covid-19 pandemic.</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General and administrative expenses were $7.1 million and $5.3 million for the six months ended June 30, 2020 and 2019, respectively. The increase of $1.8 million, or 34.5%, was primarily due to $0.9 million of increased consulting and outside services costs, $0.8 million of increased compensation costs, including stock-based compensation and $0.4 million of increased charitable contributions, partially offset by $0.2 million decrease in travel expenses. Professional and consulting costs increased primarily as a result of increased legal, marketing, investor relations and accounting fees. Compensation costs and stock-based compensation costs increased as a result of increased headcount. Travel expenses decreased primarily due to decreased executive travel as a result of the COVID-19 pandemic.</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Interest income decreased by $0.2 million for the six months ended June 30, 2020, compared to the six months ended June 30, 2019. The decrease was primarily attributable lower interest rates in the six months ended June 30, 2020 when compared to the corresponding period in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As of June 30, 2020, we had cash, cash equivalents and short-term investments of $312.5 million. This amount includes the net proceeds from our IPO in June 2020, in which we issued an aggregate of 10,350,000 shares of common stock, which included 9,000,000 shares of common shares and 1,350,000 shares of common stock sold pursuant to the underwriters’ exercise of their option to purchase additional shares, at an offering price of $16.00 per share. We received $148.4 million, net of underwriting discounts, commissions and offering expenses payable by us. We concurrently completed a private placement of 625,000 common shares to Novartis at a price of $16.00 per share for proceeds of $10.0 million. Our cash position as of June 30, 2020 also includes an additional $52.2 million from the issuance of an additional 28.5 million shares of our Series C redeemable convertible preferred stock in February of 2020, and reflects the achievement of the first patient dosing milestone of the Novartis Agreement that triggered the receipt of a $25.0 million payment which was received from Novartis in the second quarter of 2020 along with an additional $3.9 million representing amounts recorded to revenue for prior periods.</w:t>
      </w:r>
    </w:p>
    <w:p>
      <w:pPr>
        <w:spacing w:after="0" w:line="19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Due to the COVID-19 pandemic, our clinical trials with universities were temporarily delayed and our ability to identify and enroll patients in future clinical trials may become more difficult and costly. Our liquidity and financial condition evaluation includes an estimate of the financial impact of the delay in clinical trials and increased patient enrollment costs.</w:t>
      </w:r>
    </w:p>
    <w:p>
      <w:pPr>
        <w:spacing w:after="0" w:line="184"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Based on our current cash balance and our ability to control discretionary spending, such as research and development expenditures with outside service providers, we have evaluated and concluded our financial condition is sufficient to fund our planned operations, commitments and contractual obligations for a period of at least one year following the date that these financial statements are issued.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which may be impacted by the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enter into any collaboration agreements and the terms of any such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left="1000" w:right="2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Further, our operating plan may change, and we may need additional funds to meet operational needs and capital requirements for clinical trials and other research and development expenditures.</w:t>
      </w:r>
    </w:p>
    <w:p>
      <w:pPr>
        <w:spacing w:after="0" w:line="170"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cash flows for the periods indicated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56"/>
        </w:trPr>
        <w:tc>
          <w:tcPr>
            <w:tcW w:w="53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(117,692)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(22,497)</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by/(used) in financing activities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(898)</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increase/(decrease) in cash and cash equivalents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was $5.0 million for the six months ended June 30, 2020 and $24.6 million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Cash used in operating activities in the six months ended June 30, 2020 was primarily due to our net loss for the period of $6.0 million adjusted by non-cash charges of $1.8 million and net change of $0.8 million in our net operating assets and liabilities. The non-cash charges consisted of $0.6 million of depreciation expense and $1.2 million of stock-based compensation expense. The changes in our net operating assets and liabilities were primarily due to an increase of $6.4 million in prepaid expense and other current assets, partially offset by a decrease of $3.5 million in accounts receivable, an increase of $1.2 million in accrued expenses, an increase of $0.7 million in accounts payable, and a decrease of $0.3 million in tax credit receivables.</w:t>
      </w:r>
    </w:p>
    <w:p>
      <w:pPr>
        <w:spacing w:after="0" w:line="16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Cash used in operating activities in the six months ended June 30, 2019, was primarily due to our net loss for the year of $29.5 million adjusted by non-cash charges of $1.4 million and a net change of $3.6 million in our net operating assets and liabilities. The non-cash charges consisted of $0.6 million of depreciation expense and $0.8 million of stock-based compensation expense. The changes in our net operating assets and liabilities were primarily due to an increase of $3.8 million in accounts payable and accrued expenses, partially offset by an increase of $0.2 million in prepaid expenses and other non-current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During the six months ended June 30, 2020 and 2019, cash used in investing activities was $117.7 million and $22.5 million, respectively. Cash used in investing activities for the six months ended June 30, 2020 was primarily due to the purchase of short-term investments of $141.0 million and purchases of property, plant and equipment of $0.6 million, partially offset by $24.0 million in maturities of short-term investments.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7"/>
          <w:szCs w:val="17"/>
          <w:color w:val="auto"/>
        </w:rPr>
        <w:t>Cash used in investing activities for the six months ended June 30, 2019 was primarily due to the purchase of short-term investments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$32.8 million, purchases of property, plant and equipment of $0.7 million and accretion on short-term investments of $0.2 million, partially offset by $11.2 million in maturities on short-term investments.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80" w:firstLine="510"/>
        <w:spacing w:after="0" w:line="280" w:lineRule="auto"/>
        <w:rPr>
          <w:sz w:val="20"/>
          <w:szCs w:val="20"/>
          <w:color w:val="auto"/>
        </w:rPr>
      </w:pPr>
      <w:r>
        <w:rPr>
          <w:rFonts w:ascii="Arial" w:cs="Arial" w:eastAsia="Arial" w:hAnsi="Arial"/>
          <w:sz w:val="17"/>
          <w:szCs w:val="17"/>
          <w:color w:val="auto"/>
        </w:rPr>
        <w:t>During the six months ended June 30, 2020, cash provided by financing activities was $215.3 million. Cash provided by financing activities for the six months ended June 30, 2020 was primarily due to the net proceeds from issuance of common stock upon completion of our IPO of $153.1 million, issuance of common stock upon completion of the private placement with Novartis of $10.0 million, issuance our Series C convertible preferred stock net of issuance costs of $52.0 million, and the issuance of common stock upon the exercise of previously granted stock options of $0.2 million. The net proceeds from the completion of the IPO of $153.1 million were comprised of our proceeds of $154.0 million, after deducting underwriting discounts and commissions, less offering expenses of $5.6 million, of which $0.9 million was paid in 2020.</w:t>
      </w:r>
    </w:p>
    <w:p>
      <w:pPr>
        <w:spacing w:after="0" w:line="17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Cash used by financing activities for the six months ended June 30, 2019 was $0.9 million which was primarily due to payment of deferred offering costs of $1.0 million, partially offset by $0.1 million of proceeds from the issuance of restricted common stock.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or holdings in any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Report, we believe that the following accounting policies are those most critical to the judgments and estimates used in the preparation of our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As of June 30, 2020, all of our revenue to date has been generated from the Novartis Agreement. Effective January 1, 2018, we adopted the provisions of ASC Topic 606, Revenue from Contracts with Customers (“Topic 606”) using the full retrospective transition method. We did not have any prior collaboration agreements and did not recognize revenue during the year ended December 31, 2018.</w:t>
      </w:r>
    </w:p>
    <w:p>
      <w:pPr>
        <w:spacing w:after="0" w:line="184" w:lineRule="exact"/>
        <w:rPr>
          <w:sz w:val="20"/>
          <w:szCs w:val="20"/>
          <w:color w:val="auto"/>
        </w:rPr>
      </w:pPr>
    </w:p>
    <w:p>
      <w:pPr>
        <w:ind w:right="200" w:firstLine="510"/>
        <w:spacing w:after="0" w:line="287" w:lineRule="auto"/>
        <w:rPr>
          <w:sz w:val="20"/>
          <w:szCs w:val="20"/>
          <w:color w:val="auto"/>
        </w:rPr>
      </w:pPr>
      <w:r>
        <w:rPr>
          <w:rFonts w:ascii="Arial" w:cs="Arial" w:eastAsia="Arial" w:hAnsi="Arial"/>
          <w:sz w:val="16"/>
          <w:szCs w:val="16"/>
          <w:color w:val="auto"/>
        </w:rPr>
        <w:t>Under Topic 606, we recognize revenue when our customer obtains control of promised goods or services, in an amount that reflects the consideration which we expect to receive in exchange for those goods or services. To determine the appropriate amount of revenue to be recognized for arrangements determined to be within the scope of Topic 606, we perform the following five steps: (i) identification of the contract(s) with the customer,</w:t>
      </w:r>
    </w:p>
    <w:p>
      <w:pPr>
        <w:spacing w:after="0" w:line="2" w:lineRule="exact"/>
        <w:rPr>
          <w:sz w:val="20"/>
          <w:szCs w:val="20"/>
          <w:color w:val="auto"/>
        </w:rPr>
      </w:pPr>
    </w:p>
    <w:p>
      <w:pPr>
        <w:ind w:firstLine="8"/>
        <w:spacing w:after="0" w:line="253"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Identification of the Contracts with the Customers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evaluate every contract to determine whether it in its entirety or in part represent a contract with a customer, or a collaboration agreement and, based on this determination, apply appropriate accounting guidance.</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account for a contract with a customer that is within the scope of Topic 606 when all of the following criteria are met: (i) the arrangement has been approved by the parties and the parties are committed to perform their respective obligations, (ii) each party’s rights regarding the goods or services to be transferred can be identified, (iii) the payment terms for the goods or services to be transferred can be identified, (iv) the arrangement has commercial substance and (v) collection of substantially all of the consideration to which we will be entitled in exchange for the goods or services that will be transferred to the customer is probable.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promised goods or services in our collaboration and option arrangements consist of research and development services. The arrangements also have options for additional items (i.e., license rights). Options are considered to be marketing offers and are to be accounted for as separate contracts when the customer elects such options, unless we determine the option provides a material right which would not be provided without entering into the contract. The determination as to whether such options are material rights requires significant management judgment, and management considers factors such as other similar arrangements, market data and the terms of the contractual arrangement to make such conclusion.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our customer to develop the intellectual property on their own and whether the required expertise is readily available.</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16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All contingent future payments, which include research, development, regulatory, and sales-based royalty payments, have not been considered in the initial analysis, as they are contingent upon option(s) being exercised or are subject to significant risk of achievement.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Allocation of Transaction Price</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allocate the transaction price based on the estimated standalone selling price.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satisfying each performance obligation.</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considered the license to PLN-1474 as functional intellectual property, as when control of the license was transferred to Novartis at the inception of the Novartis Agreement, Novartis had the right to access its technology and it was functional. The license was distinct from the research and development services as the services are not transformative in nature. As such, under Topic 606, the Company determined the $50.0 million was standalone selling price PLN-1474 license and was recorded to revenue at the inception of the Novartis Agreement.</w:t>
      </w:r>
    </w:p>
    <w:p>
      <w:pPr>
        <w:spacing w:after="0" w:line="17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We recognize revenue as we perform the research and development services based on an input method, as such costs have direct relationship between our effort and the progress made towards satisfying its performance obligations to Novartis.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the conduct of clinical studies and preclinical studies. We record the estimated costs of research and development activities based upon the estimated amount of services provided but not yet invoiced and include these costs in accrued liabilities in the balance sheets and within research and development expense in the statements of operations and comprehensive (loss) income.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spacing w:after="0" w:line="17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Our accrued expenses are dependent, in part, upon the receipt of timely and accurate reporting from clinical research organizations and other third-party service providers. If we under estimate or overestimate the level of services performed or the costs of these services, our accrued expenses could differ from our estimates. For the periods presented, we have experienced no material differences between our accrued expenses and actual expenses.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recognize compensation costs related to stock awards and stock options granted to employees, nonemployees and directors based on the estimated fair value of the awards on the date of grant. We estimate the grant date fair value and the resulting stock-based compensation expense, using the Black-Scholes option-pricing model. The grant date fair value of the stock-based awards is recognized on a straight-line basis over the requisite service periods, which are generally the vesting period of the respective awards. Forfeitures are accounted for as they occur.</w:t>
      </w:r>
    </w:p>
    <w:p>
      <w:pPr>
        <w:spacing w:after="0" w:line="17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which determine the fair value of stock-based awards, including the expected term and the price volatility of the underlying stock. These assumptions include:</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—See “Determination of the Fair Value of Our Common Stock” below.</w:t>
      </w:r>
    </w:p>
    <w:p>
      <w:pPr>
        <w:spacing w:after="0" w:line="117"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options was calculated based on the weighted-average vesting term of the awards and the contract period, or simplified method, as allowed by the SEC.</w:t>
      </w:r>
    </w:p>
    <w:p>
      <w:pPr>
        <w:spacing w:after="0" w:line="75" w:lineRule="exact"/>
        <w:rPr>
          <w:rFonts w:ascii="Arial" w:cs="Arial" w:eastAsia="Arial" w:hAnsi="Arial"/>
          <w:sz w:val="18"/>
          <w:szCs w:val="18"/>
          <w:color w:val="auto"/>
        </w:rPr>
      </w:pPr>
    </w:p>
    <w:p>
      <w:pPr>
        <w:ind w:left="1000" w:hanging="493"/>
        <w:spacing w:after="0" w:line="25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not yet a public company and do not have any trading history for our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We will continue to apply this process until enough historical information regarding the volatility of our own stock price becomes available.</w:t>
      </w:r>
    </w:p>
    <w:p>
      <w:pPr>
        <w:spacing w:after="0" w:line="79"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62"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Our Common Stock</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 xml:space="preserve">Given the absence of a public trading market for our common stock historically prior to our IPO,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For stock awards and options granted in 2018 and 2019, we considered the use of the Income and Market approaches. Under the income approach, the cash generating ability of the company is valued. This approach focuses on determining a forecast benefit stream that is reflective of the subject company’s most likely future performance. The forecast benefit stream is then discounted to present value based on the appropriate risk-adjusted discount rate or capitalization rate.</w:t>
      </w:r>
    </w:p>
    <w:p>
      <w:pPr>
        <w:spacing w:after="0" w:line="187"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Under the Market approach, we referenced actual transactions involving our company or similar assets and/or enterprises. The Market approach generally consists of two primary methodologies: The Guideline Comparables Method, or GCM and the Guideline Transaction Method, or GTM. The GCM involves identifying and selecting publicly traded companies or guideline public companies, or Guideline Public Companies, with financial and operating characteristics like the subject being valued, and subsequently deriving multiples and other metrics from such Guideline Public Companies to apply to the subject being valued.</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Taking the stage of our development into consideration and expected liquidity events into account, we elected not to rely upon a pure application of the Income or Market valuation approaches. We determined that the PWERM was more appropriate to value our equity classes as the approach is based upon an analysis of future values for the entire enterprise assuming various future outcomes. We did consider elements of the Income and Market approaches for gauging the appropriateness of certain PWERM inputs and assumptions.</w:t>
      </w:r>
    </w:p>
    <w:p>
      <w:pPr>
        <w:spacing w:after="0" w:line="187"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In addition to considering the results of these third-party valuations, our board of directors considered various objective and subjective factors to determine the fair value of our common stock as of each grant date, which may be as a date later than the most recent third-party valuation date, including:</w:t>
      </w:r>
    </w:p>
    <w:p>
      <w:pPr>
        <w:spacing w:after="0" w:line="16" w:lineRule="exact"/>
        <w:rPr>
          <w:sz w:val="20"/>
          <w:szCs w:val="20"/>
          <w:color w:val="auto"/>
        </w:rPr>
      </w:pPr>
    </w:p>
    <w:p>
      <w:pPr>
        <w:ind w:left="1000" w:right="30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62"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and planned clinical trials for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considering prevailing market conditions;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financial reporting purposes, we considered the amount of time between the valuation date and the grant date of our stock awards and options to determine whether to use the latest common stock valuation or an interpolated fair value between the two valuation dates. This determination included an evaluation of whether the subsequent valuation indicated that any significant change in valuation had occurred between the previous valuation and the grant date.</w:t>
      </w:r>
    </w:p>
    <w:p>
      <w:pPr>
        <w:spacing w:after="0" w:line="187" w:lineRule="exact"/>
        <w:rPr>
          <w:sz w:val="20"/>
          <w:szCs w:val="20"/>
          <w:color w:val="auto"/>
        </w:rPr>
      </w:pPr>
    </w:p>
    <w:p>
      <w:pPr>
        <w:jc w:val="both"/>
        <w:ind w:right="300" w:firstLine="510"/>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 Following the closing of our IPO, the fair value of our common stock was determined based on the quoted market price of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to our condensed financial statements appearing elsewhere in this Report for more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JOBS Act Accounting Election</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adopt ASU No. 2016-02 </w:t>
      </w:r>
      <w:r>
        <w:rPr>
          <w:rFonts w:ascii="Arial" w:cs="Arial" w:eastAsia="Arial" w:hAnsi="Arial"/>
          <w:sz w:val="17"/>
          <w:szCs w:val="17"/>
          <w:i w:val="1"/>
          <w:iCs w:val="1"/>
          <w:color w:val="auto"/>
        </w:rPr>
        <w:t>(Topic 842</w:t>
      </w:r>
      <w:r>
        <w:rPr>
          <w:rFonts w:ascii="Arial" w:cs="Arial" w:eastAsia="Arial" w:hAnsi="Arial"/>
          <w:sz w:val="17"/>
          <w:szCs w:val="17"/>
          <w:color w:val="auto"/>
        </w:rPr>
        <w:t>), Leases when the standard is effective for private companies which is for fiscal years beginning after December 15, 2022. As a result, our financial statements may not be comparable to companies that comply with new or revised accounting pronouncements as of public company effective dates.</w:t>
      </w:r>
    </w:p>
    <w:p>
      <w:pPr>
        <w:spacing w:after="0" w:line="176"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w:t>
      </w:r>
    </w:p>
    <w:p>
      <w:pPr>
        <w:ind w:right="40" w:firstLine="8"/>
        <w:spacing w:after="0" w:line="251"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no longer meet the requirements of being an emerging growth company, whichever is earlier.</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$312.5 million as of June 30, 2020 which consisted of bank deposits and highly liquid money market funds. Historical fluctuations in interest rates have not been significant for us. We had no outstanding debt as of June 30, 2020. Due to the short-term maturities of our cash equivalents, an immediate 100 basis point change in interest rates would not have a material effect on the fair market value of our cash equivalents. To minimize the risk in the future, we intend to maintain our portfolio of cash equivalents in institutional market funds that are composed of U.S. Treasury and U.S. Treasury-backed repurchase agreements or short-term U.S. Treasury securities. We do not believe that inflation, interest rate changes, or exchange rate fluctuations had a significant impact on our results of operations for any periods presented herein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As of June 30, 2020,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2020, the design and operation of our disclosure controls and procedures were effective at a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There was no change in our internal controls over financial reporting identified in connection with the evaluation required by Rule 13a-15(d) and 15d-15(d) of the Exchange Act that occurred during the quarter ended June 30, 2020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risks described below,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financial condition, results of operations, growth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net losses since inception and we expect to continue to incur significant net losses for the foreseeable future.</w:t>
      </w:r>
    </w:p>
    <w:p>
      <w:pPr>
        <w:spacing w:after="0" w:line="14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have incurred significant net losses since our inception and have financed our operations principally through equity financing. We continue to incur significant research and development and other expenses related to our ongoing operations. For the years ended December 31, 2019 and 2018, we reported a net loss of $0.6 million and $30.3 million, respectively, and for the six months ended June 30, 2020 and 2019, we reported a net loss of $6.0 million and $29.5 million, respectively. As of June 30, 2020 and December 31, 2019, we had an accumulated deficit of $82.3 million and $76.3 million, respectively. We have devoted substantially all of our resources and efforts to research and development and we expect that it will be several years, if ever, before we generate revenue from product sales. Even if we receive marketing approval for and commercialize one or more of our product candidates, we expect that we will continue to incur substantial research and development and other expenses in order to develop and market additional potential product candidates.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expect to continue to incur significant losses for the foreseeable future, and we anticipate that our expenses will increase substantially if, and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w:t>
      </w:r>
    </w:p>
    <w:p>
      <w:pPr>
        <w:spacing w:after="0" w:line="103" w:lineRule="exact"/>
        <w:rPr>
          <w:sz w:val="20"/>
          <w:szCs w:val="20"/>
          <w:color w:val="auto"/>
        </w:rPr>
      </w:pPr>
    </w:p>
    <w:p>
      <w:pPr>
        <w:ind w:left="1000" w:right="2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the development of our lead product candidate, PLN-74809, and our second product candidate, PLN 1474, and our other product candidates through clinical development, and, if successful, later-stage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discover and develop new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our preclinical development programs into clinical development;</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delays or interruptions to preclinical studies, clinical trials, our receipt of services from our third-party service providers on whom we rely, or our supply chain due to the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commercialize PLN-74809, our other product candidates and any future product candidates,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the amount of research and development activities to identify and develop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additional clinical development, quality control, scientific and management personnel;</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 in or in-license other technologies or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ind w:firstLine="510"/>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303" w:lineRule="exact"/>
        <w:rPr>
          <w:sz w:val="20"/>
          <w:szCs w:val="20"/>
          <w:color w:val="auto"/>
        </w:rPr>
      </w:pPr>
    </w:p>
    <w:p>
      <w:pPr>
        <w:jc w:val="both"/>
        <w:ind w:left="260" w:right="8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76"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PLN-1474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66"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As of June 30, 2020, we had approximately $312.5 million in cash, cash equivalents and short-term investments. Based on our current operating plan, we believe that the existing cash, cash equivalents and short-term investments, will be sufficient to fund our operating expenses and capital expenditure requirements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84"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development plans we establish for these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timelines of our clinical trials and the overall costs to conduct and complete the clinical trials due to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U.S. Food and Drug Administration, or FDA, and other comparable foreign regulatory authorities;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are able to maintain our existing collaboration with Novartis and enter into additional collaboration agreements and the terms of any such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our patent claims and other intellectual property rights;</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defending intellectual property disputes, including patent infringement actions brought by third parties against us or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 and</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70"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line="293" w:lineRule="auto"/>
        <w:rPr>
          <w:sz w:val="20"/>
          <w:szCs w:val="20"/>
          <w:color w:val="auto"/>
        </w:rPr>
      </w:pPr>
      <w:r>
        <w:rPr>
          <w:rFonts w:ascii="Arial" w:cs="Arial" w:eastAsia="Arial" w:hAnsi="Arial"/>
          <w:sz w:val="16"/>
          <w:szCs w:val="16"/>
          <w:color w:val="auto"/>
        </w:rPr>
        <w:t>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272"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62" w:lineRule="exact"/>
        <w:rPr>
          <w:sz w:val="20"/>
          <w:szCs w:val="20"/>
          <w:color w:val="auto"/>
        </w:rPr>
      </w:pPr>
    </w:p>
    <w:p>
      <w:pPr>
        <w:ind w:left="1000" w:right="3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recruit and retain subjects for clinical trials, and any delays caused by difficulties in such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128" w:lineRule="exact"/>
        <w:rPr>
          <w:rFonts w:ascii="Arial" w:cs="Arial" w:eastAsia="Arial" w:hAnsi="Arial"/>
          <w:sz w:val="17"/>
          <w:szCs w:val="17"/>
          <w:color w:val="auto"/>
        </w:rPr>
      </w:pPr>
    </w:p>
    <w:p>
      <w:pPr>
        <w:ind w:left="1000" w:right="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 or extraordinary external events, such as recessions or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prospects and likelihood of success.</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 clinical-stage biopharmaceutical company with a limited operating history. We were incorporated in 2015, have no products approved for commercial sale and have not generated any revenue.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preclinical development for the treatment of PSC, and our second product candidate, PLN-1474, is in early clinical development. Both programs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4" w:name="page45"/>
    <w:bookmarkEnd w:id="44"/>
    <w:p>
      <w:pPr>
        <w:ind w:right="240"/>
        <w:spacing w:after="0" w:line="257" w:lineRule="auto"/>
        <w:rPr>
          <w:sz w:val="20"/>
          <w:szCs w:val="20"/>
          <w:color w:val="auto"/>
        </w:rPr>
      </w:pPr>
      <w:r>
        <w:rPr>
          <w:rFonts w:ascii="Arial" w:cs="Arial" w:eastAsia="Arial" w:hAnsi="Arial"/>
          <w:sz w:val="18"/>
          <w:szCs w:val="18"/>
          <w:color w:val="auto"/>
        </w:rPr>
        <w:t>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296" w:lineRule="exact"/>
        <w:rPr>
          <w:sz w:val="20"/>
          <w:szCs w:val="20"/>
          <w:color w:val="auto"/>
        </w:rPr>
      </w:pPr>
    </w:p>
    <w:p>
      <w:pPr>
        <w:jc w:val="both"/>
        <w:ind w:left="260" w:right="10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are very early in our development efforts and have only one product candidate, PLN-74809, in early clinical development. Because PLN-74809 is our lead product candidate, if PLN-74809 encounters safety or efficacy problems, development delays, regulatory issues or other problems, our development plans and business would be significantly harmed. We have completed a Phase 1a SAD/MAD trial and a Phase 1b proof-of-mechanism trial of PLN-74809 in IPF and are recruiting two Phase 2a trials in IPF. We submitted an IND for PLN-74809 for the treatment of primary sclerosing cholangitis, or PSC, in March 2020, and plan to initiate a Phase 2a PSC trial in the second half of 2020, when it is feasible to do so in light of the impact of the COVID-19 pandemic. We are also collaborating with Novartis to develop PLN-1474 for liver fibrosis associated with nonalcoholic steatohepatitis, or NASH, and are currently evaluating PLN-1474 in Phase 1a SAD/MAD testing.</w:t>
      </w:r>
    </w:p>
    <w:p>
      <w:pPr>
        <w:spacing w:after="0" w:line="19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experience setbacks that could delay or prevent regulatory approval of, or our ability to commercialize, our product candidates, including:</w:t>
      </w:r>
    </w:p>
    <w:p>
      <w:pPr>
        <w:spacing w:after="0" w:line="140" w:lineRule="exact"/>
        <w:rPr>
          <w:sz w:val="20"/>
          <w:szCs w:val="20"/>
          <w:color w:val="auto"/>
        </w:rPr>
      </w:pPr>
    </w:p>
    <w:p>
      <w:pPr>
        <w:ind w:left="1000" w:right="26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38" w:lineRule="exact"/>
        <w:rPr>
          <w:rFonts w:ascii="Arial" w:cs="Arial" w:eastAsia="Arial" w:hAnsi="Arial"/>
          <w:sz w:val="17"/>
          <w:szCs w:val="17"/>
          <w:color w:val="auto"/>
        </w:rPr>
      </w:pPr>
    </w:p>
    <w:p>
      <w:pPr>
        <w:ind w:left="1000" w:right="2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product-related side effects experienced by subjects in our clinical trials or by individuals using drugs or therapeutics similar to our product candidates;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enrolling subjects in clinical trials, including due to the COVID-19 pandemic;</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drop-out rates of subjects from clinical trials; inadequate supply or quality of product candidates or other materials necessary for the conduct of our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related to the impact of the spread of the COVID-19 pandemic, including the impact of COVID-19 on the FDA’s ability to continue its normal operations;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560" w:firstLine="510"/>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62"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only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166"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6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on our behalf. Even in the absence of violations resulting in penalties, regulatory and other authorities may refuse to authorize the conduct or to accept the results of studies for regulatory or ethical reasons.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66" w:lineRule="exact"/>
        <w:rPr>
          <w:sz w:val="20"/>
          <w:szCs w:val="20"/>
          <w:color w:val="auto"/>
        </w:rPr>
      </w:pPr>
    </w:p>
    <w:p>
      <w:pPr>
        <w:ind w:left="1000" w:right="1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a product candidate uneconomical; and</w:t>
      </w:r>
    </w:p>
    <w:p>
      <w:pPr>
        <w:spacing w:after="0" w:line="140"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product candidates from being commercialized.</w:t>
      </w:r>
    </w:p>
    <w:p>
      <w:pPr>
        <w:spacing w:after="0" w:line="170" w:lineRule="exact"/>
        <w:rPr>
          <w:sz w:val="20"/>
          <w:szCs w:val="20"/>
          <w:color w:val="auto"/>
        </w:rPr>
      </w:pPr>
    </w:p>
    <w:p>
      <w:pPr>
        <w:jc w:val="both"/>
        <w:ind w:right="240" w:firstLine="510"/>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some of our trials may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line="301" w:lineRule="auto"/>
        <w:rPr>
          <w:sz w:val="20"/>
          <w:szCs w:val="20"/>
          <w:color w:val="auto"/>
        </w:rPr>
      </w:pPr>
      <w:r>
        <w:rPr>
          <w:rFonts w:ascii="Arial" w:cs="Arial" w:eastAsia="Arial" w:hAnsi="Arial"/>
          <w:sz w:val="16"/>
          <w:szCs w:val="16"/>
          <w:color w:val="auto"/>
        </w:rPr>
        <w:t>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5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may in the future pursue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6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92"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96"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76" w:lineRule="exact"/>
        <w:rPr>
          <w:sz w:val="20"/>
          <w:szCs w:val="20"/>
          <w:color w:val="auto"/>
        </w:rPr>
      </w:pPr>
    </w:p>
    <w:p>
      <w:pPr>
        <w:ind w:left="1000" w:right="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75" w:lineRule="exact"/>
        <w:rPr>
          <w:rFonts w:ascii="Arial" w:cs="Arial" w:eastAsia="Arial" w:hAnsi="Arial"/>
          <w:sz w:val="18"/>
          <w:szCs w:val="18"/>
          <w:color w:val="auto"/>
        </w:rPr>
      </w:pPr>
    </w:p>
    <w:p>
      <w:pPr>
        <w:jc w:val="both"/>
        <w:ind w:left="1000" w:right="26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62"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5" w:lineRule="exact"/>
        <w:rPr>
          <w:rFonts w:ascii="Arial" w:cs="Arial" w:eastAsia="Arial" w:hAnsi="Arial"/>
          <w:sz w:val="18"/>
          <w:szCs w:val="18"/>
          <w:color w:val="auto"/>
        </w:rPr>
      </w:pPr>
    </w:p>
    <w:p>
      <w:pPr>
        <w:ind w:left="1000" w:right="80" w:hanging="493"/>
        <w:spacing w:after="0" w:line="286"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57" w:lineRule="exact"/>
        <w:rPr>
          <w:rFonts w:ascii="Arial" w:cs="Arial" w:eastAsia="Arial" w:hAnsi="Arial"/>
          <w:sz w:val="17"/>
          <w:szCs w:val="17"/>
          <w:color w:val="auto"/>
        </w:rPr>
      </w:pPr>
    </w:p>
    <w:p>
      <w:pPr>
        <w:ind w:left="1000" w:right="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delays and interruptions to our clinical trials could extend the duration of the trials and increase the overall costs to finish the trials as our fixed costs are not substantially reduced during delays;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1000" w:right="10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75"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170"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 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85" w:lineRule="exact"/>
        <w:rPr>
          <w:sz w:val="20"/>
          <w:szCs w:val="20"/>
          <w:color w:val="auto"/>
        </w:rPr>
      </w:pPr>
    </w:p>
    <w:p>
      <w:pPr>
        <w:ind w:left="260"/>
        <w:spacing w:after="0" w:line="375" w:lineRule="auto"/>
        <w:rPr>
          <w:sz w:val="20"/>
          <w:szCs w:val="20"/>
          <w:color w:val="auto"/>
        </w:rPr>
      </w:pPr>
      <w:r>
        <w:rPr>
          <w:rFonts w:ascii="Arial" w:cs="Arial" w:eastAsia="Arial" w:hAnsi="Arial"/>
          <w:sz w:val="15"/>
          <w:szCs w:val="15"/>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planned Phase 2a clinical trials, we expect to evaluate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 In addition, the FDA recently issued a “safe to proceed” letter in relation to our plans to evaluate PLN-74809 in COVID-19-related acute respiratory distress syndrome, for which we plan to initiate a Phase 2 trial in the second half of 2020. We thus far have not conducted any clinical development of this product candidate for such indication or in an acute setting. As a result, we may observe the incidence of adverse events or serious adverse events upon further development of PLN-74809 in this patient population, and such incidence may be magnified in patients with COVID-19 due to the critical and often life-threatening nature of the underlying disease. If we encounter adverse safety issues with PLN-74809 during its development for COVID-19-related acute respiratory distress syndrome, such an outcome may adversely color the perceptions of clinicians, regulatory agencies, patients and others with respect to the safety profile of PLN-74809 in other indications.</w:t>
      </w:r>
    </w:p>
    <w:p>
      <w:pPr>
        <w:spacing w:after="0" w:line="17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295"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2" w:lineRule="exact"/>
        <w:rPr>
          <w:sz w:val="20"/>
          <w:szCs w:val="20"/>
          <w:color w:val="auto"/>
        </w:rPr>
      </w:pPr>
    </w:p>
    <w:p>
      <w:pPr>
        <w:jc w:val="both"/>
        <w:ind w:right="620" w:firstLine="510"/>
        <w:spacing w:after="0" w:line="26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7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eligibility and exclusion criteria defined in the protocol;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 and the process for identifying patients;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or availability (including legality under applicable COVID-19 shelter-in-place regulations) of patients to participate in our trials (including due to fears of contracting COVID-19);</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left="1000" w:right="600" w:hanging="493"/>
        <w:spacing w:after="0" w:line="30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product candidates’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such as bronchoscopy and broncho-alveolar lavage, or BAL, procedure, which may lead some patients to drop out of trials to avoid these follow-up procedures.</w:t>
      </w:r>
    </w:p>
    <w:p>
      <w:pPr>
        <w:spacing w:after="0" w:line="16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has been delayed. We anticipate delays in site start-up activities of one to two quarters for both the PLN-74809 IPF and PSC Phase 2a trials, and we could experience slower than expected enrollment. With respect to the ongoing Phase 1 trial of PLN-1474, the trial site has experienced delays due to its location in an area currently impacted by COVID-19; however, it is now open and expected to continue dosing the remaining cohorts of the Phase 1 trial with topline data expected in the first quarter of 2021, subject to further impact of the COVID-19 pandemic.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factors from the COVID-19 pandemic that we believe may adversely affect enrollment in our trials include:</w:t>
      </w:r>
    </w:p>
    <w:p>
      <w:pPr>
        <w:spacing w:after="0" w:line="117" w:lineRule="exact"/>
        <w:rPr>
          <w:sz w:val="20"/>
          <w:szCs w:val="20"/>
          <w:color w:val="auto"/>
        </w:rPr>
      </w:pPr>
    </w:p>
    <w:p>
      <w:pPr>
        <w:jc w:val="both"/>
        <w:ind w:left="1000" w:right="4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jc w:val="both"/>
        <w:ind w:left="1000" w:right="3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75"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patients to come to hospitals and universities to participate in our trial, which may force us to conduct our trials in patients’ homes, rendering the trials more difficult and costly to conduct;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travel that interrupt key trial activities, such as clinical trial site initiations and monitoring;</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investigational drug product and comparator drugs used in our trials; and</w:t>
      </w:r>
    </w:p>
    <w:p>
      <w:pPr>
        <w:spacing w:after="0" w:line="62"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 furlough days that delay necessary interactions with local regulators, ethics committees and other important agencies and contractors.</w:t>
      </w:r>
    </w:p>
    <w:p>
      <w:pPr>
        <w:spacing w:after="0" w:line="170"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These and other factors arising from the COVID-19 pandemic could worsen in countries that are already afflicted with the virus or could continue to spread to additional countries, each of which may further adversely impact our clinical trials. The global outbreak of the COVID-19 pandemic continues to evolve and the conduct of our trials may continue to be adversely affected, despite efforts to mitigate this impact.</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design or execution of our ongoing and future clinical trials may not support marketing approval.</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subject to the impact of the COVID-19 pandemic. In the first of these trials, we plan to enroll IPF patients and utilize a positron emission tomography, or PET, ligand to measure avß6 target engagement by PLN-74809 in the lungs post-treatment. The second trial is a 12-week double blind placebo-controlled trial recruiting IPF patients across up to four cohorts consisting of up to three doses of PLN-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80"/>
        <w:spacing w:after="0" w:line="311" w:lineRule="auto"/>
        <w:rPr>
          <w:sz w:val="20"/>
          <w:szCs w:val="20"/>
          <w:color w:val="auto"/>
        </w:rPr>
      </w:pPr>
      <w:r>
        <w:rPr>
          <w:rFonts w:ascii="Arial" w:cs="Arial" w:eastAsia="Arial" w:hAnsi="Arial"/>
          <w:sz w:val="16"/>
          <w:szCs w:val="16"/>
          <w:color w:val="auto"/>
        </w:rPr>
        <w:t>74809 and one placebo and will evaluate safety, tolerability and pharmacokinetics, or PK. It is possible that we may need to amend our clinical trial, which would require us to resubmit our clinical trial protocols to IRBs for reexamination, and may impact the costs, timing or successful completion of such clinical trial. In addition, we may desire to test PLN-74809 at doses exceeding those evaluated in the Phase 1a trial, and may not be able to do so.</w:t>
      </w:r>
    </w:p>
    <w:p>
      <w:pPr>
        <w:spacing w:after="0" w:line="149"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7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6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78" w:lineRule="exact"/>
        <w:rPr>
          <w:sz w:val="20"/>
          <w:szCs w:val="20"/>
          <w:color w:val="auto"/>
        </w:rPr>
      </w:pPr>
    </w:p>
    <w:p>
      <w:pPr>
        <w:ind w:left="260"/>
        <w:spacing w:after="0" w:line="286" w:lineRule="auto"/>
        <w:rPr>
          <w:sz w:val="20"/>
          <w:szCs w:val="20"/>
          <w:color w:val="auto"/>
        </w:rPr>
      </w:pPr>
      <w:r>
        <w:rPr>
          <w:rFonts w:ascii="Arial" w:cs="Arial" w:eastAsia="Arial" w:hAnsi="Arial"/>
          <w:sz w:val="17"/>
          <w:szCs w:val="17"/>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8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140" w:firstLine="510"/>
        <w:spacing w:after="0" w:line="289"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for a number of reasons, including:</w:t>
      </w:r>
    </w:p>
    <w:p>
      <w:pPr>
        <w:spacing w:after="0" w:line="62"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properties that we desire or attractive pharmacokinetics; or</w:t>
      </w:r>
    </w:p>
    <w:p>
      <w:pPr>
        <w:spacing w:after="0" w:line="128" w:lineRule="exact"/>
        <w:rPr>
          <w:rFonts w:ascii="Arial" w:cs="Arial" w:eastAsia="Arial" w:hAnsi="Arial"/>
          <w:sz w:val="17"/>
          <w:szCs w:val="17"/>
          <w:color w:val="auto"/>
        </w:rPr>
      </w:pPr>
    </w:p>
    <w:p>
      <w:pPr>
        <w:ind w:left="1000" w:right="2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7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292" w:lineRule="exact"/>
        <w:rPr>
          <w:sz w:val="20"/>
          <w:szCs w:val="20"/>
          <w:color w:val="auto"/>
        </w:rPr>
      </w:pPr>
    </w:p>
    <w:p>
      <w:pPr>
        <w:ind w:left="260" w:right="740"/>
        <w:spacing w:after="0" w:line="277" w:lineRule="auto"/>
        <w:rPr>
          <w:sz w:val="20"/>
          <w:szCs w:val="20"/>
          <w:color w:val="auto"/>
        </w:rPr>
      </w:pPr>
      <w:r>
        <w:rPr>
          <w:rFonts w:ascii="Arial" w:cs="Arial" w:eastAsia="Arial" w:hAnsi="Arial"/>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95"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73" w:lineRule="exact"/>
        <w:rPr>
          <w:sz w:val="20"/>
          <w:szCs w:val="20"/>
          <w:color w:val="auto"/>
        </w:rPr>
      </w:pPr>
    </w:p>
    <w:p>
      <w:pPr>
        <w:ind w:left="260" w:right="11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bring a product candidate to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injunctions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if approved;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 in our share price.</w:t>
      </w:r>
    </w:p>
    <w:p>
      <w:pPr>
        <w:spacing w:after="0" w:line="22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and PLN-1474 continue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6"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small-molecule, selective integrin inhibitor. In addition, the FDA recently issued a “safe to proceed” letter in relation to our plans to evaluate PLN-74809 in COVID-19-related acute respiratory distress syndrome, for which we plan to initiate a Phase 2 trial in the second half of 2020. We are aware of numerous companies in the U.S. and globally that are developing or have announced plans to develop therapies intended to address COVID-19, including in the form of vaccines, antiviral agents and treatments to manage the symptoms of COVID-19, including acute respiratory distress syndrome.</w:t>
      </w:r>
    </w:p>
    <w:p>
      <w:pPr>
        <w:spacing w:after="0" w:line="19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and may do,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Risks Related to Marketing, Reimbursement, Healthcare Regulations and Ongoing Regulatory Compliance</w:t>
      </w:r>
    </w:p>
    <w:p>
      <w:pPr>
        <w:spacing w:after="0" w:line="121"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Even if PLN-74809 or any other product candidate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29"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278"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1"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16"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3" w:name="page54"/>
    <w:bookmarkEnd w:id="53"/>
    <w:p>
      <w:pPr>
        <w:ind w:right="20" w:firstLine="510"/>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9"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Patient Protection and Affordable Care Act, as amended by the Health Care and Education Reconciliation Act of 2010, or collectively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Further, on December 27, 2018, the District Court for the District of Columbia invalidated a reimbursement formula change instituted by the Centers for Medicare &amp; Medicaid Services, or CMS, under the 340B program. For the 2019 and 2018 fiscal years, CMS altered the reimbursement formula. The court ruled this change was not an “adjustment” that was within the Secretary’s discretion to make but was instead a fundamental change in the reimbursement calculation, and such a dramatic change was beyond the scope of the Secretary’s authority. On May 6, 2019, the district court reiterated that the rate reduction exceeded the Secretary’s authority and declared that the rate reduction for 2019 also exceeded the Secretary’s authority and remanded the issue to HHS to devise an appropriate remedy. On July 10, 2019, the district court entered its final judgment and CMS has filed an appeal and a decision by the Court of Appeals for the D.C. Circuit is pending. However, subsequently, hospitals have filed a complaint in the U.S. District Court for D.C. to enjoin the reimbursement cuts for 2020. It is unclear how such litigation could affect covered hospitals who might purchase our products in the future, and affect the rates we may charge such facilities for our approved products.</w:t>
      </w:r>
    </w:p>
    <w:p>
      <w:pPr>
        <w:spacing w:after="0" w:line="17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92" w:lineRule="exact"/>
        <w:rPr>
          <w:sz w:val="20"/>
          <w:szCs w:val="20"/>
          <w:color w:val="auto"/>
        </w:rPr>
      </w:pPr>
    </w:p>
    <w:p>
      <w:pPr>
        <w:ind w:left="260" w:right="34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90" w:lineRule="exact"/>
        <w:rPr>
          <w:sz w:val="20"/>
          <w:szCs w:val="20"/>
          <w:color w:val="auto"/>
        </w:rPr>
      </w:pPr>
    </w:p>
    <w:p>
      <w:pPr>
        <w:ind w:left="260" w:right="2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20"/>
        <w:spacing w:after="0" w:line="253" w:lineRule="auto"/>
        <w:rPr>
          <w:sz w:val="20"/>
          <w:szCs w:val="20"/>
          <w:color w:val="auto"/>
        </w:rPr>
      </w:pPr>
      <w:r>
        <w:rPr>
          <w:rFonts w:ascii="Arial" w:cs="Arial" w:eastAsia="Arial" w:hAnsi="Arial"/>
          <w:sz w:val="18"/>
          <w:szCs w:val="18"/>
          <w:color w:val="auto"/>
        </w:rPr>
        <w:t>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304" w:lineRule="exact"/>
        <w:rPr>
          <w:sz w:val="20"/>
          <w:szCs w:val="20"/>
          <w:color w:val="auto"/>
        </w:rPr>
      </w:pPr>
    </w:p>
    <w:p>
      <w:pPr>
        <w:ind w:left="260" w:right="12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77" w:lineRule="exact"/>
        <w:rPr>
          <w:sz w:val="20"/>
          <w:szCs w:val="20"/>
          <w:color w:val="auto"/>
        </w:rPr>
      </w:pPr>
    </w:p>
    <w:p>
      <w:pPr>
        <w:ind w:left="1000" w:right="20" w:hanging="493"/>
        <w:spacing w:after="0" w:line="26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77" w:lineRule="exact"/>
        <w:rPr>
          <w:rFonts w:ascii="Arial" w:cs="Arial" w:eastAsia="Arial" w:hAnsi="Arial"/>
          <w:sz w:val="17"/>
          <w:szCs w:val="17"/>
          <w:color w:val="auto"/>
        </w:rPr>
      </w:pPr>
    </w:p>
    <w:p>
      <w:pPr>
        <w:ind w:left="1000" w:right="20" w:hanging="493"/>
        <w:spacing w:after="0" w:line="25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on behalf of the federal government alleging violations of the FCA and to share in any monetary recovery;</w:t>
      </w:r>
    </w:p>
    <w:p>
      <w:pPr>
        <w:spacing w:after="0" w:line="86" w:lineRule="exact"/>
        <w:rPr>
          <w:rFonts w:ascii="Arial" w:cs="Arial" w:eastAsia="Arial" w:hAnsi="Arial"/>
          <w:sz w:val="18"/>
          <w:szCs w:val="18"/>
          <w:color w:val="auto"/>
        </w:rPr>
      </w:pPr>
    </w:p>
    <w:p>
      <w:pPr>
        <w:ind w:left="1000" w:right="20" w:hanging="493"/>
        <w:spacing w:after="0" w:line="272"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69" w:lineRule="exact"/>
        <w:rPr>
          <w:rFonts w:ascii="Arial" w:cs="Arial" w:eastAsia="Arial" w:hAnsi="Arial"/>
          <w:sz w:val="17"/>
          <w:szCs w:val="17"/>
          <w:color w:val="auto"/>
        </w:rPr>
      </w:pPr>
    </w:p>
    <w:p>
      <w:pPr>
        <w:ind w:left="1000" w:right="60" w:hanging="493"/>
        <w:spacing w:after="0" w:line="255"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left="1000" w:right="20"/>
        <w:spacing w:after="0" w:line="263" w:lineRule="auto"/>
        <w:rPr>
          <w:sz w:val="20"/>
          <w:szCs w:val="20"/>
          <w:color w:val="auto"/>
        </w:rPr>
      </w:pPr>
      <w:r>
        <w:rPr>
          <w:rFonts w:ascii="Arial" w:cs="Arial" w:eastAsia="Arial" w:hAnsi="Arial"/>
          <w:sz w:val="18"/>
          <w:szCs w:val="18"/>
          <w:color w:val="auto"/>
        </w:rPr>
        <w:t>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6" w:lineRule="exact"/>
        <w:rPr>
          <w:sz w:val="20"/>
          <w:szCs w:val="20"/>
          <w:color w:val="auto"/>
        </w:rPr>
      </w:pPr>
    </w:p>
    <w:p>
      <w:pPr>
        <w:ind w:left="1000" w:right="140" w:hanging="493"/>
        <w:spacing w:after="0" w:line="254"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86"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00" w:right="20" w:hanging="493"/>
        <w:spacing w:after="0" w:line="289"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70"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4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290" w:lineRule="exact"/>
        <w:rPr>
          <w:sz w:val="20"/>
          <w:szCs w:val="20"/>
          <w:color w:val="auto"/>
        </w:rPr>
      </w:pPr>
    </w:p>
    <w:p>
      <w:pPr>
        <w:ind w:left="260" w:right="2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firstLine="510"/>
        <w:spacing w:after="0" w:line="272"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7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4" w:lineRule="exact"/>
        <w:rPr>
          <w:sz w:val="20"/>
          <w:szCs w:val="20"/>
          <w:color w:val="auto"/>
        </w:rPr>
      </w:pPr>
    </w:p>
    <w:p>
      <w:pPr>
        <w:ind w:left="10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9" w:lineRule="exact"/>
        <w:rPr>
          <w:sz w:val="20"/>
          <w:szCs w:val="20"/>
          <w:color w:val="auto"/>
        </w:rPr>
      </w:pPr>
    </w:p>
    <w:p>
      <w:pPr>
        <w:jc w:val="right"/>
        <w:ind w:left="260" w:right="480"/>
        <w:spacing w:after="0" w:line="385" w:lineRule="auto"/>
        <w:rPr>
          <w:sz w:val="20"/>
          <w:szCs w:val="20"/>
          <w:color w:val="auto"/>
        </w:rPr>
      </w:pPr>
      <w:r>
        <w:rPr>
          <w:rFonts w:ascii="Arial" w:cs="Arial" w:eastAsia="Arial" w:hAnsi="Arial"/>
          <w:sz w:val="15"/>
          <w:szCs w:val="15"/>
          <w:b w:val="1"/>
          <w:bCs w:val="1"/>
          <w:i w:val="1"/>
          <w:iCs w:val="1"/>
          <w:color w:val="auto"/>
        </w:rPr>
        <w:t xml:space="preserve">Ongoing healthcare legislative and regulatory reform measures may have a material adverse effect on our business and results of operations. </w:t>
      </w:r>
      <w:r>
        <w:rPr>
          <w:rFonts w:ascii="Arial" w:cs="Arial" w:eastAsia="Arial" w:hAnsi="Arial"/>
          <w:sz w:val="15"/>
          <w:szCs w:val="15"/>
          <w:color w:val="auto"/>
        </w:rPr>
        <w:t>Changes in regulations, statutes or the interpretation of existing regulations could impact our business in the future by requiring, for example:</w:t>
      </w:r>
    </w:p>
    <w:p>
      <w:pPr>
        <w:spacing w:after="0" w:line="1" w:lineRule="exact"/>
        <w:rPr>
          <w:sz w:val="20"/>
          <w:szCs w:val="20"/>
          <w:color w:val="auto"/>
        </w:rPr>
      </w:pPr>
    </w:p>
    <w:p>
      <w:pPr>
        <w:ind w:left="220" w:hanging="212"/>
        <w:spacing w:after="0"/>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22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7" w:name="page58"/>
    <w:bookmarkEnd w:id="57"/>
    <w:p>
      <w:pPr>
        <w:ind w:right="160"/>
        <w:spacing w:after="0" w:line="275" w:lineRule="auto"/>
        <w:rPr>
          <w:sz w:val="20"/>
          <w:szCs w:val="20"/>
          <w:color w:val="auto"/>
        </w:rPr>
      </w:pPr>
      <w:r>
        <w:rPr>
          <w:rFonts w:ascii="Arial" w:cs="Arial" w:eastAsia="Arial" w:hAnsi="Arial"/>
          <w:sz w:val="17"/>
          <w:szCs w:val="17"/>
          <w:color w:val="auto"/>
        </w:rPr>
        <w:t>repeal and replace the ACA will impact the ACA and our business. In addition, the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Bipartisan Budget Act of 2018, or BBA, will remain in effect through 2030, unless additional congressional action is taken. However, these Medicare sequester reductions will be suspended from May 1, 2020 through December 31, 2020 due to the COVID-19 pandemic. The BBA also amended the ACA, effective January 1, 2019, by increasing the point-of-sale discount that is owed by pharmaceutical manufacturers who participate in Medicare Part D and closing the coverage gap in most Medicare drug plans, commonly referred to as the “donut hole”.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72"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4"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left="260" w:right="6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in response to the COVID-19 pandemic, on March 10, 2020 the FDA announced its intention to temporarily postpone most inspections of foreign manufacturing facilities and products. On March 18, 2020, the FDA announced its intention to temporarily postpone routine surveillance inspections of domestic manufacturing facilities and provided guidance regarding the conduct of clinical trials, which has since been further updated. As of June 23, 2020, the FDA noted it was conducting mission critical domestic and foreign inspections to ensure compliance of manufacturing facilities with FDA quality standards. On July 10, 2020, the FDA announced its goal of restarting domestic on-site inspections during the week of July 20, 2020, but such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In April 2020, the FDA stated that its New Drug Program was continuing to meet program user fee performance goals, but due to many agency staff working on COVID-19 activities, it was possible that the FDA would not be able to sustain that level of performance indefinitely. Additionally, as of June 23, 2020, the FDA noted it was continuing to ensure timely reviews of applications for medical products during the COVID-19 pandemic in line with its user fee performance goals. On July 16, 2020, FDA noted that it is continuing to expedite oncology product development with its staff teleworking full-time.</w:t>
      </w:r>
    </w:p>
    <w:p>
      <w:pPr>
        <w:spacing w:after="0" w:line="17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ind w:left="260" w:right="660"/>
        <w:spacing w:after="0" w:line="27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62"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9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in respect of the U.K. (which is longer a member of the EU), the U.K. Bribery Act 2010. Infringement of these laws could result in substantial fines and imprisonment.</w:t>
      </w:r>
    </w:p>
    <w:p>
      <w:pPr>
        <w:spacing w:after="0" w:line="17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right="20"/>
        <w:spacing w:after="0" w:line="289" w:lineRule="auto"/>
        <w:rPr>
          <w:sz w:val="20"/>
          <w:szCs w:val="20"/>
          <w:color w:val="auto"/>
        </w:rPr>
      </w:pPr>
      <w:r>
        <w:rPr>
          <w:rFonts w:ascii="Arial" w:cs="Arial" w:eastAsia="Arial" w:hAnsi="Arial"/>
          <w:sz w:val="16"/>
          <w:szCs w:val="16"/>
          <w:color w:val="auto"/>
        </w:rPr>
        <w:t>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74"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62"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w:t>
      </w:r>
    </w:p>
    <w:p>
      <w:pPr>
        <w:spacing w:after="0" w:line="17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In addition to our operations in the United States, which may be subject to healthcare and other laws relating to the privacy and security of health information and other personal information, may seek to conduct clinical trials in EEA and may become subject to additional European data privacy laws, regulations and guidelines. The General Data Protection Regulation, (EU) 2016/679, or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spacing w:after="0" w:line="16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the event we commence clinical trials in the EEA, the GDPR may increase our responsibility and liability in relation to personal data that we process where such processing is subject to the GDPR, and we may be required to put in place additional mechanisms and safeguards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20"/>
        <w:spacing w:after="0" w:line="254" w:lineRule="auto"/>
        <w:rPr>
          <w:sz w:val="20"/>
          <w:szCs w:val="20"/>
          <w:color w:val="auto"/>
        </w:rPr>
      </w:pPr>
      <w:r>
        <w:rPr>
          <w:rFonts w:ascii="Arial" w:cs="Arial" w:eastAsia="Arial" w:hAnsi="Arial"/>
          <w:sz w:val="18"/>
          <w:szCs w:val="18"/>
          <w:color w:val="auto"/>
        </w:rPr>
        <w:t>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300" w:lineRule="exact"/>
        <w:rPr>
          <w:sz w:val="20"/>
          <w:szCs w:val="20"/>
          <w:color w:val="auto"/>
        </w:rPr>
      </w:pPr>
    </w:p>
    <w:p>
      <w:pPr>
        <w:jc w:val="both"/>
        <w:ind w:left="260" w:right="30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7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However, the terms of the withdrawal have yet to be fully negotiated. The implementation period began February 1, 2020 and will continue until December 31, 2020. During this 11-month period, the U.K. will continue to follow all of the EU’s rules, the EU’s pharmaceutical law remains applicable to the U.K. and the U.K.’s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96"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84"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5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If the U.K. and the EU are unable to negotiate acceptable agreements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either during a transitional period from January 1, 2021 or more permanently.</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the EU and European Economic Area, or EEA, and these operations and clinical activities could be disrupted by Brexit.</w:t>
      </w:r>
    </w:p>
    <w:p>
      <w:pPr>
        <w:spacing w:after="0" w:line="18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U.K.’s withdrawal from the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17" w:lineRule="exact"/>
        <w:rPr>
          <w:sz w:val="20"/>
          <w:szCs w:val="20"/>
          <w:color w:val="auto"/>
        </w:rPr>
      </w:pPr>
    </w:p>
    <w:p>
      <w:pPr>
        <w:ind w:right="180" w:firstLine="510"/>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03" w:lineRule="exact"/>
        <w:rPr>
          <w:sz w:val="20"/>
          <w:szCs w:val="20"/>
          <w:color w:val="auto"/>
        </w:rPr>
      </w:pPr>
    </w:p>
    <w:p>
      <w:pPr>
        <w:ind w:right="180" w:firstLine="510"/>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right="74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9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ind w:right="40" w:firstLine="510"/>
        <w:spacing w:after="0" w:line="290" w:lineRule="auto"/>
        <w:rPr>
          <w:sz w:val="20"/>
          <w:szCs w:val="20"/>
          <w:color w:val="auto"/>
        </w:rPr>
      </w:pPr>
      <w:r>
        <w:rPr>
          <w:rFonts w:ascii="Arial" w:cs="Arial" w:eastAsia="Arial" w:hAnsi="Arial"/>
          <w:sz w:val="16"/>
          <w:szCs w:val="16"/>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6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7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1000" w:right="2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left="100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2" w:lineRule="exact"/>
        <w:rPr>
          <w:rFonts w:ascii="Arial" w:cs="Arial" w:eastAsia="Arial" w:hAnsi="Arial"/>
          <w:sz w:val="18"/>
          <w:szCs w:val="18"/>
          <w:color w:val="auto"/>
        </w:rPr>
      </w:pPr>
    </w:p>
    <w:p>
      <w:pPr>
        <w:jc w:val="both"/>
        <w:ind w:left="1000" w:right="680" w:hanging="493"/>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75"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5"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333" w:lineRule="exact"/>
        <w:rPr>
          <w:sz w:val="20"/>
          <w:szCs w:val="20"/>
          <w:color w:val="auto"/>
        </w:rPr>
      </w:pPr>
    </w:p>
    <w:p>
      <w:pPr>
        <w:ind w:left="260" w:right="200"/>
        <w:spacing w:after="0" w:line="342" w:lineRule="auto"/>
        <w:rPr>
          <w:sz w:val="20"/>
          <w:szCs w:val="20"/>
          <w:color w:val="auto"/>
        </w:rPr>
      </w:pPr>
      <w:r>
        <w:rPr>
          <w:rFonts w:ascii="Arial" w:cs="Arial" w:eastAsia="Arial" w:hAnsi="Arial"/>
          <w:sz w:val="16"/>
          <w:szCs w:val="16"/>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16"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17"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7"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80"/>
        <w:spacing w:after="0" w:line="286" w:lineRule="auto"/>
        <w:rPr>
          <w:sz w:val="20"/>
          <w:szCs w:val="20"/>
          <w:color w:val="auto"/>
        </w:rPr>
      </w:pPr>
      <w:r>
        <w:rPr>
          <w:rFonts w:ascii="Arial" w:cs="Arial" w:eastAsia="Arial" w:hAnsi="Arial"/>
          <w:sz w:val="17"/>
          <w:szCs w:val="17"/>
          <w:color w:val="auto"/>
        </w:rPr>
        <w:t>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8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88"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 third-party claim that we infringe its intellectual property rights, we may face a number of issues, including, but not limited to:</w:t>
      </w:r>
    </w:p>
    <w:p>
      <w:pPr>
        <w:spacing w:after="0" w:line="117" w:lineRule="exact"/>
        <w:rPr>
          <w:sz w:val="20"/>
          <w:szCs w:val="20"/>
          <w:color w:val="auto"/>
        </w:rPr>
      </w:pPr>
    </w:p>
    <w:p>
      <w:pPr>
        <w:ind w:left="1000" w:right="36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62"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left="1000" w:right="86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62" w:lineRule="exact"/>
        <w:rPr>
          <w:rFonts w:ascii="Arial" w:cs="Arial" w:eastAsia="Arial" w:hAnsi="Arial"/>
          <w:sz w:val="18"/>
          <w:szCs w:val="18"/>
          <w:color w:val="auto"/>
        </w:rPr>
      </w:pPr>
    </w:p>
    <w:p>
      <w:pPr>
        <w:jc w:val="both"/>
        <w:ind w:left="1000" w:right="460" w:hanging="493"/>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75"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70"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69" w:lineRule="exact"/>
        <w:rPr>
          <w:sz w:val="20"/>
          <w:szCs w:val="20"/>
          <w:color w:val="auto"/>
        </w:rPr>
      </w:pPr>
    </w:p>
    <w:p>
      <w:pPr>
        <w:ind w:left="260" w:right="100"/>
        <w:spacing w:after="0" w:line="308"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289"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right="20"/>
        <w:spacing w:after="0" w:line="269" w:lineRule="auto"/>
        <w:rPr>
          <w:sz w:val="20"/>
          <w:szCs w:val="20"/>
          <w:color w:val="auto"/>
        </w:rPr>
      </w:pPr>
      <w:r>
        <w:rPr>
          <w:rFonts w:ascii="Arial" w:cs="Arial" w:eastAsia="Arial" w:hAnsi="Arial"/>
          <w:sz w:val="17"/>
          <w:szCs w:val="17"/>
          <w:color w:val="auto"/>
        </w:rPr>
        <w:t>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70"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9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8"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300"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9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firstLine="510"/>
        <w:spacing w:after="0" w:line="288"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6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5" w:lineRule="exact"/>
        <w:rPr>
          <w:sz w:val="20"/>
          <w:szCs w:val="20"/>
          <w:color w:val="auto"/>
        </w:rPr>
      </w:pPr>
    </w:p>
    <w:p>
      <w:pPr>
        <w:jc w:val="both"/>
        <w:ind w:left="260" w:right="2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Any patents, if issued patents covering our product candidates could be found invalid or unenforceable if challenged in court or the USPTO.</w:t>
      </w:r>
    </w:p>
    <w:p>
      <w:pPr>
        <w:spacing w:after="0" w:line="140"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7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Likewise, our current licensed patents covering our companion technologies, licensed from UCSF are expected to expire in 2036,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right="280"/>
        <w:spacing w:after="0" w:line="263" w:lineRule="auto"/>
        <w:rPr>
          <w:sz w:val="20"/>
          <w:szCs w:val="20"/>
          <w:color w:val="auto"/>
        </w:rPr>
      </w:pPr>
      <w:r>
        <w:rPr>
          <w:rFonts w:ascii="Arial" w:cs="Arial" w:eastAsia="Arial" w:hAnsi="Arial"/>
          <w:sz w:val="18"/>
          <w:szCs w:val="18"/>
          <w:color w:val="auto"/>
        </w:rPr>
        <w:t>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292"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7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8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2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1"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ind w:left="2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15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6"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line="301" w:lineRule="auto"/>
        <w:rPr>
          <w:sz w:val="20"/>
          <w:szCs w:val="20"/>
          <w:color w:val="auto"/>
        </w:rPr>
      </w:pPr>
      <w:r>
        <w:rPr>
          <w:rFonts w:ascii="Arial" w:cs="Arial" w:eastAsia="Arial" w:hAnsi="Arial"/>
          <w:sz w:val="16"/>
          <w:szCs w:val="16"/>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4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Pursuant to the Novartis Agreement, we expect to receive research and development funding totaling $19.6 million for PLN-1474 development services and funding of up to $13.4 million for option research and development services on the integrin research targets. Additionally, we are eligible to receive developmental, regulatory and commercial milestone payments of up to $416.0 million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 If we are unable to successfully advance the development of our product candidates or achieve milestones, revenue and cash resources from milestone payments under our collaboration agreements will be substantially less than expected.</w:t>
      </w:r>
    </w:p>
    <w:p>
      <w:pPr>
        <w:spacing w:after="0" w:line="166"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0" w:name="page71"/>
    <w:bookmarkEnd w:id="70"/>
    <w:p>
      <w:pPr>
        <w:jc w:val="both"/>
        <w:ind w:left="260" w:right="24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76"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84"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85"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6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70"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6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1" w:name="page72"/>
    <w:bookmarkEnd w:id="71"/>
    <w:p>
      <w:pPr>
        <w:ind w:left="260" w:right="22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6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 could require significant effort and expertise because there may be a limited number of qualified replacements.</w:t>
      </w:r>
    </w:p>
    <w:p>
      <w:pPr>
        <w:spacing w:after="0" w:line="17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9"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70"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the cooperation of an existing or future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9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left="260" w:right="200"/>
        <w:spacing w:after="0" w:line="277" w:lineRule="auto"/>
        <w:rPr>
          <w:sz w:val="20"/>
          <w:szCs w:val="20"/>
          <w:color w:val="auto"/>
        </w:rPr>
      </w:pPr>
      <w:r>
        <w:rPr>
          <w:rFonts w:ascii="Arial" w:cs="Arial" w:eastAsia="Arial" w:hAnsi="Arial"/>
          <w:sz w:val="18"/>
          <w:szCs w:val="18"/>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existing collaborations and any future collaborations we enter into may pose a number of risks, including the following:</w:t>
      </w:r>
    </w:p>
    <w:p>
      <w:pPr>
        <w:spacing w:after="0" w:line="117"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8" w:lineRule="exact"/>
        <w:rPr>
          <w:rFonts w:ascii="Arial" w:cs="Arial" w:eastAsia="Arial" w:hAnsi="Arial"/>
          <w:sz w:val="18"/>
          <w:szCs w:val="18"/>
          <w:color w:val="auto"/>
        </w:rPr>
      </w:pPr>
    </w:p>
    <w:p>
      <w:pPr>
        <w:ind w:left="1000" w:right="480" w:hanging="493"/>
        <w:spacing w:after="0" w:line="308"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00" w:right="220" w:hanging="493"/>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100" w:hanging="493"/>
        <w:spacing w:after="0" w:line="34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1000" w:right="12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75" w:lineRule="exact"/>
        <w:rPr>
          <w:rFonts w:ascii="Arial" w:cs="Arial" w:eastAsia="Arial" w:hAnsi="Arial"/>
          <w:sz w:val="18"/>
          <w:szCs w:val="18"/>
          <w:color w:val="auto"/>
        </w:rPr>
      </w:pPr>
    </w:p>
    <w:p>
      <w:pPr>
        <w:ind w:left="1000" w:right="240" w:hanging="493"/>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00" w:right="100" w:hanging="493"/>
        <w:spacing w:after="0" w:line="34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18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firstLine="510"/>
        <w:spacing w:after="0" w:line="285" w:lineRule="auto"/>
        <w:rPr>
          <w:sz w:val="20"/>
          <w:szCs w:val="20"/>
          <w:color w:val="auto"/>
        </w:rPr>
      </w:pPr>
      <w:r>
        <w:rPr>
          <w:rFonts w:ascii="Arial" w:cs="Arial" w:eastAsia="Arial" w:hAnsi="Arial"/>
          <w:sz w:val="16"/>
          <w:szCs w:val="16"/>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Business and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outbreak of the novel coronavirus disease, COVID-19, could adversely impact our business, including our preclinical studies and clinical trials.</w:t>
      </w:r>
    </w:p>
    <w:p>
      <w:pPr>
        <w:spacing w:after="0" w:line="15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December 2019, a novel strain of the coronavirus disease, COVID-19, was identified in Wuhan, China. This virus continues to spread globally and, has spread to a number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As a result of the COVID-19 pandemic, we have experienced disruptions and may continue to experience disruptions that could severely impact our business, preclinical studies and clinical trials, including:</w:t>
      </w:r>
    </w:p>
    <w:p>
      <w:pPr>
        <w:spacing w:after="0" w:line="70" w:lineRule="exact"/>
        <w:rPr>
          <w:sz w:val="20"/>
          <w:szCs w:val="20"/>
          <w:color w:val="auto"/>
        </w:rPr>
      </w:pPr>
    </w:p>
    <w:p>
      <w:pPr>
        <w:ind w:left="1000" w:hanging="493"/>
        <w:spacing w:after="0" w:line="25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or difficulties in commencing enrollment of patients in our clinical trials, including our Phase 2a clinical trials of PLN-74809 in IPF and PSC and our Phase 1 clinical trial of PLN-1474; With respect to the ongoing Phase 1 trial of PLN-1474, due to the location of the Phase 1 trial site has experienced delays due to its location in an area currently impacted by COVID-19; however, it is now open and expected to continue dosing the remaining cohorts with topline data expected in the first quarter of 2021, subject to further impact of the COVID-19 pandemic;</w:t>
      </w:r>
    </w:p>
    <w:p>
      <w:pPr>
        <w:spacing w:after="0" w:line="79"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from potential delays, including potential difficulties in clinical site initiation, including difficulties in recruiting clinical site investigators and clinical site staff;</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128" w:lineRule="exact"/>
        <w:rPr>
          <w:rFonts w:ascii="Arial" w:cs="Arial" w:eastAsia="Arial" w:hAnsi="Arial"/>
          <w:sz w:val="17"/>
          <w:szCs w:val="17"/>
          <w:color w:val="auto"/>
        </w:rPr>
      </w:pPr>
    </w:p>
    <w:p>
      <w:pPr>
        <w:ind w:left="1000" w:right="50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1000" w:right="400" w:hanging="493"/>
        <w:spacing w:after="0" w:line="34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140" w:firstLine="510"/>
        <w:spacing w:after="0" w:line="279" w:lineRule="auto"/>
        <w:rPr>
          <w:sz w:val="20"/>
          <w:szCs w:val="20"/>
          <w:color w:val="auto"/>
        </w:rPr>
      </w:pPr>
      <w:r>
        <w:rPr>
          <w:rFonts w:ascii="Arial" w:cs="Arial" w:eastAsia="Arial" w:hAnsi="Arial"/>
          <w:sz w:val="17"/>
          <w:szCs w:val="17"/>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As of June 30, 2020, we had 67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80" w:lineRule="exact"/>
        <w:rPr>
          <w:sz w:val="20"/>
          <w:szCs w:val="20"/>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00" w:right="40" w:hanging="493"/>
        <w:spacing w:after="0" w:line="30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95" w:lineRule="exact"/>
        <w:rPr>
          <w:sz w:val="20"/>
          <w:szCs w:val="20"/>
          <w:color w:val="auto"/>
        </w:rPr>
      </w:pPr>
    </w:p>
    <w:p>
      <w:pPr>
        <w:ind w:left="260"/>
        <w:spacing w:after="0" w:line="375" w:lineRule="auto"/>
        <w:rPr>
          <w:sz w:val="20"/>
          <w:szCs w:val="20"/>
          <w:color w:val="auto"/>
        </w:rPr>
      </w:pPr>
      <w:r>
        <w:rPr>
          <w:rFonts w:ascii="Arial" w:cs="Arial" w:eastAsia="Arial" w:hAnsi="Arial"/>
          <w:sz w:val="15"/>
          <w:szCs w:val="15"/>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1"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Chief Executive Officer and President, Keith Cummings, M.D., our Chief Financial Officer, Barbara Howes, our Chief Human Resources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17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ind w:right="20" w:firstLine="510"/>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awards and stock options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274"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77" w:lineRule="exact"/>
        <w:rPr>
          <w:sz w:val="20"/>
          <w:szCs w:val="20"/>
          <w:color w:val="auto"/>
        </w:rPr>
      </w:pPr>
    </w:p>
    <w:p>
      <w:pPr>
        <w:ind w:left="260" w:right="600"/>
        <w:spacing w:after="0" w:line="286" w:lineRule="auto"/>
        <w:rPr>
          <w:sz w:val="20"/>
          <w:szCs w:val="20"/>
          <w:color w:val="auto"/>
        </w:rPr>
      </w:pPr>
      <w:r>
        <w:rPr>
          <w:rFonts w:ascii="Arial" w:cs="Arial" w:eastAsia="Arial" w:hAnsi="Arial"/>
          <w:sz w:val="17"/>
          <w:szCs w:val="17"/>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5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6" w:name="page77"/>
    <w:bookmarkEnd w:id="76"/>
    <w:p>
      <w:pPr>
        <w:ind w:right="60" w:firstLine="510"/>
        <w:spacing w:after="0" w:line="293"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80" w:lineRule="exact"/>
        <w:rPr>
          <w:sz w:val="20"/>
          <w:szCs w:val="20"/>
          <w:color w:val="auto"/>
        </w:rPr>
      </w:pPr>
    </w:p>
    <w:p>
      <w:pPr>
        <w:ind w:left="260" w:right="48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6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 our business may not grow at similar rates, or at all. Our growth is subject to many factors, including our success in implementing our business strategy, which is subject to many risks and uncertainties.</w:t>
      </w:r>
    </w:p>
    <w:p>
      <w:pPr>
        <w:spacing w:after="0" w:line="265"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260"/>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86"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265" w:lineRule="exact"/>
        <w:rPr>
          <w:sz w:val="20"/>
          <w:szCs w:val="20"/>
          <w:color w:val="auto"/>
        </w:rPr>
      </w:pPr>
    </w:p>
    <w:p>
      <w:pPr>
        <w:ind w:left="260" w:right="240"/>
        <w:spacing w:after="0" w:line="277"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U.S. tax law could adversely affect our financial condition and results of operations.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As of December 31, 2019, we had net operating loss carryforwards for U.S. federal and state income tax purposes of $58.7 million and $60.7 million, respectively, some of which will begin to expire in 2035. As of December 31, 2019, we also had available tax credit carryforwards for U.S. federal income tax purposes of $4.7 million, which begin to expire in 2036, and state income tax purposes of $2.1 million. Under Section 382 of the Internal Revenue Code of 1986, as amended, or the Code, changes in our ownership may limit the amount of our net operating loss carryforwards and tax credit carryforwards that could be utilized annually to offset our future taxable income, if 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8" w:name="page79"/>
    <w:bookmarkEnd w:id="78"/>
    <w:p>
      <w:pPr>
        <w:spacing w:after="0" w:line="269" w:lineRule="auto"/>
        <w:rPr>
          <w:sz w:val="20"/>
          <w:szCs w:val="20"/>
          <w:color w:val="auto"/>
        </w:rPr>
      </w:pPr>
      <w:r>
        <w:rPr>
          <w:rFonts w:ascii="Arial" w:cs="Arial" w:eastAsia="Arial" w:hAnsi="Arial"/>
          <w:sz w:val="17"/>
          <w:szCs w:val="17"/>
          <w:color w:val="auto"/>
        </w:rPr>
        <w:t>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Private placements and other transactions that have occurred since our inception, as well as our IPO and the Concurrent Private Placement that we completed in June 2020, may trigger such an ownership change pursuant to Section 382. Any such limitation, whether as the result of the IPO, the Concurrent Private Placement, prior private placements, sales of our common stock by our existing stockholders or additional sales of our common stock by us,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stock price of our common stock may be volatile or may decline regardless of our operating performance.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develop, and if it does develop, it may not be sustainable.</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76" w:lineRule="exact"/>
        <w:rPr>
          <w:sz w:val="20"/>
          <w:szCs w:val="20"/>
          <w:color w:val="auto"/>
        </w:rPr>
      </w:pPr>
    </w:p>
    <w:p>
      <w:pPr>
        <w:ind w:left="1000" w:right="8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commencement, enrollment or results of our current Phase 2a clinical trials of PLN-74809 and our ongoing Phase 1 clinical trial of PLN-1474;</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development programs;</w:t>
      </w:r>
    </w:p>
    <w:p>
      <w:pPr>
        <w:spacing w:after="0" w:line="117"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results or delays in future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PLN-74809 or any other product candidate;</w:t>
      </w:r>
    </w:p>
    <w:p>
      <w:pPr>
        <w:spacing w:after="0" w:line="117" w:lineRule="exact"/>
        <w:rPr>
          <w:rFonts w:ascii="Arial" w:cs="Arial" w:eastAsia="Arial" w:hAnsi="Arial"/>
          <w:sz w:val="18"/>
          <w:szCs w:val="18"/>
          <w:color w:val="auto"/>
        </w:rPr>
      </w:pPr>
    </w:p>
    <w:p>
      <w:pPr>
        <w:ind w:left="1000" w:right="96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or regulations applicable to PLN-74809 or any other product candidate, including but not limited to clinical trial requirements for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PLN-74809 or any other product candidate;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ind w:left="1000" w:right="52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If the market price of our common stock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295"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62"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Based on shares outstanding as of June 30, 2020, our executive officers, directors and their affiliates and our principal stockholders beneficially held, in the aggregate, approximately 25.6%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69"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The Concurrent Private Placement and the potential purchases of shares in this offering by our principal stockholders may reduce the number of freely tradeable shares of our common stock.</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Novartis purchased 625,000 shares of our common stock at the IPO price of $16.00 per share, in a private placement transaction that closed concurrently with the IPO. The shares to Novartis will not be registered, and these shares are subject to a 180-day lock-up agreement with the underwriters in this offering. Certain of our principal stockholders including stockholders affiliated with certain of our directors, have indicated an interest in purchasing a substantial amount of the shares of our common stock offered in this offering at the initial public offering price and on the same terms and conditions as the other purchasers in this offering.</w:t>
      </w:r>
    </w:p>
    <w:p>
      <w:pPr>
        <w:spacing w:after="0" w:line="18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Concurrent Private Placement and the potential purchases of shares in this offering by certain of our principal stockholders may reduce the number of shares of our common stock that are freely tradeable because Novartis will be restricted from selling the shares pursuant to restrictions under applicable securities laws, and our existing stockholders, to the extent they are affiliated with us, may be restricted from selling any shares purchased by them pursuant to lock-up agreements they have entered into with the underwriters in this offering. As a result, the sale of common stock in the Concurrent Private Placement and to our existing stockholders may reduce the liquidity of our common stock relative to what it would have been had these shares been sold in this offering and been purchased by investors that were not affiliated with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ind w:left="260"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an emerging growth company, or EGC, as defined in the Jumpstart Our Business Startups Act, or the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the Sarbanes-Oxley Act, reduced disclosure obligations regarding executive compensation and our periodic reports and proxy statements and exemptions from the requirements of holding nonbinding advisory votes on executive compensation and stockholder approval of any golden parachute payments not previously approved. We could be an EGC for up to five years following the year in which we complete the IPO, although circumstances could cause us to lose that status earlier. We will remain an EGC until the earlier of (i) the last day of the fiscal year (a) following the fifth anniversary of the completion of the IPO, (b) in which we have total annual gross revenue of at least $1.07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w:t>
      </w:r>
    </w:p>
    <w:p>
      <w:pPr>
        <w:spacing w:after="0" w:line="168"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292"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We will be subject to the reporting requirements of the Securities Exchange Act of 1934, as amended,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EGCs to implement many of these requirements over a longer period and up to five years from the pricing of the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00" w:lineRule="exact"/>
        <w:rPr>
          <w:sz w:val="20"/>
          <w:szCs w:val="20"/>
          <w:color w:val="auto"/>
        </w:rPr>
      </w:pPr>
    </w:p>
    <w:p>
      <w:pPr>
        <w:ind w:lef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ind w:right="100" w:firstLine="510"/>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20" w:firstLine="510"/>
        <w:spacing w:after="0" w:line="290" w:lineRule="auto"/>
        <w:rPr>
          <w:sz w:val="20"/>
          <w:szCs w:val="20"/>
          <w:color w:val="auto"/>
        </w:rPr>
      </w:pPr>
      <w:r>
        <w:rPr>
          <w:rFonts w:ascii="Arial" w:cs="Arial" w:eastAsia="Arial" w:hAnsi="Arial"/>
          <w:sz w:val="16"/>
          <w:szCs w:val="16"/>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3"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when lock-up or market standoff periods end. If there are substantial sales of shares of our common stock, the price of our common stock could decline.</w:t>
      </w:r>
    </w:p>
    <w:p>
      <w:pPr>
        <w:spacing w:after="0" w:line="62"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In connection with our IPO, our directors, officers and holders of substantially all of our common stock prior to the IPO entered into lock-up agreements that restrict the sale or disposition of their shares for a period of time following our IPO. These lock-up agreements pertaining to the IPO will expire 180 days from the date of the prospectus used for our initial public offering in June 2020, subject to earlier release of all or a portion of the shares subject to such agreements by the representatives of the underwriters in the IPO in their sole discretion. After the lock-up agreements expire up to an additional 24,649,542 shares of common stock will be eligible for sale in the public market. Approximately 36.8% of these additional shares are beneficially held by directors, executive officers and their affiliates and will be subject to certain limitations of Rule 144 under the Securities Act of 1933, as amended, or the Securities Act. If our stockholders sell, or indicate an intention to sell, substantial amounts of our common stock in the public market after the lock-up and other legal restrictions on resale lapse, the trading price of our common stock could decline.</w:t>
      </w:r>
    </w:p>
    <w:p>
      <w:pPr>
        <w:spacing w:after="0" w:line="16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shares of common stock that are either subject to outstanding options or reserved for future issuance under our existing equity compensation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beginning on January 1, 2021,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will automatically increase on January 1 of each year, beginning on January 1, 2021,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8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holders of 23,057,029 shares of our common stock are entitled to rights with respect to the registration of their shares under the Securities Act as provided under the terms of an investors’ rights agreement between us and the holders of our redeemable convertible preferred stock,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broad discretion in the use of our existing cash, cash equivalents and short-term investments and may not use them effectively.</w:t>
      </w:r>
    </w:p>
    <w:p>
      <w:pPr>
        <w:spacing w:after="0" w:line="14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management will have broad discretion in the application of our existing cash, cash equivalents and short-term investments. Because of the number and variability of factors that will determine our use of our existing cash, cash equivalents and short-term investments, their ultimate use may vary substantially from their currently intended use. Our management might not apply our existing cash, cash equivalents and short-term investments in ways that ultimately increase the value of your investment. The failure by our management to apply these funds effectively could harm our business. Pending their use, we may invest in short-term, investment-grade, interest-bearing securities. These investments may not yield a favorable return to our stockholders. If we do not invest or apply our existing cash, cash equivalents and short-term investments in ways that enhance stockholder value, we may fail to achieve expected financial results, which could cause our stock price to decline.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2" w:name="page83"/>
    <w:bookmarkEnd w:id="82"/>
    <w:p>
      <w:pPr>
        <w:ind w:left="260" w:right="200"/>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which became effective upon the completion of our IPO, contain provisions that could delay or prevent a change of control of our company or changes in our board of directors that our stockholders might consider favorable. Some of these provisions include:</w:t>
      </w:r>
    </w:p>
    <w:p>
      <w:pPr>
        <w:spacing w:after="0" w:line="76" w:lineRule="exact"/>
        <w:rPr>
          <w:sz w:val="20"/>
          <w:szCs w:val="20"/>
          <w:color w:val="auto"/>
        </w:rPr>
      </w:pPr>
    </w:p>
    <w:p>
      <w:pPr>
        <w:ind w:left="1000" w:right="2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5"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00" w:right="140" w:hanging="493"/>
        <w:spacing w:after="0" w:line="308"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300"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95" w:lineRule="exact"/>
        <w:rPr>
          <w:sz w:val="20"/>
          <w:szCs w:val="20"/>
          <w:color w:val="auto"/>
        </w:rPr>
      </w:pPr>
    </w:p>
    <w:p>
      <w:pPr>
        <w:ind w:left="260" w:right="94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will designate certain courts as the exclusive forum for certain litigation that may be initiated by our stockholders, which could limit our stockholders’ ability to litigate disputes with us in a different judicial forum.</w:t>
      </w:r>
    </w:p>
    <w:p>
      <w:pPr>
        <w:spacing w:after="0" w:line="16"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Pursuant to our amended and restated by-laws, that became effective upon the completion of our IPO,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General Corporation Law of the State of Delaware, our amended and restated certificate of incorporation or our amended and restated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United States District Court for the Northern District of California shall be the sole and exclusive forum for resolving any complaint asserting a cause of action arising under the Securities Act, or the federal forum provision, as our principal office is located in South San Francisco, California.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ind w:right="20" w:firstLine="510"/>
        <w:spacing w:after="0" w:line="269" w:lineRule="auto"/>
        <w:rPr>
          <w:sz w:val="20"/>
          <w:szCs w:val="20"/>
          <w:color w:val="auto"/>
        </w:rPr>
      </w:pPr>
      <w:r>
        <w:rPr>
          <w:rFonts w:ascii="Arial" w:cs="Arial" w:eastAsia="Arial" w:hAnsi="Arial"/>
          <w:sz w:val="17"/>
          <w:szCs w:val="17"/>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7"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April 1, 2020 we have made sales of the following unregistered securities:</w:t>
      </w:r>
    </w:p>
    <w:p>
      <w:pPr>
        <w:spacing w:after="0" w:line="117" w:lineRule="exact"/>
        <w:rPr>
          <w:sz w:val="20"/>
          <w:szCs w:val="20"/>
          <w:color w:val="auto"/>
        </w:rPr>
      </w:pPr>
    </w:p>
    <w:p>
      <w:pPr>
        <w:ind w:left="1000" w:right="20" w:hanging="493"/>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June 2020, we issued and sold 625,000 shares (the “Private Placement Shares”) of our common stock at a price per share of $16.00 to Novartis in a private placement that occurred concurrently with the closing of our initial public offering. The aggregate cash purchase price of the Private Placement Shares was $10.0 million.</w:t>
      </w:r>
    </w:p>
    <w:p>
      <w:pPr>
        <w:spacing w:after="0" w:line="184"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issuances and sales of the securities listed in (1) above was deemed to be exempt from registration under the Securities Act in reliance on Section 4(a)(2) of the Securities Act, as a transaction by an issuer not involving a public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June 2020, our Registration Statement on Form S-1 (No. 333-2381146) was declared effective by the SEC pursuant to which we issued and sold an aggregate of 10,350,000 shares of common stock (inclusive of 9,000,000 shares of common stock and 1,350,000 shares of common stock pursuant to the underwriters’ exercise of their over-allotment option) at a public offering price of $16.00 per share for aggregate net cash proceeds of $148.4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16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sale and issuance of 10,350,000 shares closed on June 5, 2020. Citigroup Global Markets Inc., Cowen and Company, LLC and Piper Sandler &amp; Co. acted as joint book-running managers for the offering.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has been no material change in the planned use of proceeds from our initial public offering from that described in the Prospectus.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Exhibit Index</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4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20" w:type="dxa"/>
            <w:vAlign w:val="bottom"/>
          </w:tcPr>
          <w:p>
            <w:pPr>
              <w:ind w:left="4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60" w:type="dxa"/>
            <w:vAlign w:val="bottom"/>
            <w:gridSpan w:val="13"/>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No.</w:t>
            </w:r>
          </w:p>
        </w:tc>
        <w:tc>
          <w:tcPr>
            <w:tcW w:w="220" w:type="dxa"/>
            <w:vAlign w:val="bottom"/>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Amended and Restated Bylaws of the Registrant, as currently in effect.</w:t>
              </w:r>
            </w:hyperlink>
          </w:p>
        </w:tc>
        <w:tc>
          <w:tcPr>
            <w:tcW w:w="0" w:type="dxa"/>
            <w:vAlign w:val="bottom"/>
          </w:tcPr>
          <w:p>
            <w:pPr>
              <w:spacing w:after="0"/>
              <w:rPr>
                <w:sz w:val="1"/>
                <w:szCs w:val="1"/>
                <w:color w:val="auto"/>
              </w:rPr>
            </w:pPr>
          </w:p>
        </w:tc>
      </w:tr>
      <w:tr>
        <w:trPr>
          <w:trHeight w:val="391"/>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580" w:type="dxa"/>
            <w:vAlign w:val="bottom"/>
            <w:tcBorders>
              <w:bottom w:val="single" w:sz="8" w:color="0000EE"/>
            </w:tcBorders>
            <w:gridSpan w:val="14"/>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Specimen Common Stock Certificate (incorporated by reference to Exhibit 4.1 of the Registrant’s Registration Statement on Form 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1, as amended (File No. 333-238146) filed on May 26, 2020).</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400" w:type="dxa"/>
            <w:vAlign w:val="bottom"/>
            <w:tcBorders>
              <w:bottom w:val="single" w:sz="8" w:color="0000EE"/>
            </w:tcBorders>
            <w:gridSpan w:val="12"/>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2020 Stock Option and Incentive Plan and forms of award agreements thereunder (incorporated by reference to Exhibit 10.2 of the</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17"/>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Registrant’s Registration Statement on Form S-1, as amended (File No. 333-238146) filed on May 26, 2020).</w:t>
              </w:r>
            </w:hyperlink>
          </w:p>
        </w:tc>
        <w:tc>
          <w:tcPr>
            <w:tcW w:w="0" w:type="dxa"/>
            <w:vAlign w:val="bottom"/>
          </w:tcPr>
          <w:p>
            <w:pPr>
              <w:spacing w:after="0"/>
              <w:rPr>
                <w:sz w:val="1"/>
                <w:szCs w:val="1"/>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2020 Employee Stock Purchase Plan (incorporated by reference to Exhibit 10.3 of the Registrant’s Registration Statement on Form S-</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00" w:type="dxa"/>
            <w:vAlign w:val="bottom"/>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1, as amended (File No. 333-238146) filed on May 26, 2020).</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Senior Executive Cash Incentive Bonus Plan (incorporated by reference to Exhibit 10.4 of the Registrant’s Registration Statement on</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S-1 (File No. 333-238146) filed on May 11, 2020).</w:t>
              </w:r>
            </w:hyperlink>
          </w:p>
        </w:tc>
        <w:tc>
          <w:tcPr>
            <w:tcW w:w="5460" w:type="dxa"/>
            <w:vAlign w:val="bottom"/>
            <w:tcBorders>
              <w:top w:val="single" w:sz="8" w:color="0000EE"/>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9680" w:type="dxa"/>
            <w:vAlign w:val="bottom"/>
            <w:tcBorders>
              <w:bottom w:val="single" w:sz="8" w:color="0000EE"/>
            </w:tcBorders>
            <w:gridSpan w:val="16"/>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Non-Employee Director Compensation Policy (incorporated by reference to Exhibit 10.6 of the Registrant’s Registration Statement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Form S-1, as amended (File No. 333-238146) filed on May 26, 2020).</w:t>
              </w:r>
            </w:hyperlink>
          </w:p>
        </w:tc>
        <w:tc>
          <w:tcPr>
            <w:tcW w:w="4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9640" w:type="dxa"/>
            <w:vAlign w:val="bottom"/>
            <w:tcBorders>
              <w:bottom w:val="single" w:sz="8" w:color="0000EE"/>
            </w:tcBorders>
            <w:gridSpan w:val="15"/>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Executive Severance Plan (incorporated by reference to Exhibit 10.7 of the Registrant’s Registration Statement on Form S-1 (File No.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333-238146) filed on May 11, 2020).</w:t>
              </w:r>
            </w:hyperlink>
          </w:p>
        </w:tc>
        <w:tc>
          <w:tcPr>
            <w:tcW w:w="7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9340" w:type="dxa"/>
            <w:vAlign w:val="bottom"/>
            <w:tcBorders>
              <w:bottom w:val="single" w:sz="8" w:color="0000EE"/>
            </w:tcBorders>
            <w:gridSpan w:val="11"/>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Form of Indemnification Agreement, by and between the Registrant and each of its directors and certain officers (incorporated by</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00" w:type="dxa"/>
            <w:vAlign w:val="bottom"/>
            <w:gridSpan w:val="17"/>
          </w:tcPr>
          <w:p>
            <w:pPr>
              <w:spacing w:after="0"/>
              <w:rPr>
                <w:rFonts w:ascii="Arial" w:cs="Arial" w:eastAsia="Arial" w:hAnsi="Arial"/>
                <w:sz w:val="18"/>
                <w:szCs w:val="18"/>
                <w:u w:val="single" w:color="auto"/>
                <w:color w:val="0000EE"/>
                <w:w w:val="95"/>
              </w:rPr>
            </w:pPr>
            <w:hyperlink r:id="rId107">
              <w:r>
                <w:rPr>
                  <w:rFonts w:ascii="Arial" w:cs="Arial" w:eastAsia="Arial" w:hAnsi="Arial"/>
                  <w:sz w:val="18"/>
                  <w:szCs w:val="18"/>
                  <w:u w:val="single" w:color="auto"/>
                  <w:color w:val="0000EE"/>
                  <w:w w:val="95"/>
                </w:rPr>
                <w:t>reference to Exhibit 10.13 of the Registrant’s Registration Statement on Form S-1 (File No. 333-238146) filed on May 11, 2020).</w:t>
              </w:r>
            </w:hyperlink>
          </w:p>
        </w:tc>
        <w:tc>
          <w:tcPr>
            <w:tcW w:w="0" w:type="dxa"/>
            <w:vAlign w:val="bottom"/>
          </w:tcPr>
          <w:p>
            <w:pPr>
              <w:spacing w:after="0"/>
              <w:rPr>
                <w:sz w:val="1"/>
                <w:szCs w:val="1"/>
                <w:color w:val="auto"/>
              </w:rPr>
            </w:pPr>
          </w:p>
        </w:tc>
      </w:tr>
      <w:tr>
        <w:trPr>
          <w:trHeight w:val="297"/>
        </w:trPr>
        <w:tc>
          <w:tcPr>
            <w:tcW w:w="13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3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16">
              <w:r>
                <w:rPr>
                  <w:rFonts w:ascii="Arial" w:cs="Arial" w:eastAsia="Arial" w:hAnsi="Arial"/>
                  <w:sz w:val="18"/>
                  <w:szCs w:val="18"/>
                  <w:color w:val="0000EE"/>
                  <w:w w:val="91"/>
                </w:rPr>
                <w:t>Certification of Chief Executive Officer required by Rule 13a-14(a) or Rule 15d-14(a) of the Securities Exchange Act of 1934, as</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adopted pursuant to Section 302 of the Sarbanes-Oxley Act of 2002.</w:t>
              </w:r>
            </w:hyperlink>
          </w:p>
        </w:tc>
        <w:tc>
          <w:tcPr>
            <w:tcW w:w="4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w w:val="96"/>
              </w:rPr>
            </w:pPr>
            <w:hyperlink w:anchor="page117">
              <w:r>
                <w:rPr>
                  <w:rFonts w:ascii="Arial" w:cs="Arial" w:eastAsia="Arial" w:hAnsi="Arial"/>
                  <w:sz w:val="18"/>
                  <w:szCs w:val="18"/>
                  <w:color w:val="0000EE"/>
                  <w:w w:val="96"/>
                </w:rPr>
                <w:t>Certification of Chief Financial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17">
              <w:r>
                <w:rPr>
                  <w:rFonts w:ascii="Arial" w:cs="Arial" w:eastAsia="Arial" w:hAnsi="Arial"/>
                  <w:sz w:val="18"/>
                  <w:szCs w:val="18"/>
                  <w:color w:val="0000EE"/>
                  <w:w w:val="89"/>
                </w:rPr>
                <w:t>adopted pursuant to Section 302 of the Sarbanes-Oxley Act of 2002.</w:t>
              </w:r>
            </w:hyperlink>
          </w:p>
        </w:tc>
        <w:tc>
          <w:tcPr>
            <w:tcW w:w="4340" w:type="dxa"/>
            <w:vAlign w:val="bottom"/>
            <w:tcBorders>
              <w:top w:val="single" w:sz="8" w:color="0000EE"/>
            </w:tcBorders>
            <w:gridSpan w:val="4"/>
          </w:tcPr>
          <w:p>
            <w:pPr>
              <w:spacing w:after="0"/>
              <w:rPr>
                <w:sz w:val="17"/>
                <w:szCs w:val="17"/>
                <w:color w:val="auto"/>
              </w:rPr>
            </w:pPr>
          </w:p>
        </w:tc>
        <w:tc>
          <w:tcPr>
            <w:tcW w:w="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18">
              <w:r>
                <w:rPr>
                  <w:rFonts w:ascii="Arial" w:cs="Arial" w:eastAsia="Arial" w:hAnsi="Arial"/>
                  <w:sz w:val="18"/>
                  <w:szCs w:val="18"/>
                  <w:color w:val="0000EE"/>
                  <w:w w:val="91"/>
                </w:rPr>
                <w:t>Certification of Chief Executive Officer and Chief Financial Officer pursuant to 18 U.S.C. Section 1350, as adopted pursuant to</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Section 906 of the Sarbanes-Oxley Act of 2002.</w:t>
              </w:r>
            </w:hyperlink>
          </w:p>
        </w:tc>
        <w:tc>
          <w:tcPr>
            <w:tcW w:w="62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9700" w:type="dxa"/>
            <w:vAlign w:val="bottom"/>
            <w:gridSpan w:val="17"/>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August 11, 2020</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Arial" w:cs="Arial" w:eastAsia="Arial" w:hAnsi="Arial"/>
                <w:sz w:val="18"/>
                <w:szCs w:val="18"/>
                <w:color w:val="auto"/>
              </w:rPr>
              <w:t>PLIANT THERAPEUTICS, INC.</w:t>
            </w:r>
          </w:p>
        </w:tc>
      </w:tr>
      <w:tr>
        <w:trPr>
          <w:trHeight w:val="432"/>
        </w:trPr>
        <w:tc>
          <w:tcPr>
            <w:tcW w:w="500" w:type="dxa"/>
            <w:vAlign w:val="bottom"/>
          </w:tcPr>
          <w:p>
            <w:pPr>
              <w:ind w:left="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Bernard Coulie</w:t>
            </w:r>
          </w:p>
        </w:tc>
      </w:tr>
      <w:tr>
        <w:trPr>
          <w:trHeight w:val="19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40" w:type="dxa"/>
            <w:vAlign w:val="bottom"/>
          </w:tcPr>
          <w:p>
            <w:pPr>
              <w:ind w:left="180"/>
              <w:spacing w:after="0" w:line="195" w:lineRule="exact"/>
              <w:rPr>
                <w:sz w:val="20"/>
                <w:szCs w:val="20"/>
                <w:color w:val="auto"/>
              </w:rPr>
            </w:pPr>
            <w:r>
              <w:rPr>
                <w:rFonts w:ascii="Arial" w:cs="Arial" w:eastAsia="Arial" w:hAnsi="Arial"/>
                <w:sz w:val="18"/>
                <w:szCs w:val="18"/>
                <w:color w:val="auto"/>
              </w:rPr>
              <w:t>Bernard Coulie, M.D., Ph.D.</w:t>
            </w: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500" w:type="dxa"/>
            <w:vAlign w:val="bottom"/>
          </w:tcPr>
          <w:p>
            <w:pPr>
              <w:ind w:left="10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Cummings</w:t>
            </w:r>
          </w:p>
        </w:tc>
      </w:tr>
      <w:tr>
        <w:trPr>
          <w:trHeight w:val="195"/>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40" w:type="dxa"/>
            <w:vAlign w:val="bottom"/>
          </w:tcPr>
          <w:p>
            <w:pPr>
              <w:ind w:left="180"/>
              <w:spacing w:after="0" w:line="195" w:lineRule="exact"/>
              <w:rPr>
                <w:sz w:val="20"/>
                <w:szCs w:val="20"/>
                <w:color w:val="auto"/>
              </w:rPr>
            </w:pPr>
            <w:r>
              <w:rPr>
                <w:rFonts w:ascii="Arial" w:cs="Arial" w:eastAsia="Arial" w:hAnsi="Arial"/>
                <w:sz w:val="18"/>
                <w:szCs w:val="18"/>
                <w:color w:val="auto"/>
              </w:rPr>
              <w:t>Keith Cummings, M.D., M.B.A.</w:t>
            </w:r>
          </w:p>
        </w:tc>
      </w:tr>
      <w:tr>
        <w:trPr>
          <w:trHeight w:val="230"/>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648"/>
        </w:trPr>
        <w:tc>
          <w:tcPr>
            <w:tcW w:w="500" w:type="dxa"/>
            <w:vAlign w:val="bottom"/>
          </w:tcPr>
          <w:p>
            <w:pPr>
              <w:jc w:val="right"/>
              <w:ind w:right="230"/>
              <w:spacing w:after="0"/>
              <w:rPr>
                <w:sz w:val="20"/>
                <w:szCs w:val="20"/>
                <w:color w:val="auto"/>
              </w:rPr>
            </w:pPr>
            <w:r>
              <w:rPr>
                <w:rFonts w:ascii="Arial" w:cs="Arial" w:eastAsia="Arial" w:hAnsi="Arial"/>
                <w:sz w:val="18"/>
                <w:szCs w:val="18"/>
                <w:color w:val="auto"/>
                <w:w w:val="79"/>
              </w:rPr>
              <w:t>86</w:t>
            </w:r>
          </w:p>
        </w:tc>
        <w:tc>
          <w:tcPr>
            <w:tcW w:w="26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Exhibit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PLIANT THERAPEUTICS, INC.</w:t>
      </w:r>
    </w:p>
    <w:p>
      <w:pPr>
        <w:spacing w:after="0" w:line="212" w:lineRule="exact"/>
        <w:rPr>
          <w:sz w:val="20"/>
          <w:szCs w:val="20"/>
          <w:color w:val="auto"/>
        </w:rPr>
      </w:pPr>
    </w:p>
    <w:p>
      <w:pPr>
        <w:ind w:right="1140" w:firstLine="864"/>
        <w:spacing w:after="0" w:line="250" w:lineRule="auto"/>
        <w:rPr>
          <w:sz w:val="20"/>
          <w:szCs w:val="20"/>
          <w:color w:val="auto"/>
        </w:rPr>
      </w:pPr>
      <w:r>
        <w:rPr>
          <w:rFonts w:ascii="Arial" w:cs="Arial" w:eastAsia="Arial" w:hAnsi="Arial"/>
          <w:sz w:val="22"/>
          <w:szCs w:val="22"/>
          <w:color w:val="auto"/>
        </w:rPr>
        <w:t>Pliant Therapeutics, Inc., a corporation organized and existing under the laws of the State of Delaware (the “Corporation”), hereby certifies as follows:</w:t>
      </w:r>
    </w:p>
    <w:p>
      <w:pPr>
        <w:spacing w:after="0" w:line="175" w:lineRule="exact"/>
        <w:rPr>
          <w:sz w:val="20"/>
          <w:szCs w:val="20"/>
          <w:color w:val="auto"/>
        </w:rPr>
      </w:pPr>
    </w:p>
    <w:p>
      <w:pPr>
        <w:ind w:right="100" w:firstLine="872"/>
        <w:spacing w:after="0" w:line="250" w:lineRule="auto"/>
        <w:tabs>
          <w:tab w:leader="none" w:pos="167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name of the Corporation is Pliant Therapeutics, Inc. and that this corporation was originally incorporated pursuant to the General Corporation Law on June 8, 2015.</w:t>
      </w:r>
    </w:p>
    <w:p>
      <w:pPr>
        <w:spacing w:after="0" w:line="174" w:lineRule="exact"/>
        <w:rPr>
          <w:rFonts w:ascii="Arial" w:cs="Arial" w:eastAsia="Arial" w:hAnsi="Arial"/>
          <w:sz w:val="22"/>
          <w:szCs w:val="22"/>
          <w:color w:val="auto"/>
        </w:rPr>
      </w:pPr>
    </w:p>
    <w:p>
      <w:pPr>
        <w:ind w:right="20" w:firstLine="872"/>
        <w:spacing w:after="0" w:line="287" w:lineRule="auto"/>
        <w:tabs>
          <w:tab w:leader="none" w:pos="167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This Amended and Restated Certificate of Incorporation (the “Certificate”) amends, restates and integrates the provisions of the Amended and Restated Certificate of Incorporation that was filed with the Secretary of State of the State of Delaware on December 19, 2019, as amended, (the “Amended and Restated Certificate”), and was duly adopted in accordance with the provisions of Sections 228, 242 and 245 of the General Corporation Law of the State of Delaware (the “DGCL”).</w:t>
      </w:r>
    </w:p>
    <w:p>
      <w:pPr>
        <w:spacing w:after="0" w:line="142"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text of the Amended and Restated Certificate is hereby amended and restated in its entirety to provide as herein set forth in full.</w:t>
      </w:r>
    </w:p>
    <w:p>
      <w:pPr>
        <w:spacing w:after="0" w:line="175"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name of the Corporation is Pliant Therapeutics, Inc.</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ind w:right="100" w:firstLine="864"/>
        <w:spacing w:after="0" w:line="274" w:lineRule="auto"/>
        <w:rPr>
          <w:sz w:val="20"/>
          <w:szCs w:val="20"/>
          <w:color w:val="auto"/>
        </w:rPr>
      </w:pPr>
      <w:r>
        <w:rPr>
          <w:rFonts w:ascii="Arial" w:cs="Arial" w:eastAsia="Arial" w:hAnsi="Arial"/>
          <w:sz w:val="21"/>
          <w:szCs w:val="21"/>
          <w:color w:val="auto"/>
        </w:rPr>
        <w:t>The address of the Corporation’s registered office in the State of Delaware is 850 New Burton Road, Suite 201, City of Dover, County of Kent, 19904. The name of its registered agent at such address is Cogency Global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ind w:right="520" w:firstLine="864"/>
        <w:spacing w:after="0" w:line="250"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DGCL.</w:t>
      </w:r>
    </w:p>
    <w:p>
      <w:pPr>
        <w:spacing w:after="0" w:line="17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IV</w:t>
      </w:r>
    </w:p>
    <w:p>
      <w:pPr>
        <w:spacing w:after="0" w:line="206"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CAPITAL STOCK</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total number of shares of capital stock which the Corporation shall have authority to issue is 310,000,000, of which</w:t>
      </w:r>
    </w:p>
    <w:p>
      <w:pPr>
        <w:spacing w:after="0" w:line="43" w:lineRule="exact"/>
        <w:rPr>
          <w:sz w:val="20"/>
          <w:szCs w:val="20"/>
          <w:color w:val="auto"/>
        </w:rPr>
      </w:pPr>
    </w:p>
    <w:p>
      <w:pPr>
        <w:ind w:right="120" w:firstLine="8"/>
        <w:spacing w:after="0" w:line="234" w:lineRule="auto"/>
        <w:tabs>
          <w:tab w:leader="none" w:pos="258" w:val="left"/>
        </w:tabs>
        <w:numPr>
          <w:ilvl w:val="0"/>
          <w:numId w:val="60"/>
        </w:numPr>
        <w:rPr>
          <w:rFonts w:ascii="Arial" w:cs="Arial" w:eastAsia="Arial" w:hAnsi="Arial"/>
          <w:sz w:val="22"/>
          <w:szCs w:val="22"/>
          <w:color w:val="auto"/>
        </w:rPr>
      </w:pPr>
      <w:r>
        <w:rPr>
          <w:rFonts w:ascii="Arial" w:cs="Arial" w:eastAsia="Arial" w:hAnsi="Arial"/>
          <w:sz w:val="22"/>
          <w:szCs w:val="22"/>
          <w:color w:val="auto"/>
        </w:rPr>
        <w:t>300,000,000 shares shall be a class designated as common stock, par value $0.0001 per share (the “Common Stock”), and (ii) 10,000,000 shares shall be a class designated as undesignated preferred stock, par value $0.0001 per share (the “Undesignated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ind w:firstLine="864"/>
        <w:spacing w:after="0" w:line="236" w:lineRule="auto"/>
        <w:rPr>
          <w:sz w:val="20"/>
          <w:szCs w:val="20"/>
          <w:color w:val="auto"/>
        </w:rPr>
      </w:pPr>
      <w:r>
        <w:rPr>
          <w:rFonts w:ascii="Arial" w:cs="Arial" w:eastAsia="Arial" w:hAnsi="Arial"/>
          <w:sz w:val="22"/>
          <w:szCs w:val="22"/>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color w:val="auto"/>
        </w:rPr>
        <w:t>The powers, preferences and rights of, and the qualifications, limitations and restrictions upon, each class or series of stock shall be determined in accordance with, or as set forth below in, this Article IV.</w:t>
      </w:r>
    </w:p>
    <w:p>
      <w:pPr>
        <w:spacing w:after="0" w:line="175" w:lineRule="exact"/>
        <w:rPr>
          <w:sz w:val="20"/>
          <w:szCs w:val="20"/>
          <w:color w:val="auto"/>
        </w:rPr>
      </w:pPr>
    </w:p>
    <w:p>
      <w:pPr>
        <w:ind w:left="4900" w:hanging="312"/>
        <w:spacing w:after="0"/>
        <w:tabs>
          <w:tab w:leader="none" w:pos="49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COMMON STOCK</w:t>
      </w:r>
    </w:p>
    <w:p>
      <w:pPr>
        <w:spacing w:after="0" w:line="206" w:lineRule="exact"/>
        <w:rPr>
          <w:sz w:val="20"/>
          <w:szCs w:val="20"/>
          <w:color w:val="auto"/>
        </w:rPr>
      </w:pPr>
    </w:p>
    <w:p>
      <w:pPr>
        <w:ind w:right="100" w:firstLine="1727"/>
        <w:spacing w:after="0" w:line="328" w:lineRule="auto"/>
        <w:rPr>
          <w:sz w:val="20"/>
          <w:szCs w:val="20"/>
          <w:color w:val="auto"/>
        </w:rPr>
      </w:pPr>
      <w:r>
        <w:rPr>
          <w:rFonts w:ascii="Arial" w:cs="Arial" w:eastAsia="Arial" w:hAnsi="Arial"/>
          <w:sz w:val="19"/>
          <w:szCs w:val="19"/>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5" w:lineRule="exact"/>
        <w:rPr>
          <w:sz w:val="20"/>
          <w:szCs w:val="20"/>
          <w:color w:val="auto"/>
        </w:rPr>
      </w:pPr>
    </w:p>
    <w:p>
      <w:pPr>
        <w:ind w:firstLine="2600"/>
        <w:spacing w:after="0" w:line="274" w:lineRule="auto"/>
        <w:tabs>
          <w:tab w:leader="none" w:pos="34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8" w:lineRule="exact"/>
        <w:rPr>
          <w:rFonts w:ascii="Arial" w:cs="Arial" w:eastAsia="Arial" w:hAnsi="Arial"/>
          <w:sz w:val="19"/>
          <w:szCs w:val="19"/>
          <w:color w:val="auto"/>
        </w:rPr>
      </w:pPr>
    </w:p>
    <w:p>
      <w:pPr>
        <w:ind w:right="20" w:firstLine="2600"/>
        <w:spacing w:after="0"/>
        <w:tabs>
          <w:tab w:leader="none" w:pos="3492" w:val="left"/>
        </w:tabs>
        <w:numPr>
          <w:ilvl w:val="0"/>
          <w:numId w:val="62"/>
        </w:numPr>
        <w:rPr>
          <w:rFonts w:ascii="Arial" w:cs="Arial" w:eastAsia="Arial" w:hAnsi="Arial"/>
          <w:sz w:val="22"/>
          <w:szCs w:val="22"/>
          <w:color w:val="auto"/>
        </w:rPr>
      </w:pPr>
      <w:r>
        <w:rPr>
          <w:rFonts w:ascii="Arial" w:cs="Arial" w:eastAsia="Arial" w:hAnsi="Arial"/>
          <w:sz w:val="22"/>
          <w:szCs w:val="22"/>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86" w:lineRule="exact"/>
        <w:rPr>
          <w:rFonts w:ascii="Arial" w:cs="Arial" w:eastAsia="Arial" w:hAnsi="Arial"/>
          <w:sz w:val="22"/>
          <w:szCs w:val="22"/>
          <w:color w:val="auto"/>
        </w:rPr>
      </w:pPr>
    </w:p>
    <w:p>
      <w:pPr>
        <w:ind w:left="3480" w:hanging="880"/>
        <w:spacing w:after="0"/>
        <w:tabs>
          <w:tab w:leader="none" w:pos="34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upon the voluntary or involuntary liquidation, dissolution or winding up of the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Corporation, the net assets of the Corporation shall be distributed pro rata to the holders of the Common Stock.</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8" w:name="page89"/>
    <w:bookmarkEnd w:id="88"/>
    <w:p>
      <w:pPr>
        <w:ind w:left="3940" w:hanging="315"/>
        <w:spacing w:after="0"/>
        <w:tabs>
          <w:tab w:leader="none" w:pos="394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UNDESIGNATED PREFERRED STOCK</w:t>
      </w:r>
    </w:p>
    <w:p>
      <w:pPr>
        <w:spacing w:after="0" w:line="206" w:lineRule="exact"/>
        <w:rPr>
          <w:sz w:val="20"/>
          <w:szCs w:val="20"/>
          <w:color w:val="auto"/>
        </w:rPr>
      </w:pPr>
    </w:p>
    <w:p>
      <w:pPr>
        <w:ind w:right="20" w:firstLine="864"/>
        <w:spacing w:after="0" w:line="234" w:lineRule="auto"/>
        <w:rPr>
          <w:sz w:val="20"/>
          <w:szCs w:val="20"/>
          <w:color w:val="auto"/>
        </w:rPr>
      </w:pPr>
      <w:r>
        <w:rPr>
          <w:rFonts w:ascii="Arial" w:cs="Arial" w:eastAsia="Arial" w:hAnsi="Arial"/>
          <w:sz w:val="22"/>
          <w:szCs w:val="22"/>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V</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STOCKHOLDER ACTION</w:t>
      </w:r>
    </w:p>
    <w:p>
      <w:pPr>
        <w:spacing w:after="0" w:line="206" w:lineRule="exact"/>
        <w:rPr>
          <w:sz w:val="20"/>
          <w:szCs w:val="20"/>
          <w:color w:val="auto"/>
        </w:rPr>
      </w:pPr>
    </w:p>
    <w:p>
      <w:pPr>
        <w:ind w:firstLine="872"/>
        <w:spacing w:after="0" w:line="279" w:lineRule="auto"/>
        <w:tabs>
          <w:tab w:leader="none" w:pos="167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Action without Meeting</w:t>
      </w:r>
      <w:r>
        <w:rPr>
          <w:rFonts w:ascii="Arial" w:cs="Arial" w:eastAsia="Arial" w:hAnsi="Arial"/>
          <w:sz w:val="19"/>
          <w:szCs w:val="19"/>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50" w:lineRule="exact"/>
        <w:rPr>
          <w:rFonts w:ascii="Arial" w:cs="Arial" w:eastAsia="Arial" w:hAnsi="Arial"/>
          <w:sz w:val="19"/>
          <w:szCs w:val="19"/>
          <w:color w:val="auto"/>
        </w:rPr>
      </w:pPr>
    </w:p>
    <w:p>
      <w:pPr>
        <w:ind w:right="20" w:firstLine="872"/>
        <w:spacing w:after="0" w:line="282" w:lineRule="auto"/>
        <w:tabs>
          <w:tab w:leader="none" w:pos="167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Special Meetings</w:t>
      </w:r>
      <w:r>
        <w:rPr>
          <w:rFonts w:ascii="Arial" w:cs="Arial" w:eastAsia="Arial" w:hAnsi="Arial"/>
          <w:sz w:val="19"/>
          <w:szCs w:val="19"/>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47"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DIRECTORS</w:t>
      </w:r>
    </w:p>
    <w:p>
      <w:pPr>
        <w:spacing w:after="0" w:line="206" w:lineRule="exact"/>
        <w:rPr>
          <w:sz w:val="20"/>
          <w:szCs w:val="20"/>
          <w:color w:val="auto"/>
        </w:rPr>
      </w:pPr>
    </w:p>
    <w:p>
      <w:pPr>
        <w:ind w:right="40" w:firstLine="872"/>
        <w:spacing w:after="0" w:line="250" w:lineRule="auto"/>
        <w:tabs>
          <w:tab w:leader="none" w:pos="167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business and affairs of the Corporation shall be managed by or under the direction of the Board of Directors except as otherwise provided herein or required by law.</w:t>
      </w:r>
    </w:p>
    <w:p>
      <w:pPr>
        <w:spacing w:after="0" w:line="174" w:lineRule="exact"/>
        <w:rPr>
          <w:rFonts w:ascii="Arial" w:cs="Arial" w:eastAsia="Arial" w:hAnsi="Arial"/>
          <w:sz w:val="22"/>
          <w:szCs w:val="22"/>
          <w:color w:val="auto"/>
        </w:rPr>
      </w:pPr>
    </w:p>
    <w:p>
      <w:pPr>
        <w:ind w:right="220" w:firstLine="872"/>
        <w:spacing w:after="0" w:line="250" w:lineRule="auto"/>
        <w:tabs>
          <w:tab w:leader="none" w:pos="167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Election of Directors need not be by written ballot unless the Amended and Restated Bylaws of the Corporation (the “Bylaws”) shall so provide.</w:t>
      </w:r>
    </w:p>
    <w:p>
      <w:pPr>
        <w:spacing w:after="0" w:line="174" w:lineRule="exact"/>
        <w:rPr>
          <w:rFonts w:ascii="Arial" w:cs="Arial" w:eastAsia="Arial" w:hAnsi="Arial"/>
          <w:sz w:val="22"/>
          <w:szCs w:val="22"/>
          <w:color w:val="auto"/>
        </w:rPr>
      </w:pPr>
    </w:p>
    <w:p>
      <w:pPr>
        <w:ind w:right="40" w:firstLine="872"/>
        <w:spacing w:after="0" w:line="252" w:lineRule="auto"/>
        <w:tabs>
          <w:tab w:leader="none" w:pos="167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Number of Directors; Term of Office</w:t>
      </w:r>
      <w:r>
        <w:rPr>
          <w:rFonts w:ascii="Arial" w:cs="Arial" w:eastAsia="Arial" w:hAnsi="Arial"/>
          <w:sz w:val="21"/>
          <w:szCs w:val="21"/>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Board of Directors shall assign Directors into</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89" w:name="page90"/>
    <w:bookmarkEnd w:id="89"/>
    <w:p>
      <w:pPr>
        <w:ind w:right="180"/>
        <w:spacing w:after="0" w:line="246" w:lineRule="auto"/>
        <w:rPr>
          <w:sz w:val="20"/>
          <w:szCs w:val="20"/>
          <w:color w:val="auto"/>
        </w:rPr>
      </w:pPr>
      <w:r>
        <w:rPr>
          <w:rFonts w:ascii="Arial" w:cs="Arial" w:eastAsia="Arial" w:hAnsi="Arial"/>
          <w:sz w:val="21"/>
          <w:szCs w:val="21"/>
          <w:color w:val="auto"/>
        </w:rPr>
        <w:t>classes at the time the classification becomes effective. The initial Class I Directors shall serve for a term expiring at the first annual meeting of stockholders to be held after the filing of this Certificate, the initial Class II Directors shall serve for a term expiring at the second annual meeting of stockholders to be held after the filing of this Certificate, and the initial Class III Directors shall serve for a term expiring at the third annual meeting of stockholders to be held after the filing of this Certificate.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80"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34" w:lineRule="exact"/>
        <w:rPr>
          <w:sz w:val="20"/>
          <w:szCs w:val="20"/>
          <w:color w:val="auto"/>
        </w:rPr>
      </w:pPr>
    </w:p>
    <w:p>
      <w:pPr>
        <w:ind w:firstLine="872"/>
        <w:spacing w:after="0" w:line="272" w:lineRule="auto"/>
        <w:tabs>
          <w:tab w:leader="none" w:pos="167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Vacancies</w:t>
      </w:r>
      <w:r>
        <w:rPr>
          <w:rFonts w:ascii="Arial" w:cs="Arial" w:eastAsia="Arial" w:hAnsi="Arial"/>
          <w:sz w:val="19"/>
          <w:szCs w:val="19"/>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 Section 3 hereof, determine the class or classes to which the increased or decreased number of Directors shall be apportioned;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55" w:lineRule="exact"/>
        <w:rPr>
          <w:rFonts w:ascii="Arial" w:cs="Arial" w:eastAsia="Arial" w:hAnsi="Arial"/>
          <w:sz w:val="19"/>
          <w:szCs w:val="19"/>
          <w:color w:val="auto"/>
        </w:rPr>
      </w:pPr>
    </w:p>
    <w:p>
      <w:pPr>
        <w:ind w:right="40" w:firstLine="872"/>
        <w:spacing w:after="0" w:line="297" w:lineRule="auto"/>
        <w:tabs>
          <w:tab w:leader="none" w:pos="167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90" w:name="page91"/>
    <w:bookmarkEnd w:id="90"/>
    <w:p>
      <w:pPr>
        <w:spacing w:after="0" w:line="252" w:lineRule="auto"/>
        <w:rPr>
          <w:sz w:val="20"/>
          <w:szCs w:val="20"/>
          <w:color w:val="auto"/>
        </w:rPr>
      </w:pPr>
      <w:r>
        <w:rPr>
          <w:rFonts w:ascii="Arial" w:cs="Arial" w:eastAsia="Arial" w:hAnsi="Arial"/>
          <w:sz w:val="21"/>
          <w:szCs w:val="21"/>
          <w:color w:val="auto"/>
        </w:rPr>
        <w:t>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LIMITATION OF LIABILITY</w:t>
      </w:r>
    </w:p>
    <w:p>
      <w:pPr>
        <w:spacing w:after="0" w:line="206" w:lineRule="exact"/>
        <w:rPr>
          <w:sz w:val="20"/>
          <w:szCs w:val="20"/>
          <w:color w:val="auto"/>
        </w:rPr>
      </w:pPr>
    </w:p>
    <w:p>
      <w:pPr>
        <w:ind w:right="100" w:firstLine="864"/>
        <w:spacing w:after="0" w:line="246" w:lineRule="auto"/>
        <w:rPr>
          <w:sz w:val="20"/>
          <w:szCs w:val="20"/>
          <w:color w:val="auto"/>
        </w:rPr>
      </w:pPr>
      <w:r>
        <w:rPr>
          <w:rFonts w:ascii="Arial" w:cs="Arial" w:eastAsia="Arial" w:hAnsi="Arial"/>
          <w:sz w:val="21"/>
          <w:szCs w:val="21"/>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4" w:lineRule="exact"/>
        <w:rPr>
          <w:sz w:val="20"/>
          <w:szCs w:val="20"/>
          <w:color w:val="auto"/>
        </w:rPr>
      </w:pPr>
    </w:p>
    <w:p>
      <w:pPr>
        <w:ind w:right="60" w:firstLine="864"/>
        <w:spacing w:after="0" w:line="252" w:lineRule="auto"/>
        <w:rPr>
          <w:sz w:val="20"/>
          <w:szCs w:val="20"/>
          <w:color w:val="auto"/>
        </w:rPr>
      </w:pPr>
      <w:r>
        <w:rPr>
          <w:rFonts w:ascii="Arial" w:cs="Arial" w:eastAsia="Arial" w:hAnsi="Arial"/>
          <w:sz w:val="21"/>
          <w:szCs w:val="21"/>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74" w:lineRule="exact"/>
        <w:rPr>
          <w:sz w:val="20"/>
          <w:szCs w:val="20"/>
          <w:color w:val="auto"/>
        </w:rPr>
      </w:pPr>
    </w:p>
    <w:p>
      <w:pPr>
        <w:jc w:val="both"/>
        <w:ind w:right="20" w:firstLine="864"/>
        <w:spacing w:after="0" w:line="297" w:lineRule="auto"/>
        <w:rPr>
          <w:sz w:val="20"/>
          <w:szCs w:val="20"/>
          <w:color w:val="auto"/>
        </w:rPr>
      </w:pPr>
      <w:r>
        <w:rPr>
          <w:rFonts w:ascii="Arial" w:cs="Arial" w:eastAsia="Arial" w:hAnsi="Arial"/>
          <w:sz w:val="19"/>
          <w:szCs w:val="19"/>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AMENDMENT OF BYLAWS</w:t>
      </w:r>
    </w:p>
    <w:p>
      <w:pPr>
        <w:spacing w:after="0" w:line="206" w:lineRule="exact"/>
        <w:rPr>
          <w:sz w:val="20"/>
          <w:szCs w:val="20"/>
          <w:color w:val="auto"/>
        </w:rPr>
      </w:pPr>
    </w:p>
    <w:p>
      <w:pPr>
        <w:ind w:right="600" w:firstLine="872"/>
        <w:spacing w:after="0" w:line="328" w:lineRule="auto"/>
        <w:tabs>
          <w:tab w:leader="none" w:pos="1674"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Amendment by Directors</w:t>
      </w:r>
      <w:r>
        <w:rPr>
          <w:rFonts w:ascii="Arial" w:cs="Arial" w:eastAsia="Arial" w:hAnsi="Arial"/>
          <w:sz w:val="19"/>
          <w:szCs w:val="19"/>
          <w:color w:val="auto"/>
        </w:rPr>
        <w:t>. Except as otherwise provided by law, the Bylaws of the Corporation may be amended or repealed by the Board of Directors by the affirmative vote of a majority of the Directors then in office.</w:t>
      </w:r>
    </w:p>
    <w:p>
      <w:pPr>
        <w:spacing w:after="0" w:line="104" w:lineRule="exact"/>
        <w:rPr>
          <w:rFonts w:ascii="Arial" w:cs="Arial" w:eastAsia="Arial" w:hAnsi="Arial"/>
          <w:sz w:val="19"/>
          <w:szCs w:val="19"/>
          <w:color w:val="auto"/>
        </w:rPr>
      </w:pPr>
    </w:p>
    <w:p>
      <w:pPr>
        <w:jc w:val="both"/>
        <w:ind w:right="120" w:firstLine="872"/>
        <w:spacing w:after="0" w:line="238" w:lineRule="auto"/>
        <w:tabs>
          <w:tab w:leader="none" w:pos="167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Amendment by Stockholders</w:t>
      </w:r>
      <w:r>
        <w:rPr>
          <w:rFonts w:ascii="Arial" w:cs="Arial" w:eastAsia="Arial" w:hAnsi="Arial"/>
          <w:sz w:val="22"/>
          <w:szCs w:val="22"/>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22"/>
          <w:szCs w:val="22"/>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AMENDMENT OF CERTIFICATE OF INCORPORATION</w:t>
      </w:r>
    </w:p>
    <w:p>
      <w:pPr>
        <w:spacing w:after="0" w:line="206" w:lineRule="exact"/>
        <w:rPr>
          <w:sz w:val="20"/>
          <w:szCs w:val="20"/>
          <w:color w:val="auto"/>
        </w:rPr>
      </w:pPr>
    </w:p>
    <w:p>
      <w:pPr>
        <w:ind w:firstLine="864"/>
        <w:spacing w:after="0" w:line="273" w:lineRule="auto"/>
        <w:rPr>
          <w:sz w:val="20"/>
          <w:szCs w:val="20"/>
          <w:color w:val="auto"/>
        </w:rPr>
      </w:pPr>
      <w:r>
        <w:rPr>
          <w:rFonts w:ascii="Arial" w:cs="Arial" w:eastAsia="Arial" w:hAnsi="Arial"/>
          <w:sz w:val="19"/>
          <w:szCs w:val="19"/>
          <w:color w:val="auto"/>
        </w:rPr>
        <w:t xml:space="preserve">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affirmative vote of not less than two thirds (2/3) of the outstanding shares of capital stock entitled to vote on such amendment or repeal, and the affirmative vote of not less than two thirds (2/3) of the outstanding shares of each class entitled to vote thereon as a class, shall be required to amend or repeal any provision of Article V, Article VI, Article VII, Article VIII or Article IX of this Certificate.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2" w:name="page93"/>
    <w:bookmarkEnd w:id="92"/>
    <w:p>
      <w:pPr>
        <w:ind w:left="880"/>
        <w:spacing w:after="0"/>
        <w:rPr>
          <w:sz w:val="20"/>
          <w:szCs w:val="20"/>
          <w:color w:val="auto"/>
        </w:rPr>
      </w:pPr>
      <w:r>
        <w:rPr>
          <w:rFonts w:ascii="Arial" w:cs="Arial" w:eastAsia="Arial" w:hAnsi="Arial"/>
          <w:sz w:val="19"/>
          <w:szCs w:val="19"/>
          <w:color w:val="auto"/>
        </w:rPr>
        <w:t>THIS AMENDED AND RESTATED CERTIFICATE OF INCORPORATION is executed as of this 5th day of June,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PLIANT THERAPEUTICS, INC.</w:t>
      </w:r>
    </w:p>
    <w:p>
      <w:pPr>
        <w:spacing w:after="0" w:line="200" w:lineRule="exact"/>
        <w:rPr>
          <w:sz w:val="20"/>
          <w:szCs w:val="20"/>
          <w:color w:val="auto"/>
        </w:rPr>
      </w:pPr>
    </w:p>
    <w:p>
      <w:pPr>
        <w:spacing w:after="0" w:line="222" w:lineRule="exact"/>
        <w:rPr>
          <w:sz w:val="20"/>
          <w:szCs w:val="20"/>
          <w:color w:val="auto"/>
        </w:rPr>
      </w:pPr>
    </w:p>
    <w:tbl>
      <w:tblPr>
        <w:tblLayout w:type="fixed"/>
        <w:tblInd w:w="5980" w:type="dxa"/>
        <w:tblCellMar>
          <w:top w:w="0" w:type="dxa"/>
          <w:left w:w="0" w:type="dxa"/>
          <w:bottom w:w="0" w:type="dxa"/>
          <w:right w:w="0" w:type="dxa"/>
        </w:tblCellMar>
      </w:tblPr>
      <w:tr>
        <w:trPr>
          <w:trHeight w:val="264"/>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Bernard Coulie, M.D., Ph.D.</w:t>
            </w:r>
          </w:p>
        </w:tc>
      </w:tr>
      <w:tr>
        <w:trPr>
          <w:trHeight w:val="215"/>
        </w:trPr>
        <w:tc>
          <w:tcPr>
            <w:tcW w:w="7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680" w:type="dxa"/>
            <w:vAlign w:val="bottom"/>
          </w:tcPr>
          <w:p>
            <w:pPr>
              <w:spacing w:after="0" w:line="216" w:lineRule="exact"/>
              <w:rPr>
                <w:sz w:val="20"/>
                <w:szCs w:val="20"/>
                <w:color w:val="auto"/>
              </w:rPr>
            </w:pPr>
            <w:r>
              <w:rPr>
                <w:rFonts w:ascii="Arial" w:cs="Arial" w:eastAsia="Arial" w:hAnsi="Arial"/>
                <w:sz w:val="22"/>
                <w:szCs w:val="22"/>
                <w:color w:val="auto"/>
              </w:rPr>
              <w:t>Bernard Coulie, M.D., Ph.D.</w:t>
            </w:r>
          </w:p>
        </w:tc>
      </w:tr>
      <w:tr>
        <w:trPr>
          <w:trHeight w:val="274"/>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68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Signature Page to Amended and Restated Certificate of Incorporation</w:t>
      </w:r>
    </w:p>
    <w:p>
      <w:pPr>
        <w:sectPr>
          <w:pgSz w:w="11900" w:h="16838" w:orient="portrait"/>
          <w:cols w:equalWidth="0" w:num="1">
            <w:col w:w="10940"/>
          </w:cols>
          <w:pgMar w:left="320" w:top="118" w:right="6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Exhibit 3.2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PLIANT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Stockholders</w:t>
      </w:r>
    </w:p>
    <w:p>
      <w:pPr>
        <w:spacing w:after="0" w:line="206"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Annual Meeting</w:t>
      </w:r>
      <w:r>
        <w:rPr>
          <w:rFonts w:ascii="Arial" w:cs="Arial" w:eastAsia="Arial" w:hAnsi="Arial"/>
          <w:sz w:val="19"/>
          <w:szCs w:val="19"/>
          <w:color w:val="auto"/>
        </w:rPr>
        <w:t>. The annual meeting of stockholders (any such meeting being referred to in these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Bylaws as an “Annual Meeting”) shall be held at the hour, date and place within or without the United States which is fixed by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 Board of Directors, which time, date and place may subsequently be changed at any time by vote of the Board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Directors. If no Annual Meeting has been held for a period of thirteen (13) months after the Corporation’s last Annual Meeting,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special meeting in lieu thereof may be held, and such special meeting shall have, for the purposes of these Bylaws or otherwise,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all the force and effect of an Annual Meeting. Any and all references hereafter in these Bylaws to an Annual Meeting or Annual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Meetings also shall be deemed to refer to any special meeting(s) in lieu thereof.</w:t>
      </w:r>
    </w:p>
    <w:p>
      <w:pPr>
        <w:spacing w:after="0" w:line="188"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Notice of Stockholder Business and Nominations</w:t>
      </w:r>
      <w:r>
        <w:rPr>
          <w:rFonts w:ascii="Arial" w:cs="Arial" w:eastAsia="Arial" w:hAnsi="Arial"/>
          <w:sz w:val="19"/>
          <w:szCs w:val="19"/>
          <w:color w:val="auto"/>
        </w:rPr>
        <w:t>.</w:t>
      </w:r>
    </w:p>
    <w:p>
      <w:pPr>
        <w:spacing w:after="0" w:line="206" w:lineRule="exact"/>
        <w:rPr>
          <w:sz w:val="20"/>
          <w:szCs w:val="20"/>
          <w:color w:val="auto"/>
        </w:rPr>
      </w:pPr>
    </w:p>
    <w:p>
      <w:pPr>
        <w:ind w:left="1760" w:hanging="888"/>
        <w:spacing w:after="0"/>
        <w:tabs>
          <w:tab w:leader="none" w:pos="176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Annual Meetings of Stockholders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firstLine="789"/>
        <w:spacing w:after="0" w:line="272" w:lineRule="auto"/>
        <w:tabs>
          <w:tab w:leader="none" w:pos="2577" w:val="left"/>
        </w:tabs>
        <w:numPr>
          <w:ilvl w:val="1"/>
          <w:numId w:val="68"/>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4" w:name="page95"/>
    <w:bookmarkEnd w:id="94"/>
    <w:p>
      <w:pPr>
        <w:ind w:left="880" w:right="20" w:firstLine="789"/>
        <w:spacing w:after="0" w:line="270" w:lineRule="auto"/>
        <w:tabs>
          <w:tab w:leader="none" w:pos="2577"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740" w:firstLine="726"/>
        <w:spacing w:after="0" w:line="268" w:lineRule="auto"/>
        <w:tabs>
          <w:tab w:leader="none" w:pos="3419" w:val="left"/>
        </w:tabs>
        <w:numPr>
          <w:ilvl w:val="2"/>
          <w:numId w:val="69"/>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w:t>
      </w:r>
    </w:p>
    <w:p>
      <w:pPr>
        <w:spacing w:after="0" w:line="6" w:lineRule="exact"/>
        <w:rPr>
          <w:rFonts w:ascii="Arial" w:cs="Arial" w:eastAsia="Arial" w:hAnsi="Arial"/>
          <w:sz w:val="19"/>
          <w:szCs w:val="19"/>
          <w:color w:val="auto"/>
        </w:rPr>
      </w:pPr>
    </w:p>
    <w:p>
      <w:pPr>
        <w:ind w:left="1740" w:right="160" w:hanging="5"/>
        <w:spacing w:after="0" w:line="287" w:lineRule="auto"/>
        <w:tabs>
          <w:tab w:leader="none" w:pos="2106" w:val="left"/>
        </w:tabs>
        <w:numPr>
          <w:ilvl w:val="1"/>
          <w:numId w:val="69"/>
        </w:numPr>
        <w:rPr>
          <w:rFonts w:ascii="Arial" w:cs="Arial" w:eastAsia="Arial" w:hAnsi="Arial"/>
          <w:sz w:val="19"/>
          <w:szCs w:val="19"/>
          <w:color w:val="auto"/>
        </w:rPr>
      </w:pPr>
      <w:r>
        <w:rPr>
          <w:rFonts w:ascii="Arial" w:cs="Arial" w:eastAsia="Arial" w:hAnsi="Arial"/>
          <w:sz w:val="19"/>
          <w:szCs w:val="19"/>
          <w:color w:val="auto"/>
        </w:rPr>
        <w:t>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5" w:name="page96"/>
    <w:bookmarkEnd w:id="95"/>
    <w:p>
      <w:pPr>
        <w:jc w:val="both"/>
        <w:ind w:left="1740" w:right="100"/>
        <w:spacing w:after="0"/>
        <w:rPr>
          <w:sz w:val="20"/>
          <w:szCs w:val="20"/>
          <w:color w:val="auto"/>
        </w:rPr>
      </w:pPr>
      <w:r>
        <w:rPr>
          <w:rFonts w:ascii="Arial" w:cs="Arial" w:eastAsia="Arial" w:hAnsi="Arial"/>
          <w:sz w:val="22"/>
          <w:szCs w:val="22"/>
          <w:color w:val="auto"/>
        </w:rPr>
        <w:t>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6" w:lineRule="exact"/>
        <w:rPr>
          <w:sz w:val="20"/>
          <w:szCs w:val="20"/>
          <w:color w:val="auto"/>
        </w:rPr>
      </w:pPr>
    </w:p>
    <w:p>
      <w:pPr>
        <w:ind w:left="1740" w:firstLine="726"/>
        <w:spacing w:after="0" w:line="287" w:lineRule="auto"/>
        <w:tabs>
          <w:tab w:leader="none" w:pos="3407" w:val="left"/>
        </w:tabs>
        <w:numPr>
          <w:ilvl w:val="0"/>
          <w:numId w:val="70"/>
        </w:numPr>
        <w:rPr>
          <w:rFonts w:ascii="Arial" w:cs="Arial" w:eastAsia="Arial" w:hAnsi="Arial"/>
          <w:sz w:val="19"/>
          <w:szCs w:val="19"/>
          <w:color w:val="auto"/>
        </w:rPr>
      </w:pPr>
      <w:r>
        <w:rPr>
          <w:rFonts w:ascii="Arial" w:cs="Arial" w:eastAsia="Arial" w:hAnsi="Arial"/>
          <w:sz w:val="19"/>
          <w:szCs w:val="19"/>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42" w:lineRule="exact"/>
        <w:rPr>
          <w:rFonts w:ascii="Arial" w:cs="Arial" w:eastAsia="Arial" w:hAnsi="Arial"/>
          <w:sz w:val="19"/>
          <w:szCs w:val="19"/>
          <w:color w:val="auto"/>
        </w:rPr>
      </w:pPr>
    </w:p>
    <w:p>
      <w:pPr>
        <w:ind w:left="1740" w:firstLine="726"/>
        <w:spacing w:after="0" w:line="269" w:lineRule="auto"/>
        <w:tabs>
          <w:tab w:leader="none" w:pos="3407" w:val="left"/>
        </w:tabs>
        <w:numPr>
          <w:ilvl w:val="0"/>
          <w:numId w:val="70"/>
        </w:numPr>
        <w:rPr>
          <w:rFonts w:ascii="Arial" w:cs="Arial" w:eastAsia="Arial" w:hAnsi="Arial"/>
          <w:sz w:val="19"/>
          <w:szCs w:val="19"/>
          <w:color w:val="auto"/>
        </w:rPr>
      </w:pPr>
      <w:r>
        <w:rPr>
          <w:rFonts w:ascii="Arial" w:cs="Arial" w:eastAsia="Arial" w:hAnsi="Arial"/>
          <w:sz w:val="19"/>
          <w:szCs w:val="19"/>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6" w:name="page97"/>
    <w:bookmarkEnd w:id="96"/>
    <w:p>
      <w:pPr>
        <w:ind w:left="1740"/>
        <w:spacing w:after="0" w:line="328" w:lineRule="auto"/>
        <w:rPr>
          <w:sz w:val="20"/>
          <w:szCs w:val="20"/>
          <w:color w:val="auto"/>
        </w:rPr>
      </w:pPr>
      <w:r>
        <w:rPr>
          <w:rFonts w:ascii="Arial" w:cs="Arial" w:eastAsia="Arial" w:hAnsi="Arial"/>
          <w:sz w:val="19"/>
          <w:szCs w:val="19"/>
          <w:color w:val="auto"/>
        </w:rPr>
        <w:t>into by any Proposing Person or any of its affiliates or associates with any other person for the purpose of acquiring, holding, disposing or voting of any shares of any class or series of capital stock of the Corporation;</w:t>
      </w:r>
    </w:p>
    <w:p>
      <w:pPr>
        <w:spacing w:after="0" w:line="105" w:lineRule="exact"/>
        <w:rPr>
          <w:sz w:val="20"/>
          <w:szCs w:val="20"/>
          <w:color w:val="auto"/>
        </w:rPr>
      </w:pPr>
    </w:p>
    <w:p>
      <w:pPr>
        <w:ind w:left="1740" w:right="100" w:firstLine="726"/>
        <w:spacing w:after="0" w:line="245" w:lineRule="auto"/>
        <w:tabs>
          <w:tab w:leader="none" w:pos="3419" w:val="left"/>
        </w:tabs>
        <w:numPr>
          <w:ilvl w:val="0"/>
          <w:numId w:val="71"/>
        </w:numPr>
        <w:rPr>
          <w:rFonts w:ascii="Arial" w:cs="Arial" w:eastAsia="Arial" w:hAnsi="Arial"/>
          <w:sz w:val="21"/>
          <w:szCs w:val="21"/>
          <w:color w:val="auto"/>
        </w:rPr>
      </w:pPr>
      <w:r>
        <w:rPr>
          <w:rFonts w:ascii="Arial" w:cs="Arial" w:eastAsia="Arial" w:hAnsi="Arial"/>
          <w:sz w:val="21"/>
          <w:szCs w:val="21"/>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84" w:lineRule="exact"/>
        <w:rPr>
          <w:rFonts w:ascii="Arial" w:cs="Arial" w:eastAsia="Arial" w:hAnsi="Arial"/>
          <w:sz w:val="21"/>
          <w:szCs w:val="21"/>
          <w:color w:val="auto"/>
        </w:rPr>
      </w:pPr>
    </w:p>
    <w:p>
      <w:pPr>
        <w:ind w:left="1740" w:right="80" w:firstLine="726"/>
        <w:spacing w:after="0" w:line="277" w:lineRule="auto"/>
        <w:tabs>
          <w:tab w:leader="none" w:pos="33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For purposes of this Article I of these Bylaws, the term “Proposing Person” shall mean the following persons:</w:t>
      </w:r>
    </w:p>
    <w:p>
      <w:pPr>
        <w:spacing w:after="0" w:line="43" w:lineRule="exact"/>
        <w:rPr>
          <w:sz w:val="20"/>
          <w:szCs w:val="20"/>
          <w:color w:val="auto"/>
        </w:rPr>
      </w:pPr>
    </w:p>
    <w:p>
      <w:pPr>
        <w:ind w:left="880" w:hanging="8"/>
        <w:spacing w:after="0" w:line="270" w:lineRule="auto"/>
        <w:tabs>
          <w:tab w:leader="none" w:pos="1138"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7" w:name="page98"/>
    <w:bookmarkEnd w:id="97"/>
    <w:p>
      <w:pPr>
        <w:ind w:left="880" w:right="140" w:firstLine="789"/>
        <w:spacing w:after="0" w:line="274" w:lineRule="auto"/>
        <w:tabs>
          <w:tab w:leader="none" w:pos="2577" w:val="left"/>
        </w:tabs>
        <w:numPr>
          <w:ilvl w:val="1"/>
          <w:numId w:val="73"/>
        </w:numPr>
        <w:rPr>
          <w:rFonts w:ascii="Arial" w:cs="Arial" w:eastAsia="Arial" w:hAnsi="Arial"/>
          <w:sz w:val="19"/>
          <w:szCs w:val="19"/>
          <w:color w:val="auto"/>
        </w:rPr>
      </w:pPr>
      <w:r>
        <w:rPr>
          <w:rFonts w:ascii="Arial" w:cs="Arial" w:eastAsia="Arial" w:hAnsi="Arial"/>
          <w:sz w:val="19"/>
          <w:szCs w:val="19"/>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58" w:lineRule="exact"/>
        <w:rPr>
          <w:rFonts w:ascii="Arial" w:cs="Arial" w:eastAsia="Arial" w:hAnsi="Arial"/>
          <w:sz w:val="19"/>
          <w:szCs w:val="19"/>
          <w:color w:val="auto"/>
        </w:rPr>
      </w:pPr>
    </w:p>
    <w:p>
      <w:pPr>
        <w:ind w:left="880" w:firstLine="789"/>
        <w:spacing w:after="0" w:line="275" w:lineRule="auto"/>
        <w:tabs>
          <w:tab w:leader="none" w:pos="2577" w:val="left"/>
        </w:tabs>
        <w:numPr>
          <w:ilvl w:val="1"/>
          <w:numId w:val="73"/>
        </w:numPr>
        <w:rPr>
          <w:rFonts w:ascii="Arial" w:cs="Arial" w:eastAsia="Arial" w:hAnsi="Arial"/>
          <w:sz w:val="19"/>
          <w:szCs w:val="19"/>
          <w:color w:val="auto"/>
        </w:rPr>
      </w:pPr>
      <w:r>
        <w:rPr>
          <w:rFonts w:ascii="Arial" w:cs="Arial" w:eastAsia="Arial" w:hAnsi="Arial"/>
          <w:sz w:val="19"/>
          <w:szCs w:val="19"/>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57" w:lineRule="exact"/>
        <w:rPr>
          <w:rFonts w:ascii="Arial" w:cs="Arial" w:eastAsia="Arial" w:hAnsi="Arial"/>
          <w:sz w:val="19"/>
          <w:szCs w:val="19"/>
          <w:color w:val="auto"/>
        </w:rPr>
      </w:pPr>
    </w:p>
    <w:p>
      <w:pPr>
        <w:ind w:left="1780" w:hanging="908"/>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right="20" w:firstLine="789"/>
        <w:spacing w:after="0" w:line="272" w:lineRule="auto"/>
        <w:tabs>
          <w:tab w:leader="none" w:pos="2577" w:val="left"/>
        </w:tabs>
        <w:numPr>
          <w:ilvl w:val="1"/>
          <w:numId w:val="74"/>
        </w:numPr>
        <w:rPr>
          <w:rFonts w:ascii="Arial" w:cs="Arial" w:eastAsia="Arial" w:hAnsi="Arial"/>
          <w:sz w:val="19"/>
          <w:szCs w:val="19"/>
          <w:color w:val="auto"/>
        </w:rPr>
      </w:pPr>
      <w:r>
        <w:rPr>
          <w:rFonts w:ascii="Arial" w:cs="Arial" w:eastAsia="Arial" w:hAnsi="Arial"/>
          <w:sz w:val="19"/>
          <w:szCs w:val="19"/>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8" w:name="page99"/>
    <w:bookmarkEnd w:id="98"/>
    <w:p>
      <w:pPr>
        <w:jc w:val="both"/>
        <w:ind w:left="880" w:right="100" w:firstLine="789"/>
        <w:spacing w:after="0" w:line="238" w:lineRule="auto"/>
        <w:tabs>
          <w:tab w:leader="none" w:pos="2577"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4" w:lineRule="exact"/>
        <w:rPr>
          <w:rFonts w:ascii="Arial" w:cs="Arial" w:eastAsia="Arial" w:hAnsi="Arial"/>
          <w:sz w:val="22"/>
          <w:szCs w:val="22"/>
          <w:color w:val="auto"/>
        </w:rPr>
      </w:pPr>
    </w:p>
    <w:p>
      <w:pPr>
        <w:ind w:left="880" w:firstLine="789"/>
        <w:spacing w:after="0" w:line="245" w:lineRule="auto"/>
        <w:tabs>
          <w:tab w:leader="none" w:pos="2577" w:val="left"/>
        </w:tabs>
        <w:numPr>
          <w:ilvl w:val="0"/>
          <w:numId w:val="75"/>
        </w:numPr>
        <w:rPr>
          <w:rFonts w:ascii="Arial" w:cs="Arial" w:eastAsia="Arial" w:hAnsi="Arial"/>
          <w:sz w:val="21"/>
          <w:szCs w:val="21"/>
          <w:color w:val="auto"/>
        </w:rPr>
      </w:pPr>
      <w:r>
        <w:rPr>
          <w:rFonts w:ascii="Arial" w:cs="Arial" w:eastAsia="Arial" w:hAnsi="Arial"/>
          <w:sz w:val="21"/>
          <w:szCs w:val="21"/>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84" w:lineRule="exact"/>
        <w:rPr>
          <w:rFonts w:ascii="Arial" w:cs="Arial" w:eastAsia="Arial" w:hAnsi="Arial"/>
          <w:sz w:val="21"/>
          <w:szCs w:val="21"/>
          <w:color w:val="auto"/>
        </w:rPr>
      </w:pPr>
    </w:p>
    <w:p>
      <w:pPr>
        <w:ind w:left="880" w:right="120" w:firstLine="789"/>
        <w:spacing w:after="0" w:line="238" w:lineRule="auto"/>
        <w:tabs>
          <w:tab w:leader="none" w:pos="2577"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4" w:lineRule="exact"/>
        <w:rPr>
          <w:rFonts w:ascii="Arial" w:cs="Arial" w:eastAsia="Arial" w:hAnsi="Arial"/>
          <w:sz w:val="22"/>
          <w:szCs w:val="22"/>
          <w:color w:val="auto"/>
        </w:rPr>
      </w:pPr>
    </w:p>
    <w:p>
      <w:pPr>
        <w:ind w:left="880" w:right="200" w:firstLine="789"/>
        <w:spacing w:after="0" w:line="234" w:lineRule="auto"/>
        <w:tabs>
          <w:tab w:leader="none" w:pos="2577"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91"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Special Meetings</w:t>
      </w:r>
      <w:r>
        <w:rPr>
          <w:rFonts w:ascii="Arial" w:cs="Arial" w:eastAsia="Arial" w:hAnsi="Arial"/>
          <w:sz w:val="19"/>
          <w:szCs w:val="19"/>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99" w:name="page100"/>
    <w:bookmarkEnd w:id="99"/>
    <w:p>
      <w:pPr>
        <w:ind w:left="880"/>
        <w:spacing w:after="0"/>
        <w:tabs>
          <w:tab w:leader="none" w:pos="26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Notice of Meetings; Adjournments</w:t>
      </w:r>
      <w:r>
        <w:rPr>
          <w:rFonts w:ascii="Arial" w:cs="Arial" w:eastAsia="Arial" w:hAnsi="Arial"/>
          <w:sz w:val="19"/>
          <w:szCs w:val="19"/>
          <w:color w:val="auto"/>
        </w:rPr>
        <w:t>.</w:t>
      </w:r>
    </w:p>
    <w:p>
      <w:pPr>
        <w:spacing w:after="0" w:line="206" w:lineRule="exact"/>
        <w:rPr>
          <w:sz w:val="20"/>
          <w:szCs w:val="20"/>
          <w:color w:val="auto"/>
        </w:rPr>
      </w:pPr>
    </w:p>
    <w:p>
      <w:pPr>
        <w:ind w:right="20" w:firstLine="872"/>
        <w:spacing w:after="0" w:line="277" w:lineRule="auto"/>
        <w:tabs>
          <w:tab w:leader="none" w:pos="17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151" w:lineRule="exact"/>
        <w:rPr>
          <w:rFonts w:ascii="Arial" w:cs="Arial" w:eastAsia="Arial" w:hAnsi="Arial"/>
          <w:sz w:val="19"/>
          <w:szCs w:val="19"/>
          <w:color w:val="auto"/>
        </w:rPr>
      </w:pPr>
    </w:p>
    <w:p>
      <w:pPr>
        <w:jc w:val="both"/>
        <w:ind w:right="100" w:firstLine="872"/>
        <w:spacing w:after="0"/>
        <w:tabs>
          <w:tab w:leader="none" w:pos="1763" w:val="left"/>
        </w:tabs>
        <w:numPr>
          <w:ilvl w:val="0"/>
          <w:numId w:val="76"/>
        </w:numPr>
        <w:rPr>
          <w:rFonts w:ascii="Arial" w:cs="Arial" w:eastAsia="Arial" w:hAnsi="Arial"/>
          <w:sz w:val="22"/>
          <w:szCs w:val="22"/>
          <w:color w:val="auto"/>
        </w:rPr>
      </w:pPr>
      <w:r>
        <w:rPr>
          <w:rFonts w:ascii="Arial" w:cs="Arial" w:eastAsia="Arial" w:hAnsi="Arial"/>
          <w:sz w:val="22"/>
          <w:szCs w:val="22"/>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186" w:lineRule="exact"/>
        <w:rPr>
          <w:rFonts w:ascii="Arial" w:cs="Arial" w:eastAsia="Arial" w:hAnsi="Arial"/>
          <w:sz w:val="22"/>
          <w:szCs w:val="22"/>
          <w:color w:val="auto"/>
        </w:rPr>
      </w:pPr>
    </w:p>
    <w:p>
      <w:pPr>
        <w:ind w:right="380" w:firstLine="872"/>
        <w:spacing w:after="0" w:line="287" w:lineRule="auto"/>
        <w:tabs>
          <w:tab w:leader="none" w:pos="17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42" w:lineRule="exact"/>
        <w:rPr>
          <w:rFonts w:ascii="Arial" w:cs="Arial" w:eastAsia="Arial" w:hAnsi="Arial"/>
          <w:sz w:val="19"/>
          <w:szCs w:val="19"/>
          <w:color w:val="auto"/>
        </w:rPr>
      </w:pPr>
    </w:p>
    <w:p>
      <w:pPr>
        <w:ind w:right="180" w:firstLine="872"/>
        <w:spacing w:after="0" w:line="282" w:lineRule="auto"/>
        <w:tabs>
          <w:tab w:leader="none" w:pos="1763"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47" w:lineRule="exact"/>
        <w:rPr>
          <w:rFonts w:ascii="Arial" w:cs="Arial" w:eastAsia="Arial" w:hAnsi="Arial"/>
          <w:sz w:val="19"/>
          <w:szCs w:val="19"/>
          <w:color w:val="auto"/>
        </w:rPr>
      </w:pPr>
    </w:p>
    <w:p>
      <w:pPr>
        <w:ind w:firstLine="872"/>
        <w:spacing w:after="0" w:line="273" w:lineRule="auto"/>
        <w:tabs>
          <w:tab w:leader="none" w:pos="1751" w:val="left"/>
        </w:tabs>
        <w:numPr>
          <w:ilvl w:val="0"/>
          <w:numId w:val="76"/>
        </w:numPr>
        <w:rPr>
          <w:rFonts w:ascii="Arial" w:cs="Arial" w:eastAsia="Arial" w:hAnsi="Arial"/>
          <w:sz w:val="19"/>
          <w:szCs w:val="19"/>
          <w:color w:val="auto"/>
        </w:rPr>
      </w:pPr>
      <w:r>
        <w:rPr>
          <w:rFonts w:ascii="Arial" w:cs="Arial" w:eastAsia="Arial" w:hAnsi="Arial"/>
          <w:sz w:val="19"/>
          <w:szCs w:val="19"/>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0" w:right="419" w:bottom="1440" w:gutter="0" w:footer="0" w:header="0"/>
        </w:sectPr>
      </w:pPr>
    </w:p>
    <w:bookmarkStart w:id="100" w:name="page101"/>
    <w:bookmarkEnd w:id="100"/>
    <w:p>
      <w:pPr>
        <w:ind w:right="460"/>
        <w:spacing w:after="0"/>
        <w:rPr>
          <w:sz w:val="20"/>
          <w:szCs w:val="20"/>
          <w:color w:val="auto"/>
        </w:rPr>
      </w:pPr>
      <w:r>
        <w:rPr>
          <w:rFonts w:ascii="Arial" w:cs="Arial" w:eastAsia="Arial" w:hAnsi="Arial"/>
          <w:sz w:val="22"/>
          <w:szCs w:val="22"/>
          <w:color w:val="auto"/>
        </w:rPr>
        <w:t>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6" w:lineRule="exact"/>
        <w:rPr>
          <w:sz w:val="20"/>
          <w:szCs w:val="20"/>
          <w:color w:val="auto"/>
        </w:rPr>
      </w:pPr>
    </w:p>
    <w:p>
      <w:pPr>
        <w:ind w:right="60" w:firstLine="864"/>
        <w:spacing w:after="0" w:line="27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Quorum</w:t>
      </w:r>
      <w:r>
        <w:rPr>
          <w:rFonts w:ascii="Arial" w:cs="Arial" w:eastAsia="Arial" w:hAnsi="Arial"/>
          <w:sz w:val="19"/>
          <w:szCs w:val="19"/>
          <w:color w:val="auto"/>
        </w:rPr>
        <w:t>.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52" w:lineRule="exact"/>
        <w:rPr>
          <w:sz w:val="20"/>
          <w:szCs w:val="20"/>
          <w:color w:val="auto"/>
        </w:rPr>
      </w:pPr>
    </w:p>
    <w:p>
      <w:pPr>
        <w:ind w:firstLine="864"/>
        <w:spacing w:after="0" w:line="244"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Voting and Proxies</w:t>
      </w:r>
      <w:r>
        <w:rPr>
          <w:rFonts w:ascii="Arial" w:cs="Arial" w:eastAsia="Arial" w:hAnsi="Arial"/>
          <w:sz w:val="21"/>
          <w:szCs w:val="21"/>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83" w:lineRule="exact"/>
        <w:rPr>
          <w:sz w:val="20"/>
          <w:szCs w:val="20"/>
          <w:color w:val="auto"/>
        </w:rPr>
      </w:pPr>
    </w:p>
    <w:p>
      <w:pPr>
        <w:ind w:right="240" w:firstLine="864"/>
        <w:spacing w:after="0" w:line="28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Action at Meeting</w:t>
      </w:r>
      <w:r>
        <w:rPr>
          <w:rFonts w:ascii="Arial" w:cs="Arial" w:eastAsia="Arial" w:hAnsi="Arial"/>
          <w:sz w:val="19"/>
          <w:szCs w:val="19"/>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43" w:lineRule="exact"/>
        <w:rPr>
          <w:sz w:val="20"/>
          <w:szCs w:val="20"/>
          <w:color w:val="auto"/>
        </w:rPr>
      </w:pPr>
    </w:p>
    <w:p>
      <w:pPr>
        <w:ind w:right="140" w:firstLine="864"/>
        <w:spacing w:after="0" w:line="249"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Stockholder Lists</w:t>
      </w:r>
      <w:r>
        <w:rPr>
          <w:rFonts w:ascii="Arial" w:cs="Arial" w:eastAsia="Arial" w:hAnsi="Arial"/>
          <w:sz w:val="21"/>
          <w:szCs w:val="21"/>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01" w:name="page102"/>
    <w:bookmarkEnd w:id="101"/>
    <w:p>
      <w:pPr>
        <w:ind w:right="160"/>
        <w:spacing w:after="0"/>
        <w:rPr>
          <w:sz w:val="20"/>
          <w:szCs w:val="20"/>
          <w:color w:val="auto"/>
        </w:rPr>
      </w:pPr>
      <w:r>
        <w:rPr>
          <w:rFonts w:ascii="Arial" w:cs="Arial" w:eastAsia="Arial" w:hAnsi="Arial"/>
          <w:sz w:val="22"/>
          <w:szCs w:val="22"/>
          <w:color w:val="auto"/>
        </w:rPr>
        <w:t>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86"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Presiding Officer</w:t>
      </w:r>
      <w:r>
        <w:rPr>
          <w:rFonts w:ascii="Arial" w:cs="Arial" w:eastAsia="Arial" w:hAnsi="Arial"/>
          <w:sz w:val="19"/>
          <w:szCs w:val="19"/>
          <w:color w:val="auto"/>
        </w:rPr>
        <w:t>. The Board of Directors shall designate a representative to preside over all Annual Meetings or special meetings of stockholders, provided that if the Board of Directors does not so designate such a presiding officer, then the Chairperson of the Board, if one is elected, shall preside over such meetings. If the Board of Directors does not so designate such a presiding officer and there is no Chairperson of the Board or the Chairperson of the Board is unable to so preside or is absent, then the Lead Director, if one is elected, shall preside over such meetings, provided further that if there is no Lead Director or the Lead director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55" w:lineRule="exact"/>
        <w:rPr>
          <w:sz w:val="20"/>
          <w:szCs w:val="20"/>
          <w:color w:val="auto"/>
        </w:rPr>
      </w:pPr>
    </w:p>
    <w:p>
      <w:pPr>
        <w:ind w:right="60" w:firstLine="864"/>
        <w:spacing w:after="0" w:line="272"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Inspectors of Elections</w:t>
      </w:r>
      <w:r>
        <w:rPr>
          <w:rFonts w:ascii="Arial" w:cs="Arial" w:eastAsia="Arial" w:hAnsi="Arial"/>
          <w:sz w:val="19"/>
          <w:szCs w:val="19"/>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ARTICLE II</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Directors</w:t>
      </w:r>
    </w:p>
    <w:p>
      <w:pPr>
        <w:spacing w:after="0" w:line="206"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Powers</w:t>
      </w:r>
      <w:r>
        <w:rPr>
          <w:rFonts w:ascii="Arial" w:cs="Arial" w:eastAsia="Arial" w:hAnsi="Arial"/>
          <w:sz w:val="22"/>
          <w:szCs w:val="22"/>
          <w:color w:val="auto"/>
        </w:rPr>
        <w:t>. The business and affairs of the Corporation shall be managed by or under the direction of the Board of Directors except as otherwise provided by the Certificate or required by law.</w:t>
      </w:r>
    </w:p>
    <w:p>
      <w:pPr>
        <w:spacing w:after="0" w:line="175"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Number and Terms</w:t>
      </w:r>
      <w:r>
        <w:rPr>
          <w:rFonts w:ascii="Arial" w:cs="Arial" w:eastAsia="Arial" w:hAnsi="Arial"/>
          <w:sz w:val="19"/>
          <w:szCs w:val="19"/>
          <w:color w:val="auto"/>
        </w:rPr>
        <w:t>. The number of directors of the Corporation shall be fixed solely and</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exclusively by resolution duly adopted from time to time by the Board of Directors. The directors shall hold office in the manner provided in the Certificate.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02" w:name="page103"/>
    <w:bookmarkEnd w:id="102"/>
    <w:p>
      <w:pPr>
        <w:ind w:left="880"/>
        <w:spacing w:after="0"/>
        <w:tabs>
          <w:tab w:leader="none" w:pos="26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Qualification</w:t>
      </w:r>
      <w:r>
        <w:rPr>
          <w:rFonts w:ascii="Arial" w:cs="Arial" w:eastAsia="Arial" w:hAnsi="Arial"/>
          <w:sz w:val="19"/>
          <w:szCs w:val="19"/>
          <w:color w:val="auto"/>
        </w:rPr>
        <w:t>. No director need be a stockholder of the Corporation.</w:t>
      </w:r>
    </w:p>
    <w:p>
      <w:pPr>
        <w:spacing w:after="0" w:line="206" w:lineRule="exact"/>
        <w:rPr>
          <w:sz w:val="20"/>
          <w:szCs w:val="20"/>
          <w:color w:val="auto"/>
        </w:rPr>
      </w:pPr>
    </w:p>
    <w:p>
      <w:pPr>
        <w:ind w:right="620" w:firstLine="864"/>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Vacancies</w:t>
      </w:r>
      <w:r>
        <w:rPr>
          <w:rFonts w:ascii="Arial" w:cs="Arial" w:eastAsia="Arial" w:hAnsi="Arial"/>
          <w:sz w:val="22"/>
          <w:szCs w:val="22"/>
          <w:color w:val="auto"/>
        </w:rPr>
        <w:t>. Vacancies in the Board of Directors shall be filled in the manner provided in the Certificate.</w:t>
      </w:r>
    </w:p>
    <w:p>
      <w:pPr>
        <w:spacing w:after="0" w:line="175"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Removal</w:t>
      </w:r>
      <w:r>
        <w:rPr>
          <w:rFonts w:ascii="Arial" w:cs="Arial" w:eastAsia="Arial" w:hAnsi="Arial"/>
          <w:sz w:val="19"/>
          <w:szCs w:val="19"/>
          <w:color w:val="auto"/>
        </w:rPr>
        <w:t>. Directors may be removed from office only in the manner provided in the Certificate.</w:t>
      </w:r>
    </w:p>
    <w:p>
      <w:pPr>
        <w:spacing w:after="0" w:line="206" w:lineRule="exact"/>
        <w:rPr>
          <w:sz w:val="20"/>
          <w:szCs w:val="20"/>
          <w:color w:val="auto"/>
        </w:rPr>
      </w:pPr>
    </w:p>
    <w:p>
      <w:pPr>
        <w:jc w:val="both"/>
        <w:ind w:right="360" w:firstLine="864"/>
        <w:spacing w:after="0" w:line="29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Resignation</w:t>
      </w:r>
      <w:r>
        <w:rPr>
          <w:rFonts w:ascii="Arial" w:cs="Arial" w:eastAsia="Arial" w:hAnsi="Arial"/>
          <w:sz w:val="19"/>
          <w:szCs w:val="19"/>
          <w:color w:val="auto"/>
        </w:rPr>
        <w:t>. A director may resign at any time by electronic transmission or by giving written notice to the Chairperson of the Board, if one is elected, the Lead Director, if one is elected, the Chief Executive Officer, the President or the Secretary. A resignation shall be effective upon receipt, unless the resignation otherwise provides.</w:t>
      </w:r>
    </w:p>
    <w:p>
      <w:pPr>
        <w:spacing w:after="0" w:line="134" w:lineRule="exact"/>
        <w:rPr>
          <w:sz w:val="20"/>
          <w:szCs w:val="20"/>
          <w:color w:val="auto"/>
        </w:rPr>
      </w:pPr>
    </w:p>
    <w:p>
      <w:pPr>
        <w:ind w:right="220" w:firstLine="864"/>
        <w:spacing w:after="0" w:line="236"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Regular Meetings</w:t>
      </w:r>
      <w:r>
        <w:rPr>
          <w:rFonts w:ascii="Arial" w:cs="Arial" w:eastAsia="Arial" w:hAnsi="Arial"/>
          <w:sz w:val="22"/>
          <w:szCs w:val="22"/>
          <w:color w:val="auto"/>
        </w:rPr>
        <w:t>. The regular annual meeting of the Board of Directors shall be held, without notice other than this Section 7, on the same date as the Annual Meeting unless a different date is chosen by the Board of Directors.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7"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of Directors may be called, orally or in writing, by or at the request of a majority of the directors, the Chairperson of the Board, if one is elected, the Lead Director, if one is elected, the Chief Executive Officer, or the President. The person calling any such special meeting of the Board of Directors may fix the hour, date and place thereof.</w:t>
      </w:r>
    </w:p>
    <w:p>
      <w:pPr>
        <w:spacing w:after="0" w:line="185" w:lineRule="exact"/>
        <w:rPr>
          <w:sz w:val="20"/>
          <w:szCs w:val="20"/>
          <w:color w:val="auto"/>
        </w:rPr>
      </w:pPr>
    </w:p>
    <w:p>
      <w:pPr>
        <w:ind w:right="60" w:firstLine="864"/>
        <w:spacing w:after="0" w:line="271"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the Lead Director, if one is elected, the Chief Executive Officer, or the President or such other officer designated by the Chairperson of the Board, if one is elected, the Lead Director, if one is elected, the Chief Executive Officer,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103" w:name="page104"/>
    <w:bookmarkEnd w:id="103"/>
    <w:p>
      <w:pPr>
        <w:ind w:right="160"/>
        <w:spacing w:after="0" w:line="250" w:lineRule="auto"/>
        <w:rPr>
          <w:sz w:val="20"/>
          <w:szCs w:val="20"/>
          <w:color w:val="auto"/>
        </w:rPr>
      </w:pPr>
      <w:r>
        <w:rPr>
          <w:rFonts w:ascii="Arial" w:cs="Arial" w:eastAsia="Arial" w:hAnsi="Arial"/>
          <w:sz w:val="22"/>
          <w:szCs w:val="22"/>
          <w:color w:val="auto"/>
        </w:rPr>
        <w:t>neither the business to be transacted at, nor the purpose of, any meeting of the Board of Directors need be specified in the notice or waiver of notice of such meeting.</w:t>
      </w:r>
    </w:p>
    <w:p>
      <w:pPr>
        <w:spacing w:after="0" w:line="175"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Quorum</w:t>
      </w:r>
      <w:r>
        <w:rPr>
          <w:rFonts w:ascii="Arial" w:cs="Arial" w:eastAsia="Arial" w:hAnsi="Arial"/>
          <w:sz w:val="19"/>
          <w:szCs w:val="19"/>
          <w:color w:val="auto"/>
        </w:rPr>
        <w:t>. At any meeting of the Board of Directors, a majority of the total number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shall constitute a quorum for the transaction of business, but if less than a quorum is present at a meeting, a majority of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directors present may adjourn the meeting from time to time, and the meeting may be held as adjourned without further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notice. Any business which might have been transacted at the meeting as originally noticed may be transacted at such adjourned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meeting at which a quorum is present. For purposes of this section, the total number of directors includes any unfilled vacancies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on the Board of Directors.</w:t>
      </w:r>
    </w:p>
    <w:p>
      <w:pPr>
        <w:spacing w:after="0" w:line="188" w:lineRule="exact"/>
        <w:rPr>
          <w:sz w:val="20"/>
          <w:szCs w:val="20"/>
          <w:color w:val="auto"/>
        </w:rPr>
      </w:pPr>
    </w:p>
    <w:p>
      <w:pPr>
        <w:jc w:val="both"/>
        <w:ind w:right="200" w:firstLine="864"/>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Action at Meeting</w:t>
      </w:r>
      <w:r>
        <w:rPr>
          <w:rFonts w:ascii="Arial" w:cs="Arial" w:eastAsia="Arial" w:hAnsi="Arial"/>
          <w:sz w:val="22"/>
          <w:szCs w:val="22"/>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86" w:lineRule="exact"/>
        <w:rPr>
          <w:sz w:val="20"/>
          <w:szCs w:val="20"/>
          <w:color w:val="auto"/>
        </w:rPr>
      </w:pPr>
    </w:p>
    <w:p>
      <w:pPr>
        <w:ind w:right="140" w:firstLine="864"/>
        <w:spacing w:after="0" w:line="235"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Action by Consent</w:t>
      </w:r>
      <w:r>
        <w:rPr>
          <w:rFonts w:ascii="Arial" w:cs="Arial" w:eastAsia="Arial" w:hAnsi="Arial"/>
          <w:sz w:val="22"/>
          <w:szCs w:val="22"/>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ind w:right="80" w:firstLine="864"/>
        <w:spacing w:after="0" w:line="23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Manner of Participation</w:t>
      </w:r>
      <w:r>
        <w:rPr>
          <w:rFonts w:ascii="Arial" w:cs="Arial" w:eastAsia="Arial" w:hAnsi="Arial"/>
          <w:sz w:val="22"/>
          <w:szCs w:val="22"/>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85"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Presiding Director</w:t>
      </w:r>
      <w:r>
        <w:rPr>
          <w:rFonts w:ascii="Arial" w:cs="Arial" w:eastAsia="Arial" w:hAnsi="Arial"/>
          <w:sz w:val="19"/>
          <w:szCs w:val="19"/>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then the Lead Director, if one is elected, shall preside over all meetings of the Board of Directors. If the designated presiding director, if one is so designated, the Chairperson of the Board, if one is elected, and the Lead Director, if one is elected, are unable to preside or are absent, the Board of Directors shall designate an alternate representative to preside over a meeting of the Board of Directors.</w:t>
      </w:r>
    </w:p>
    <w:p>
      <w:pPr>
        <w:spacing w:after="0" w:line="157" w:lineRule="exact"/>
        <w:rPr>
          <w:sz w:val="20"/>
          <w:szCs w:val="20"/>
          <w:color w:val="auto"/>
        </w:rPr>
      </w:pPr>
    </w:p>
    <w:p>
      <w:pPr>
        <w:ind w:right="40" w:firstLine="864"/>
        <w:spacing w:after="0" w:line="236"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Committees</w:t>
      </w:r>
      <w:r>
        <w:rPr>
          <w:rFonts w:ascii="Arial" w:cs="Arial" w:eastAsia="Arial" w:hAnsi="Arial"/>
          <w:sz w:val="22"/>
          <w:szCs w:val="22"/>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4" w:name="page105"/>
    <w:bookmarkEnd w:id="104"/>
    <w:p>
      <w:pPr>
        <w:spacing w:after="0" w:line="236" w:lineRule="auto"/>
        <w:rPr>
          <w:sz w:val="20"/>
          <w:szCs w:val="20"/>
          <w:color w:val="auto"/>
        </w:rPr>
      </w:pPr>
      <w:r>
        <w:rPr>
          <w:rFonts w:ascii="Arial" w:cs="Arial" w:eastAsia="Arial" w:hAnsi="Arial"/>
          <w:sz w:val="22"/>
          <w:szCs w:val="22"/>
          <w:color w:val="auto"/>
        </w:rPr>
        <w:t>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87" w:lineRule="exact"/>
        <w:rPr>
          <w:sz w:val="20"/>
          <w:szCs w:val="20"/>
          <w:color w:val="auto"/>
        </w:rPr>
      </w:pPr>
    </w:p>
    <w:p>
      <w:pPr>
        <w:ind w:right="20" w:firstLine="864"/>
        <w:spacing w:after="0" w:line="238"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Compensation of Directors</w:t>
      </w:r>
      <w:r>
        <w:rPr>
          <w:rFonts w:ascii="Arial" w:cs="Arial" w:eastAsia="Arial" w:hAnsi="Arial"/>
          <w:sz w:val="22"/>
          <w:szCs w:val="22"/>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Officers</w:t>
      </w:r>
    </w:p>
    <w:p>
      <w:pPr>
        <w:spacing w:after="0" w:line="206" w:lineRule="exact"/>
        <w:rPr>
          <w:sz w:val="20"/>
          <w:szCs w:val="20"/>
          <w:color w:val="auto"/>
        </w:rPr>
      </w:pPr>
    </w:p>
    <w:p>
      <w:pPr>
        <w:ind w:right="20" w:firstLine="864"/>
        <w:spacing w:after="0" w:line="252"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Enumeration</w:t>
      </w:r>
      <w:r>
        <w:rPr>
          <w:rFonts w:ascii="Arial" w:cs="Arial" w:eastAsia="Arial" w:hAnsi="Arial"/>
          <w:sz w:val="21"/>
          <w:szCs w:val="21"/>
          <w:color w:val="auto"/>
        </w:rPr>
        <w:t>. The officers of the Corporation shall consist of a President, a Treasurer, a Secretary and such other officers, including, without limitation, a Chairperson of the Board of Directors, a Lead Director, a Chief Executive Officer and one or more Vice Presidents (including Executive Vice Presidents or Senior Vice Presidents), Assistant Vice Presidents, Assistant Treasurers and Assistant Secretaries, as the Board of Directors may determine.</w:t>
      </w:r>
    </w:p>
    <w:p>
      <w:pPr>
        <w:spacing w:after="0" w:line="174"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Election</w:t>
      </w:r>
      <w:r>
        <w:rPr>
          <w:rFonts w:ascii="Arial" w:cs="Arial" w:eastAsia="Arial" w:hAnsi="Arial"/>
          <w:sz w:val="22"/>
          <w:szCs w:val="22"/>
          <w:color w:val="auto"/>
        </w:rPr>
        <w:t>. At the regular annual meeting of the Board of Directors following the Annual Meeting, the Board of Directors shall elect the Chief Executive Officer, President, the Treasurer and the Secretary. Other officers may be elected by the Board of Directors at such regular annual meeting of the Board of Directors or at any other regular or special meeting.</w:t>
      </w:r>
    </w:p>
    <w:p>
      <w:pPr>
        <w:spacing w:after="0" w:line="185"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Qualification</w:t>
      </w:r>
      <w:r>
        <w:rPr>
          <w:rFonts w:ascii="Arial" w:cs="Arial" w:eastAsia="Arial" w:hAnsi="Arial"/>
          <w:sz w:val="22"/>
          <w:szCs w:val="22"/>
          <w:color w:val="auto"/>
        </w:rPr>
        <w:t>. No officer need be a stockholder or a director. Any person may occupy more than one office of the Corporation at any time.</w:t>
      </w:r>
    </w:p>
    <w:p>
      <w:pPr>
        <w:spacing w:after="0" w:line="175" w:lineRule="exact"/>
        <w:rPr>
          <w:sz w:val="20"/>
          <w:szCs w:val="20"/>
          <w:color w:val="auto"/>
        </w:rPr>
      </w:pPr>
    </w:p>
    <w:p>
      <w:pPr>
        <w:ind w:right="20" w:firstLine="864"/>
        <w:spacing w:after="0" w:line="257"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Tenure</w:t>
      </w:r>
      <w:r>
        <w:rPr>
          <w:rFonts w:ascii="Arial" w:cs="Arial" w:eastAsia="Arial" w:hAnsi="Arial"/>
          <w:sz w:val="21"/>
          <w:szCs w:val="21"/>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69" w:lineRule="exact"/>
        <w:rPr>
          <w:sz w:val="20"/>
          <w:szCs w:val="20"/>
          <w:color w:val="auto"/>
        </w:rPr>
      </w:pPr>
    </w:p>
    <w:p>
      <w:pPr>
        <w:jc w:val="both"/>
        <w:ind w:right="140" w:firstLine="864"/>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Resignation</w:t>
      </w:r>
      <w:r>
        <w:rPr>
          <w:rFonts w:ascii="Arial" w:cs="Arial" w:eastAsia="Arial" w:hAnsi="Arial"/>
          <w:sz w:val="22"/>
          <w:szCs w:val="22"/>
          <w:color w:val="auto"/>
        </w:rPr>
        <w:t>. Any officer may resign by delivering his or her written or electronically transmitted resignation to the Corporation addressed to the Chief Executive Officer, President or the Secretary, and such resignation shall be effective upon receipt, unless the resignation otherwise provides.</w:t>
      </w:r>
    </w:p>
    <w:p>
      <w:pPr>
        <w:spacing w:after="0" w:line="186" w:lineRule="exact"/>
        <w:rPr>
          <w:sz w:val="20"/>
          <w:szCs w:val="20"/>
          <w:color w:val="auto"/>
        </w:rPr>
      </w:pPr>
    </w:p>
    <w:p>
      <w:pPr>
        <w:jc w:val="both"/>
        <w:ind w:right="380" w:firstLine="864"/>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Removal</w:t>
      </w:r>
      <w:r>
        <w:rPr>
          <w:rFonts w:ascii="Arial" w:cs="Arial" w:eastAsia="Arial" w:hAnsi="Arial"/>
          <w:sz w:val="22"/>
          <w:szCs w:val="22"/>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5" w:name="page106"/>
    <w:bookmarkEnd w:id="105"/>
    <w:p>
      <w:pPr>
        <w:ind w:right="720" w:firstLine="864"/>
        <w:spacing w:after="0" w:line="274"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Absence or Disability</w:t>
      </w:r>
      <w:r>
        <w:rPr>
          <w:rFonts w:ascii="Arial" w:cs="Arial" w:eastAsia="Arial" w:hAnsi="Arial"/>
          <w:sz w:val="21"/>
          <w:szCs w:val="21"/>
          <w:color w:val="auto"/>
        </w:rPr>
        <w:t>. In the event of the absence or disability of any officer, the Board of Directors may designate another officer to act temporarily in place of such absent or disabled officer.</w:t>
      </w:r>
    </w:p>
    <w:p>
      <w:pPr>
        <w:spacing w:after="0" w:line="151" w:lineRule="exact"/>
        <w:rPr>
          <w:sz w:val="20"/>
          <w:szCs w:val="20"/>
          <w:color w:val="auto"/>
        </w:rPr>
      </w:pPr>
    </w:p>
    <w:p>
      <w:pPr>
        <w:ind w:right="280" w:firstLine="864"/>
        <w:spacing w:after="0" w:line="250"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Vacancies</w:t>
      </w:r>
      <w:r>
        <w:rPr>
          <w:rFonts w:ascii="Arial" w:cs="Arial" w:eastAsia="Arial" w:hAnsi="Arial"/>
          <w:sz w:val="22"/>
          <w:szCs w:val="22"/>
          <w:color w:val="auto"/>
        </w:rPr>
        <w:t>. Any vacancy in any office may be filled for the unexpired portion of the term by the Board of Directors.</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President</w:t>
      </w:r>
      <w:r>
        <w:rPr>
          <w:rFonts w:ascii="Arial" w:cs="Arial" w:eastAsia="Arial" w:hAnsi="Arial"/>
          <w:sz w:val="22"/>
          <w:szCs w:val="22"/>
          <w:color w:val="auto"/>
        </w:rPr>
        <w:t>. The President shall, subject to the direction of the Board of Directors, have such powers and shall perform such duties as the Board of Directors may from time to time designate.</w:t>
      </w:r>
    </w:p>
    <w:p>
      <w:pPr>
        <w:spacing w:after="0" w:line="175" w:lineRule="exact"/>
        <w:rPr>
          <w:sz w:val="20"/>
          <w:szCs w:val="20"/>
          <w:color w:val="auto"/>
        </w:rPr>
      </w:pPr>
    </w:p>
    <w:p>
      <w:pPr>
        <w:ind w:right="640" w:firstLine="864"/>
        <w:spacing w:after="0" w:line="25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Chairperson of the Board</w:t>
      </w:r>
      <w:r>
        <w:rPr>
          <w:rFonts w:ascii="Arial" w:cs="Arial" w:eastAsia="Arial" w:hAnsi="Arial"/>
          <w:sz w:val="22"/>
          <w:szCs w:val="22"/>
          <w:color w:val="auto"/>
        </w:rPr>
        <w:t>. The Chairperson of the Board, if one is elected, shall have such powers and shall perform such duties as the Board of Directors may from time to time designate.</w:t>
      </w:r>
    </w:p>
    <w:p>
      <w:pPr>
        <w:spacing w:after="0" w:line="175" w:lineRule="exact"/>
        <w:rPr>
          <w:sz w:val="20"/>
          <w:szCs w:val="20"/>
          <w:color w:val="auto"/>
        </w:rPr>
      </w:pPr>
    </w:p>
    <w:p>
      <w:pPr>
        <w:ind w:right="360" w:firstLine="864"/>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Lead Director</w:t>
      </w:r>
      <w:r>
        <w:rPr>
          <w:rFonts w:ascii="Arial" w:cs="Arial" w:eastAsia="Arial" w:hAnsi="Arial"/>
          <w:sz w:val="22"/>
          <w:szCs w:val="22"/>
          <w:color w:val="auto"/>
        </w:rPr>
        <w:t>. The Lead Director, if one is elected, shall have such powers and shall perform such duties as the Board of Directors may from time to time designate.</w:t>
      </w:r>
    </w:p>
    <w:p>
      <w:pPr>
        <w:spacing w:after="0" w:line="175" w:lineRule="exact"/>
        <w:rPr>
          <w:sz w:val="20"/>
          <w:szCs w:val="20"/>
          <w:color w:val="auto"/>
        </w:rPr>
      </w:pPr>
    </w:p>
    <w:p>
      <w:pPr>
        <w:ind w:right="200" w:firstLine="864"/>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Chief Executive Officer</w:t>
      </w:r>
      <w:r>
        <w:rPr>
          <w:rFonts w:ascii="Arial" w:cs="Arial" w:eastAsia="Arial" w:hAnsi="Arial"/>
          <w:sz w:val="22"/>
          <w:szCs w:val="22"/>
          <w:color w:val="auto"/>
        </w:rPr>
        <w:t>. The Chief Executive Officer, if one is elected, shall have such powers and shall perform such duties as the Board of Directors may from time to time designate.</w:t>
      </w:r>
    </w:p>
    <w:p>
      <w:pPr>
        <w:spacing w:after="0" w:line="175"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Vice Presidents and Assistant Vice Presidents</w:t>
      </w:r>
      <w:r>
        <w:rPr>
          <w:rFonts w:ascii="Arial" w:cs="Arial" w:eastAsia="Arial" w:hAnsi="Arial"/>
          <w:sz w:val="22"/>
          <w:szCs w:val="22"/>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6" w:lineRule="exact"/>
        <w:rPr>
          <w:sz w:val="20"/>
          <w:szCs w:val="20"/>
          <w:color w:val="auto"/>
        </w:rPr>
      </w:pPr>
    </w:p>
    <w:p>
      <w:pPr>
        <w:ind w:right="100" w:firstLine="864"/>
        <w:spacing w:after="0" w:line="27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Treasurer and Assistant Treasurers</w:t>
      </w:r>
      <w:r>
        <w:rPr>
          <w:rFonts w:ascii="Arial" w:cs="Arial" w:eastAsia="Arial" w:hAnsi="Arial"/>
          <w:sz w:val="19"/>
          <w:szCs w:val="19"/>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50" w:lineRule="exact"/>
        <w:rPr>
          <w:sz w:val="20"/>
          <w:szCs w:val="20"/>
          <w:color w:val="auto"/>
        </w:rPr>
      </w:pPr>
    </w:p>
    <w:p>
      <w:pPr>
        <w:ind w:right="100" w:firstLine="864"/>
        <w:spacing w:after="0" w:line="245"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Secretary and Assistant Secretaries</w:t>
      </w:r>
      <w:r>
        <w:rPr>
          <w:rFonts w:ascii="Arial" w:cs="Arial" w:eastAsia="Arial" w:hAnsi="Arial"/>
          <w:sz w:val="21"/>
          <w:szCs w:val="21"/>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06" w:name="page107"/>
    <w:bookmarkEnd w:id="106"/>
    <w:p>
      <w:pPr>
        <w:ind w:right="180"/>
        <w:spacing w:after="0" w:line="250" w:lineRule="auto"/>
        <w:rPr>
          <w:sz w:val="20"/>
          <w:szCs w:val="20"/>
          <w:color w:val="auto"/>
        </w:rPr>
      </w:pPr>
      <w:r>
        <w:rPr>
          <w:rFonts w:ascii="Arial" w:cs="Arial" w:eastAsia="Arial" w:hAnsi="Arial"/>
          <w:sz w:val="22"/>
          <w:szCs w:val="22"/>
          <w:color w:val="auto"/>
        </w:rPr>
        <w:t>responsibilities. Any Assistant Secretary shall have such powers and perform such duties as the Board of Directors or the Chief Executive Officer may from time to time designate.</w:t>
      </w:r>
    </w:p>
    <w:p>
      <w:pPr>
        <w:spacing w:after="0" w:line="175" w:lineRule="exact"/>
        <w:rPr>
          <w:sz w:val="20"/>
          <w:szCs w:val="20"/>
          <w:color w:val="auto"/>
        </w:rPr>
      </w:pPr>
    </w:p>
    <w:p>
      <w:pPr>
        <w:ind w:right="320" w:firstLine="864"/>
        <w:spacing w:after="0" w:line="238"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Other Powers and Duties</w:t>
      </w:r>
      <w:r>
        <w:rPr>
          <w:rFonts w:ascii="Arial" w:cs="Arial" w:eastAsia="Arial" w:hAnsi="Arial"/>
          <w:sz w:val="22"/>
          <w:szCs w:val="22"/>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85"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IV</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Capital Stock</w:t>
      </w:r>
    </w:p>
    <w:p>
      <w:pPr>
        <w:spacing w:after="0" w:line="206" w:lineRule="exact"/>
        <w:rPr>
          <w:sz w:val="20"/>
          <w:szCs w:val="20"/>
          <w:color w:val="auto"/>
        </w:rPr>
      </w:pPr>
    </w:p>
    <w:p>
      <w:pPr>
        <w:ind w:firstLine="864"/>
        <w:spacing w:after="0" w:line="244"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Certificates of Stock</w:t>
      </w:r>
      <w:r>
        <w:rPr>
          <w:rFonts w:ascii="Arial" w:cs="Arial" w:eastAsia="Arial" w:hAnsi="Arial"/>
          <w:sz w:val="21"/>
          <w:szCs w:val="21"/>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81" w:lineRule="exact"/>
        <w:rPr>
          <w:sz w:val="20"/>
          <w:szCs w:val="20"/>
          <w:color w:val="auto"/>
        </w:rPr>
      </w:pPr>
    </w:p>
    <w:p>
      <w:pPr>
        <w:ind w:right="20" w:firstLine="864"/>
        <w:spacing w:after="0" w:line="277"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Transfers</w:t>
      </w:r>
      <w:r>
        <w:rPr>
          <w:rFonts w:ascii="Arial" w:cs="Arial" w:eastAsia="Arial" w:hAnsi="Arial"/>
          <w:sz w:val="19"/>
          <w:szCs w:val="19"/>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7" w:name="page108"/>
    <w:bookmarkEnd w:id="107"/>
    <w:p>
      <w:pPr>
        <w:ind w:right="140" w:firstLine="864"/>
        <w:spacing w:after="0" w:line="23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Record Holders</w:t>
      </w:r>
      <w:r>
        <w:rPr>
          <w:rFonts w:ascii="Arial" w:cs="Arial" w:eastAsia="Arial" w:hAnsi="Arial"/>
          <w:sz w:val="22"/>
          <w:szCs w:val="22"/>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right="20" w:firstLine="864"/>
        <w:spacing w:after="0" w:line="272"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Record Date</w:t>
      </w:r>
      <w:r>
        <w:rPr>
          <w:rFonts w:ascii="Arial" w:cs="Arial" w:eastAsia="Arial" w:hAnsi="Arial"/>
          <w:sz w:val="19"/>
          <w:szCs w:val="19"/>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61" w:lineRule="exact"/>
        <w:rPr>
          <w:sz w:val="20"/>
          <w:szCs w:val="20"/>
          <w:color w:val="auto"/>
        </w:rPr>
      </w:pPr>
    </w:p>
    <w:p>
      <w:pPr>
        <w:ind w:firstLine="864"/>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Replacement of Certificates</w:t>
      </w:r>
      <w:r>
        <w:rPr>
          <w:rFonts w:ascii="Arial" w:cs="Arial" w:eastAsia="Arial" w:hAnsi="Arial"/>
          <w:sz w:val="22"/>
          <w:szCs w:val="22"/>
          <w:color w:val="auto"/>
        </w:rPr>
        <w:t>. In case of the alleged loss, destruction or mutilation of a certificate of stock of the Corporation, a duplicate certificate may be issued in place thereof, upon such terms as the Board of Directors may prescribe.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Indemnification</w:t>
      </w:r>
    </w:p>
    <w:p>
      <w:pPr>
        <w:spacing w:after="0" w:line="206"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Article:</w:t>
      </w:r>
    </w:p>
    <w:p>
      <w:pPr>
        <w:spacing w:after="0" w:line="206" w:lineRule="exact"/>
        <w:rPr>
          <w:sz w:val="20"/>
          <w:szCs w:val="20"/>
          <w:color w:val="auto"/>
        </w:rPr>
      </w:pPr>
    </w:p>
    <w:p>
      <w:pPr>
        <w:ind w:right="20" w:firstLine="872"/>
        <w:spacing w:after="0" w:line="273" w:lineRule="auto"/>
        <w:tabs>
          <w:tab w:leader="none" w:pos="1751"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08" w:name="page109"/>
    <w:bookmarkEnd w:id="108"/>
    <w:p>
      <w:pPr>
        <w:ind w:right="760" w:firstLine="872"/>
        <w:spacing w:after="0" w:line="250" w:lineRule="auto"/>
        <w:tabs>
          <w:tab w:leader="none" w:pos="1763" w:val="left"/>
        </w:tabs>
        <w:numPr>
          <w:ilvl w:val="0"/>
          <w:numId w:val="78"/>
        </w:numPr>
        <w:rPr>
          <w:rFonts w:ascii="Arial" w:cs="Arial" w:eastAsia="Arial" w:hAnsi="Arial"/>
          <w:sz w:val="22"/>
          <w:szCs w:val="22"/>
          <w:color w:val="auto"/>
        </w:rPr>
      </w:pPr>
      <w:r>
        <w:rPr>
          <w:rFonts w:ascii="Arial" w:cs="Arial" w:eastAsia="Arial" w:hAnsi="Arial"/>
          <w:sz w:val="22"/>
          <w:szCs w:val="22"/>
          <w:color w:val="auto"/>
        </w:rPr>
        <w:t>“Director” means any person who serves or has served the Corporation as a director on the Board of Directors of the Corporation;</w:t>
      </w:r>
    </w:p>
    <w:p>
      <w:pPr>
        <w:spacing w:after="0" w:line="174" w:lineRule="exact"/>
        <w:rPr>
          <w:rFonts w:ascii="Arial" w:cs="Arial" w:eastAsia="Arial" w:hAnsi="Arial"/>
          <w:sz w:val="22"/>
          <w:szCs w:val="22"/>
          <w:color w:val="auto"/>
        </w:rPr>
      </w:pPr>
    </w:p>
    <w:p>
      <w:pPr>
        <w:ind w:right="480" w:firstLine="872"/>
        <w:spacing w:after="0" w:line="328" w:lineRule="auto"/>
        <w:tabs>
          <w:tab w:leader="none" w:pos="1805" w:val="left"/>
        </w:tabs>
        <w:numPr>
          <w:ilvl w:val="0"/>
          <w:numId w:val="78"/>
        </w:numPr>
        <w:rPr>
          <w:rFonts w:ascii="Arial" w:cs="Arial" w:eastAsia="Arial" w:hAnsi="Arial"/>
          <w:sz w:val="19"/>
          <w:szCs w:val="19"/>
          <w:color w:val="auto"/>
        </w:rPr>
      </w:pPr>
      <w:r>
        <w:rPr>
          <w:rFonts w:ascii="Arial" w:cs="Arial" w:eastAsia="Arial" w:hAnsi="Arial"/>
          <w:sz w:val="19"/>
          <w:szCs w:val="19"/>
          <w:color w:val="auto"/>
        </w:rPr>
        <w:t>“Disinterested Director” means, with respect to each Proceeding in respect of which indemnification is sought hereunder, a Director of the Corporation who is not and was not a party to such Proceeding;</w:t>
      </w:r>
    </w:p>
    <w:p>
      <w:pPr>
        <w:spacing w:after="0" w:line="104" w:lineRule="exact"/>
        <w:rPr>
          <w:rFonts w:ascii="Arial" w:cs="Arial" w:eastAsia="Arial" w:hAnsi="Arial"/>
          <w:sz w:val="19"/>
          <w:szCs w:val="19"/>
          <w:color w:val="auto"/>
        </w:rPr>
      </w:pPr>
    </w:p>
    <w:p>
      <w:pPr>
        <w:ind w:right="40" w:firstLine="872"/>
        <w:spacing w:after="0" w:line="246" w:lineRule="auto"/>
        <w:tabs>
          <w:tab w:leader="none" w:pos="1763" w:val="left"/>
        </w:tabs>
        <w:numPr>
          <w:ilvl w:val="0"/>
          <w:numId w:val="78"/>
        </w:numPr>
        <w:rPr>
          <w:rFonts w:ascii="Arial" w:cs="Arial" w:eastAsia="Arial" w:hAnsi="Arial"/>
          <w:sz w:val="21"/>
          <w:szCs w:val="21"/>
          <w:color w:val="auto"/>
        </w:rPr>
      </w:pPr>
      <w:r>
        <w:rPr>
          <w:rFonts w:ascii="Arial" w:cs="Arial" w:eastAsia="Arial" w:hAnsi="Arial"/>
          <w:sz w:val="21"/>
          <w:szCs w:val="21"/>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4" w:lineRule="exact"/>
        <w:rPr>
          <w:rFonts w:ascii="Arial" w:cs="Arial" w:eastAsia="Arial" w:hAnsi="Arial"/>
          <w:sz w:val="21"/>
          <w:szCs w:val="21"/>
          <w:color w:val="auto"/>
        </w:rPr>
      </w:pPr>
    </w:p>
    <w:p>
      <w:pPr>
        <w:ind w:left="1760" w:hanging="888"/>
        <w:spacing w:after="0"/>
        <w:tabs>
          <w:tab w:leader="none" w:pos="17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“Liabilities” means judgments, damages, liabilities, losses, penalties, excise taxes, fines and amounts paid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settlement;</w:t>
      </w:r>
    </w:p>
    <w:p>
      <w:pPr>
        <w:spacing w:after="0" w:line="188" w:lineRule="exact"/>
        <w:rPr>
          <w:rFonts w:ascii="Arial" w:cs="Arial" w:eastAsia="Arial" w:hAnsi="Arial"/>
          <w:sz w:val="19"/>
          <w:szCs w:val="19"/>
          <w:color w:val="auto"/>
        </w:rPr>
      </w:pPr>
    </w:p>
    <w:p>
      <w:pPr>
        <w:ind w:right="760" w:firstLine="872"/>
        <w:spacing w:after="0" w:line="250" w:lineRule="auto"/>
        <w:tabs>
          <w:tab w:leader="none" w:pos="1727"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“Non-Officer Employee” means any person who serves or has served as an employee or agent of the Corporation, but who is not or was not a Director or Officer;</w:t>
      </w:r>
    </w:p>
    <w:p>
      <w:pPr>
        <w:spacing w:after="0" w:line="174" w:lineRule="exact"/>
        <w:rPr>
          <w:rFonts w:ascii="Arial" w:cs="Arial" w:eastAsia="Arial" w:hAnsi="Arial"/>
          <w:sz w:val="22"/>
          <w:szCs w:val="22"/>
          <w:color w:val="auto"/>
        </w:rPr>
      </w:pPr>
    </w:p>
    <w:p>
      <w:pPr>
        <w:ind w:right="600" w:firstLine="872"/>
        <w:spacing w:after="0" w:line="250" w:lineRule="auto"/>
        <w:tabs>
          <w:tab w:leader="none" w:pos="1763" w:val="left"/>
        </w:tabs>
        <w:numPr>
          <w:ilvl w:val="0"/>
          <w:numId w:val="78"/>
        </w:numPr>
        <w:rPr>
          <w:rFonts w:ascii="Arial" w:cs="Arial" w:eastAsia="Arial" w:hAnsi="Arial"/>
          <w:sz w:val="22"/>
          <w:szCs w:val="22"/>
          <w:color w:val="auto"/>
        </w:rPr>
      </w:pPr>
      <w:r>
        <w:rPr>
          <w:rFonts w:ascii="Arial" w:cs="Arial" w:eastAsia="Arial" w:hAnsi="Arial"/>
          <w:sz w:val="22"/>
          <w:szCs w:val="22"/>
          <w:color w:val="auto"/>
        </w:rPr>
        <w:t>“Officer” means any person who serves or has served the Corporation as an officer of the Corporation appointed by the Board of Directors of the Corporation;</w:t>
      </w:r>
    </w:p>
    <w:p>
      <w:pPr>
        <w:spacing w:after="0" w:line="174" w:lineRule="exact"/>
        <w:rPr>
          <w:rFonts w:ascii="Arial" w:cs="Arial" w:eastAsia="Arial" w:hAnsi="Arial"/>
          <w:sz w:val="22"/>
          <w:szCs w:val="22"/>
          <w:color w:val="auto"/>
        </w:rPr>
      </w:pPr>
    </w:p>
    <w:p>
      <w:pPr>
        <w:ind w:right="60" w:firstLine="872"/>
        <w:spacing w:after="0"/>
        <w:tabs>
          <w:tab w:leader="none" w:pos="1763" w:val="left"/>
        </w:tabs>
        <w:numPr>
          <w:ilvl w:val="0"/>
          <w:numId w:val="78"/>
        </w:numPr>
        <w:rPr>
          <w:rFonts w:ascii="Arial" w:cs="Arial" w:eastAsia="Arial" w:hAnsi="Arial"/>
          <w:sz w:val="22"/>
          <w:szCs w:val="22"/>
          <w:color w:val="auto"/>
        </w:rPr>
      </w:pPr>
      <w:r>
        <w:rPr>
          <w:rFonts w:ascii="Arial" w:cs="Arial" w:eastAsia="Arial" w:hAnsi="Arial"/>
          <w:sz w:val="22"/>
          <w:szCs w:val="22"/>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86" w:lineRule="exact"/>
        <w:rPr>
          <w:rFonts w:ascii="Arial" w:cs="Arial" w:eastAsia="Arial" w:hAnsi="Arial"/>
          <w:sz w:val="22"/>
          <w:szCs w:val="22"/>
          <w:color w:val="auto"/>
        </w:rPr>
      </w:pPr>
    </w:p>
    <w:p>
      <w:pPr>
        <w:ind w:firstLine="872"/>
        <w:spacing w:after="0" w:line="235" w:lineRule="auto"/>
        <w:tabs>
          <w:tab w:leader="none" w:pos="1715" w:val="left"/>
        </w:tabs>
        <w:numPr>
          <w:ilvl w:val="0"/>
          <w:numId w:val="78"/>
        </w:numPr>
        <w:rPr>
          <w:rFonts w:ascii="Arial" w:cs="Arial" w:eastAsia="Arial" w:hAnsi="Arial"/>
          <w:sz w:val="22"/>
          <w:szCs w:val="22"/>
          <w:color w:val="auto"/>
        </w:rPr>
      </w:pPr>
      <w:r>
        <w:rPr>
          <w:rFonts w:ascii="Arial" w:cs="Arial" w:eastAsia="Arial" w:hAnsi="Arial"/>
          <w:sz w:val="22"/>
          <w:szCs w:val="22"/>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8"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Indemnification of Directors and Officers</w:t>
      </w:r>
      <w:r>
        <w:rPr>
          <w:rFonts w:ascii="Arial" w:cs="Arial" w:eastAsia="Arial" w:hAnsi="Arial"/>
          <w:sz w:val="19"/>
          <w:szCs w:val="19"/>
          <w:color w:val="auto"/>
        </w:rPr>
        <w:t>.</w:t>
      </w:r>
    </w:p>
    <w:p>
      <w:pPr>
        <w:spacing w:after="0" w:line="206" w:lineRule="exact"/>
        <w:rPr>
          <w:sz w:val="20"/>
          <w:szCs w:val="20"/>
          <w:color w:val="auto"/>
        </w:rPr>
      </w:pPr>
    </w:p>
    <w:p>
      <w:pPr>
        <w:ind w:right="160" w:firstLine="872"/>
        <w:spacing w:after="0" w:line="238" w:lineRule="auto"/>
        <w:tabs>
          <w:tab w:leader="none" w:pos="1751" w:val="left"/>
        </w:tabs>
        <w:numPr>
          <w:ilvl w:val="0"/>
          <w:numId w:val="79"/>
        </w:numPr>
        <w:rPr>
          <w:rFonts w:ascii="Arial" w:cs="Arial" w:eastAsia="Arial" w:hAnsi="Arial"/>
          <w:sz w:val="22"/>
          <w:szCs w:val="22"/>
          <w:color w:val="auto"/>
        </w:rPr>
      </w:pPr>
      <w:r>
        <w:rPr>
          <w:rFonts w:ascii="Arial" w:cs="Arial" w:eastAsia="Arial" w:hAnsi="Arial"/>
          <w:sz w:val="22"/>
          <w:szCs w:val="22"/>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09" w:name="page110"/>
    <w:bookmarkEnd w:id="109"/>
    <w:p>
      <w:pPr>
        <w:ind w:right="180"/>
        <w:spacing w:after="0" w:line="250" w:lineRule="auto"/>
        <w:rPr>
          <w:sz w:val="20"/>
          <w:szCs w:val="20"/>
          <w:color w:val="auto"/>
        </w:rPr>
      </w:pPr>
      <w:r>
        <w:rPr>
          <w:rFonts w:ascii="Arial" w:cs="Arial" w:eastAsia="Arial" w:hAnsi="Arial"/>
          <w:sz w:val="22"/>
          <w:szCs w:val="22"/>
          <w:color w:val="auto"/>
        </w:rPr>
        <w:t>provide broader indemnification rights than such law permitted the Corporation to provide prior to such amendment), and to the extent authorized in this Section 2.</w:t>
      </w:r>
    </w:p>
    <w:p>
      <w:pPr>
        <w:spacing w:after="0" w:line="175" w:lineRule="exact"/>
        <w:rPr>
          <w:sz w:val="20"/>
          <w:szCs w:val="20"/>
          <w:color w:val="auto"/>
        </w:rPr>
      </w:pPr>
    </w:p>
    <w:p>
      <w:pPr>
        <w:ind w:left="880" w:firstLine="789"/>
        <w:spacing w:after="0" w:line="275" w:lineRule="auto"/>
        <w:tabs>
          <w:tab w:leader="none" w:pos="257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Actions, Suits and Proceedings Other than By or In the Right of the Corporation</w:t>
      </w:r>
      <w:r>
        <w:rPr>
          <w:rFonts w:ascii="Arial" w:cs="Arial" w:eastAsia="Arial" w:hAnsi="Arial"/>
          <w:sz w:val="19"/>
          <w:szCs w:val="19"/>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57" w:lineRule="exact"/>
        <w:rPr>
          <w:rFonts w:ascii="Arial" w:cs="Arial" w:eastAsia="Arial" w:hAnsi="Arial"/>
          <w:sz w:val="19"/>
          <w:szCs w:val="19"/>
          <w:color w:val="auto"/>
        </w:rPr>
      </w:pPr>
    </w:p>
    <w:p>
      <w:pPr>
        <w:ind w:left="880" w:right="40" w:firstLine="789"/>
        <w:spacing w:after="0" w:line="272" w:lineRule="auto"/>
        <w:tabs>
          <w:tab w:leader="none" w:pos="257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Actions, Suits and Proceedings By or In the Right of the Corporation</w:t>
      </w:r>
      <w:r>
        <w:rPr>
          <w:rFonts w:ascii="Arial" w:cs="Arial" w:eastAsia="Arial" w:hAnsi="Arial"/>
          <w:sz w:val="19"/>
          <w:szCs w:val="19"/>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60" w:lineRule="exact"/>
        <w:rPr>
          <w:rFonts w:ascii="Arial" w:cs="Arial" w:eastAsia="Arial" w:hAnsi="Arial"/>
          <w:sz w:val="19"/>
          <w:szCs w:val="19"/>
          <w:color w:val="auto"/>
        </w:rPr>
      </w:pPr>
    </w:p>
    <w:p>
      <w:pPr>
        <w:ind w:left="880" w:right="20" w:firstLine="789"/>
        <w:spacing w:after="0"/>
        <w:tabs>
          <w:tab w:leader="none" w:pos="257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Survival of Rights</w:t>
      </w:r>
      <w:r>
        <w:rPr>
          <w:rFonts w:ascii="Arial" w:cs="Arial" w:eastAsia="Arial" w:hAnsi="Arial"/>
          <w:sz w:val="22"/>
          <w:szCs w:val="22"/>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86" w:lineRule="exact"/>
        <w:rPr>
          <w:rFonts w:ascii="Arial" w:cs="Arial" w:eastAsia="Arial" w:hAnsi="Arial"/>
          <w:sz w:val="22"/>
          <w:szCs w:val="22"/>
          <w:color w:val="auto"/>
        </w:rPr>
      </w:pPr>
    </w:p>
    <w:p>
      <w:pPr>
        <w:ind w:left="880" w:right="60" w:firstLine="789"/>
        <w:spacing w:after="0" w:line="248" w:lineRule="auto"/>
        <w:tabs>
          <w:tab w:leader="none" w:pos="2577"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Actions by Directors or Officers</w:t>
      </w:r>
      <w:r>
        <w:rPr>
          <w:rFonts w:ascii="Arial" w:cs="Arial" w:eastAsia="Arial" w:hAnsi="Arial"/>
          <w:sz w:val="21"/>
          <w:szCs w:val="21"/>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0" w:name="page111"/>
    <w:bookmarkEnd w:id="110"/>
    <w:p>
      <w:pPr>
        <w:ind w:right="40" w:firstLine="864"/>
        <w:spacing w:after="0" w:line="272"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Indemnification of Non-Officer Employees</w:t>
      </w:r>
      <w:r>
        <w:rPr>
          <w:rFonts w:ascii="Arial" w:cs="Arial" w:eastAsia="Arial" w:hAnsi="Arial"/>
          <w:sz w:val="19"/>
          <w:szCs w:val="19"/>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56" w:lineRule="exact"/>
        <w:rPr>
          <w:sz w:val="20"/>
          <w:szCs w:val="20"/>
          <w:color w:val="auto"/>
        </w:rPr>
      </w:pPr>
    </w:p>
    <w:p>
      <w:pPr>
        <w:ind w:right="60" w:firstLine="864"/>
        <w:spacing w:after="0" w:line="245"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Determination</w:t>
      </w:r>
      <w:r>
        <w:rPr>
          <w:rFonts w:ascii="Arial" w:cs="Arial" w:eastAsia="Arial" w:hAnsi="Arial"/>
          <w:sz w:val="21"/>
          <w:szCs w:val="21"/>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4"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Advancement of Expenses to Directors Prior to Final Disposition</w:t>
      </w:r>
      <w:r>
        <w:rPr>
          <w:rFonts w:ascii="Arial" w:cs="Arial" w:eastAsia="Arial" w:hAnsi="Arial"/>
          <w:sz w:val="19"/>
          <w:szCs w:val="19"/>
          <w:color w:val="auto"/>
        </w:rPr>
        <w:t>.</w:t>
      </w:r>
    </w:p>
    <w:p>
      <w:pPr>
        <w:spacing w:after="0" w:line="206" w:lineRule="exact"/>
        <w:rPr>
          <w:sz w:val="20"/>
          <w:szCs w:val="20"/>
          <w:color w:val="auto"/>
        </w:rPr>
      </w:pPr>
    </w:p>
    <w:p>
      <w:pPr>
        <w:ind w:firstLine="872"/>
        <w:spacing w:after="0" w:line="244" w:lineRule="auto"/>
        <w:tabs>
          <w:tab w:leader="none" w:pos="1751"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1" w:name="page112"/>
    <w:bookmarkEnd w:id="111"/>
    <w:p>
      <w:pPr>
        <w:ind w:firstLine="872"/>
        <w:spacing w:after="0" w:line="245" w:lineRule="auto"/>
        <w:tabs>
          <w:tab w:leader="none" w:pos="1763" w:val="left"/>
        </w:tabs>
        <w:numPr>
          <w:ilvl w:val="0"/>
          <w:numId w:val="82"/>
        </w:numPr>
        <w:rPr>
          <w:rFonts w:ascii="Arial" w:cs="Arial" w:eastAsia="Arial" w:hAnsi="Arial"/>
          <w:sz w:val="21"/>
          <w:szCs w:val="21"/>
          <w:color w:val="auto"/>
        </w:rPr>
      </w:pPr>
      <w:r>
        <w:rPr>
          <w:rFonts w:ascii="Arial" w:cs="Arial" w:eastAsia="Arial" w:hAnsi="Arial"/>
          <w:sz w:val="21"/>
          <w:szCs w:val="21"/>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4" w:lineRule="exact"/>
        <w:rPr>
          <w:rFonts w:ascii="Arial" w:cs="Arial" w:eastAsia="Arial" w:hAnsi="Arial"/>
          <w:sz w:val="21"/>
          <w:szCs w:val="21"/>
          <w:color w:val="auto"/>
        </w:rPr>
      </w:pPr>
    </w:p>
    <w:p>
      <w:pPr>
        <w:ind w:firstLine="872"/>
        <w:spacing w:after="0"/>
        <w:tabs>
          <w:tab w:leader="none" w:pos="175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86"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Advancement of Expenses to Officers and Non-Officer Employees Prior to Final Disposition</w:t>
      </w:r>
      <w:r>
        <w:rPr>
          <w:rFonts w:ascii="Arial" w:cs="Arial" w:eastAsia="Arial" w:hAnsi="Arial"/>
          <w:sz w:val="19"/>
          <w:szCs w:val="19"/>
          <w:color w:val="auto"/>
        </w:rPr>
        <w:t>.</w:t>
      </w:r>
    </w:p>
    <w:p>
      <w:pPr>
        <w:spacing w:after="0" w:line="206" w:lineRule="exact"/>
        <w:rPr>
          <w:sz w:val="20"/>
          <w:szCs w:val="20"/>
          <w:color w:val="auto"/>
        </w:rPr>
      </w:pPr>
    </w:p>
    <w:p>
      <w:pPr>
        <w:ind w:right="40" w:firstLine="872"/>
        <w:spacing w:after="0" w:line="275" w:lineRule="auto"/>
        <w:tabs>
          <w:tab w:leader="none" w:pos="175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57" w:lineRule="exact"/>
        <w:rPr>
          <w:rFonts w:ascii="Arial" w:cs="Arial" w:eastAsia="Arial" w:hAnsi="Arial"/>
          <w:sz w:val="19"/>
          <w:szCs w:val="19"/>
          <w:color w:val="auto"/>
        </w:rPr>
      </w:pPr>
    </w:p>
    <w:p>
      <w:pPr>
        <w:ind w:right="180" w:firstLine="872"/>
        <w:spacing w:after="0" w:line="257" w:lineRule="auto"/>
        <w:tabs>
          <w:tab w:leader="none" w:pos="1763"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69"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Contractual Nature of Rights</w:t>
      </w:r>
      <w:r>
        <w:rPr>
          <w:rFonts w:ascii="Arial" w:cs="Arial" w:eastAsia="Arial" w:hAnsi="Arial"/>
          <w:sz w:val="19"/>
          <w:szCs w:val="19"/>
          <w:color w:val="auto"/>
        </w:rPr>
        <w:t>.</w:t>
      </w:r>
    </w:p>
    <w:p>
      <w:pPr>
        <w:spacing w:after="0" w:line="206" w:lineRule="exact"/>
        <w:rPr>
          <w:sz w:val="20"/>
          <w:szCs w:val="20"/>
          <w:color w:val="auto"/>
        </w:rPr>
      </w:pPr>
    </w:p>
    <w:p>
      <w:pPr>
        <w:ind w:right="100" w:firstLine="872"/>
        <w:spacing w:after="0" w:line="279" w:lineRule="auto"/>
        <w:tabs>
          <w:tab w:leader="none" w:pos="1751"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2" w:name="page113"/>
    <w:bookmarkEnd w:id="112"/>
    <w:p>
      <w:pPr>
        <w:spacing w:after="0" w:line="279" w:lineRule="auto"/>
        <w:rPr>
          <w:sz w:val="20"/>
          <w:szCs w:val="20"/>
          <w:color w:val="auto"/>
        </w:rPr>
      </w:pPr>
      <w:r>
        <w:rPr>
          <w:rFonts w:ascii="Arial" w:cs="Arial" w:eastAsia="Arial" w:hAnsi="Arial"/>
          <w:sz w:val="19"/>
          <w:szCs w:val="19"/>
          <w:color w:val="auto"/>
        </w:rPr>
        <w:t>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50" w:lineRule="exact"/>
        <w:rPr>
          <w:sz w:val="20"/>
          <w:szCs w:val="20"/>
          <w:color w:val="auto"/>
        </w:rPr>
      </w:pPr>
    </w:p>
    <w:p>
      <w:pPr>
        <w:ind w:right="60" w:firstLine="872"/>
        <w:spacing w:after="0" w:line="245" w:lineRule="auto"/>
        <w:tabs>
          <w:tab w:leader="none" w:pos="1763"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4" w:lineRule="exact"/>
        <w:rPr>
          <w:rFonts w:ascii="Arial" w:cs="Arial" w:eastAsia="Arial" w:hAnsi="Arial"/>
          <w:sz w:val="21"/>
          <w:szCs w:val="21"/>
          <w:color w:val="auto"/>
        </w:rPr>
      </w:pPr>
    </w:p>
    <w:p>
      <w:pPr>
        <w:ind w:right="540" w:firstLine="872"/>
        <w:spacing w:after="0" w:line="328" w:lineRule="auto"/>
        <w:tabs>
          <w:tab w:leader="none" w:pos="1751"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5" w:lineRule="exact"/>
        <w:rPr>
          <w:sz w:val="20"/>
          <w:szCs w:val="20"/>
          <w:color w:val="auto"/>
        </w:rPr>
      </w:pPr>
    </w:p>
    <w:p>
      <w:pPr>
        <w:ind w:right="200" w:firstLine="864"/>
        <w:spacing w:after="0" w:line="238"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5" w:lineRule="exact"/>
        <w:rPr>
          <w:sz w:val="20"/>
          <w:szCs w:val="20"/>
          <w:color w:val="auto"/>
        </w:rPr>
      </w:pPr>
    </w:p>
    <w:p>
      <w:pPr>
        <w:ind w:right="180" w:firstLine="864"/>
        <w:spacing w:after="0" w:line="23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Insurance</w:t>
      </w:r>
      <w:r>
        <w:rPr>
          <w:rFonts w:ascii="Arial" w:cs="Arial" w:eastAsia="Arial" w:hAnsi="Arial"/>
          <w:sz w:val="22"/>
          <w:szCs w:val="22"/>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7"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Other Indemnification</w:t>
      </w:r>
      <w:r>
        <w:rPr>
          <w:rFonts w:ascii="Arial" w:cs="Arial" w:eastAsia="Arial" w:hAnsi="Arial"/>
          <w:sz w:val="19"/>
          <w:szCs w:val="19"/>
          <w:color w:val="auto"/>
        </w:rPr>
        <w:t>. The Corporation’s obligation, if any, to indemnify or provide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advancement of Expenses to any person under this Article V as a result of such person serving, at the request of the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a director, partner, trustee, officer, employee or agent of another corporation, partnership, joint venture, trust, employee benefit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plan or other enterprise shall be reduced by any amount such person may collect as indemnification or advancement of Expenses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from such other corporation, partnership, joint venture, trust, employee benefit plan or enterprise (the “Primary</w:t>
      </w:r>
    </w:p>
    <w:p>
      <w:pPr>
        <w:spacing w:after="0"/>
        <w:rPr>
          <w:sz w:val="20"/>
          <w:szCs w:val="20"/>
          <w:color w:val="auto"/>
        </w:rPr>
      </w:pPr>
      <w:r>
        <w:rPr>
          <w:rFonts w:ascii="Arial" w:cs="Arial" w:eastAsia="Arial" w:hAnsi="Arial"/>
          <w:sz w:val="19"/>
          <w:szCs w:val="19"/>
          <w:color w:val="auto"/>
        </w:rPr>
        <w:t>Indemnitor”). Any indemnification or advancement of Expenses under this Article V owed by the Corporation as a result of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person serving, at the request of the Corporation, as a director, partner, trustee, officer, employee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0" w:right="359" w:bottom="1440" w:gutter="0" w:footer="0" w:header="0"/>
        </w:sectPr>
      </w:pPr>
    </w:p>
    <w:bookmarkStart w:id="113" w:name="page114"/>
    <w:bookmarkEnd w:id="113"/>
    <w:p>
      <w:pPr>
        <w:ind w:right="60"/>
        <w:spacing w:after="0"/>
        <w:rPr>
          <w:sz w:val="20"/>
          <w:szCs w:val="20"/>
          <w:color w:val="auto"/>
        </w:rPr>
      </w:pPr>
      <w:r>
        <w:rPr>
          <w:rFonts w:ascii="Arial" w:cs="Arial" w:eastAsia="Arial" w:hAnsi="Arial"/>
          <w:sz w:val="22"/>
          <w:szCs w:val="22"/>
          <w:color w:val="auto"/>
        </w:rPr>
        <w:t>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VI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 Provisions</w:t>
      </w:r>
    </w:p>
    <w:p>
      <w:pPr>
        <w:spacing w:after="0" w:line="206"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Fiscal Year</w:t>
      </w:r>
      <w:r>
        <w:rPr>
          <w:rFonts w:ascii="Arial" w:cs="Arial" w:eastAsia="Arial" w:hAnsi="Arial"/>
          <w:sz w:val="19"/>
          <w:szCs w:val="19"/>
          <w:color w:val="auto"/>
        </w:rPr>
        <w:t>. The fiscal year of the Corporation shall be determined by the Board of Directors.</w:t>
      </w:r>
    </w:p>
    <w:p>
      <w:pPr>
        <w:spacing w:after="0" w:line="206"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Seal</w:t>
      </w:r>
      <w:r>
        <w:rPr>
          <w:rFonts w:ascii="Arial" w:cs="Arial" w:eastAsia="Arial" w:hAnsi="Arial"/>
          <w:sz w:val="19"/>
          <w:szCs w:val="19"/>
          <w:color w:val="auto"/>
        </w:rPr>
        <w:t>. The Board of Directors shall have power to adopt and alter the seal of the Corporation.</w:t>
      </w:r>
    </w:p>
    <w:p>
      <w:pPr>
        <w:spacing w:after="0" w:line="206"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Execution of Instruments</w:t>
      </w:r>
      <w:r>
        <w:rPr>
          <w:rFonts w:ascii="Arial" w:cs="Arial" w:eastAsia="Arial" w:hAnsi="Arial"/>
          <w:sz w:val="22"/>
          <w:szCs w:val="22"/>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Lead Director, if one is elected, the Chief Executive Officer, the President or the Treasurer or any other officer, employee or agent of the Corporation as the Board of Directors or the executive committee of the Board may authorize.</w:t>
      </w:r>
    </w:p>
    <w:p>
      <w:pPr>
        <w:spacing w:after="0" w:line="187" w:lineRule="exact"/>
        <w:rPr>
          <w:sz w:val="20"/>
          <w:szCs w:val="20"/>
          <w:color w:val="auto"/>
        </w:rPr>
      </w:pPr>
    </w:p>
    <w:p>
      <w:pPr>
        <w:ind w:firstLine="864"/>
        <w:spacing w:after="0" w:line="235"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Voting of Securities</w:t>
      </w:r>
      <w:r>
        <w:rPr>
          <w:rFonts w:ascii="Arial" w:cs="Arial" w:eastAsia="Arial" w:hAnsi="Arial"/>
          <w:sz w:val="22"/>
          <w:szCs w:val="22"/>
          <w:color w:val="auto"/>
        </w:rPr>
        <w:t>. Unless the Board of Directors otherwise provides, the Chairperson of the Board, if one is elected, the Lead Director, if one is elected, the Chief Executive Officer,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8" w:lineRule="exact"/>
        <w:rPr>
          <w:sz w:val="20"/>
          <w:szCs w:val="20"/>
          <w:color w:val="auto"/>
        </w:rPr>
      </w:pPr>
    </w:p>
    <w:p>
      <w:pPr>
        <w:ind w:right="300" w:firstLine="864"/>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Resident Agent</w:t>
      </w:r>
      <w:r>
        <w:rPr>
          <w:rFonts w:ascii="Arial" w:cs="Arial" w:eastAsia="Arial" w:hAnsi="Arial"/>
          <w:sz w:val="22"/>
          <w:szCs w:val="22"/>
          <w:color w:val="auto"/>
        </w:rPr>
        <w:t>. The Board of Directors may appoint a resident agent upon whom legal process may be served in any action or proceeding against the Corporation.</w:t>
      </w:r>
    </w:p>
    <w:p>
      <w:pPr>
        <w:spacing w:after="0" w:line="175" w:lineRule="exact"/>
        <w:rPr>
          <w:sz w:val="20"/>
          <w:szCs w:val="20"/>
          <w:color w:val="auto"/>
        </w:rPr>
      </w:pPr>
    </w:p>
    <w:p>
      <w:pPr>
        <w:ind w:firstLine="864"/>
        <w:spacing w:after="0" w:line="249"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Corporate Records</w:t>
      </w:r>
      <w:r>
        <w:rPr>
          <w:rFonts w:ascii="Arial" w:cs="Arial" w:eastAsia="Arial" w:hAnsi="Arial"/>
          <w:sz w:val="21"/>
          <w:szCs w:val="21"/>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78" w:lineRule="exact"/>
        <w:rPr>
          <w:sz w:val="20"/>
          <w:szCs w:val="20"/>
          <w:color w:val="auto"/>
        </w:rPr>
      </w:pPr>
    </w:p>
    <w:p>
      <w:pPr>
        <w:ind w:right="440" w:firstLine="864"/>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Certificate</w:t>
      </w:r>
      <w:r>
        <w:rPr>
          <w:rFonts w:ascii="Arial" w:cs="Arial" w:eastAsia="Arial" w:hAnsi="Arial"/>
          <w:sz w:val="22"/>
          <w:szCs w:val="22"/>
          <w:color w:val="auto"/>
        </w:rPr>
        <w:t>. All references in these Bylaws to the Certificate shall be deemed to refer to the Amended and Restated Certificate of Incorporation of the Corporation, as amended and/or restated and in effect from time to time.</w:t>
      </w:r>
    </w:p>
    <w:p>
      <w:pPr>
        <w:spacing w:after="0" w:line="186" w:lineRule="exact"/>
        <w:rPr>
          <w:sz w:val="20"/>
          <w:szCs w:val="20"/>
          <w:color w:val="auto"/>
        </w:rPr>
      </w:pPr>
    </w:p>
    <w:p>
      <w:pPr>
        <w:ind w:right="240" w:firstLine="864"/>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Exclusive Jurisdiction</w:t>
      </w:r>
      <w:r>
        <w:rPr>
          <w:rFonts w:ascii="Arial" w:cs="Arial" w:eastAsia="Arial" w:hAnsi="Arial"/>
          <w:sz w:val="22"/>
          <w:szCs w:val="22"/>
          <w:color w:val="auto"/>
        </w:rPr>
        <w:t>. Unless the Corporation consents in writing to the selection of an alternative forum, the Court of Chancery of the State of Delaware shall be the sole and exclusive forum for state law claims for (i) any derivative action or proceeding brought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14" w:name="page115"/>
    <w:bookmarkEnd w:id="114"/>
    <w:p>
      <w:pPr>
        <w:ind w:right="100"/>
        <w:spacing w:after="0" w:line="273" w:lineRule="auto"/>
        <w:rPr>
          <w:sz w:val="20"/>
          <w:szCs w:val="20"/>
          <w:color w:val="auto"/>
        </w:rPr>
      </w:pPr>
      <w:r>
        <w:rPr>
          <w:rFonts w:ascii="Arial" w:cs="Arial" w:eastAsia="Arial" w:hAnsi="Arial"/>
          <w:sz w:val="19"/>
          <w:szCs w:val="19"/>
          <w:color w:val="auto"/>
        </w:rPr>
        <w:t>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“Delaware Forum Provision”). The Delaware Forum Provision shall not apply to any claims arising under the Exchange Act or the Securities Act of 1933, as amended (the “Securities Act”). In addition, unless the Corporation consents in writing to the selection of an alternative forum, the United States District Court for the Northern District of California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Section 8.</w:t>
      </w:r>
    </w:p>
    <w:p>
      <w:pPr>
        <w:spacing w:after="0" w:line="161"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Amendment of Bylaws</w:t>
      </w:r>
      <w:r>
        <w:rPr>
          <w:rFonts w:ascii="Arial" w:cs="Arial" w:eastAsia="Arial" w:hAnsi="Arial"/>
          <w:sz w:val="19"/>
          <w:szCs w:val="19"/>
          <w:color w:val="auto"/>
        </w:rPr>
        <w:t>.</w:t>
      </w:r>
    </w:p>
    <w:p>
      <w:pPr>
        <w:spacing w:after="0" w:line="206" w:lineRule="exact"/>
        <w:rPr>
          <w:sz w:val="20"/>
          <w:szCs w:val="20"/>
          <w:color w:val="auto"/>
        </w:rPr>
      </w:pPr>
    </w:p>
    <w:p>
      <w:pPr>
        <w:ind w:right="140" w:firstLine="872"/>
        <w:spacing w:after="0" w:line="250" w:lineRule="auto"/>
        <w:tabs>
          <w:tab w:leader="none" w:pos="1751"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Amendment by Directors</w:t>
      </w:r>
      <w:r>
        <w:rPr>
          <w:rFonts w:ascii="Arial" w:cs="Arial" w:eastAsia="Arial" w:hAnsi="Arial"/>
          <w:sz w:val="22"/>
          <w:szCs w:val="22"/>
          <w:color w:val="auto"/>
        </w:rPr>
        <w:t>. Except as provided otherwise by law, these Bylaws may be amended or repealed by the Board of Directors by the affirmative vote of a majority of the directors then in office.</w:t>
      </w:r>
    </w:p>
    <w:p>
      <w:pPr>
        <w:spacing w:after="0" w:line="174" w:lineRule="exact"/>
        <w:rPr>
          <w:rFonts w:ascii="Arial" w:cs="Arial" w:eastAsia="Arial" w:hAnsi="Arial"/>
          <w:sz w:val="22"/>
          <w:szCs w:val="22"/>
          <w:color w:val="auto"/>
        </w:rPr>
      </w:pPr>
    </w:p>
    <w:p>
      <w:pPr>
        <w:ind w:firstLine="872"/>
        <w:spacing w:after="0" w:line="249" w:lineRule="auto"/>
        <w:tabs>
          <w:tab w:leader="none" w:pos="1763"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Amendment by Stockholders</w:t>
      </w:r>
      <w:r>
        <w:rPr>
          <w:rFonts w:ascii="Arial" w:cs="Arial" w:eastAsia="Arial" w:hAnsi="Arial"/>
          <w:sz w:val="21"/>
          <w:szCs w:val="21"/>
          <w:color w:val="auto"/>
        </w:rPr>
        <w:t>. Except as otherwise required by these Bylaws or by law, these Bylaws may be amended or repealed at any Annual Meeting, or special meeting of stockholders called for such purpose in accordance with these Bylaws, by the affirmative vote of not less than two thirds (2/3)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78" w:lineRule="exact"/>
        <w:rPr>
          <w:sz w:val="20"/>
          <w:szCs w:val="20"/>
          <w:color w:val="auto"/>
        </w:rPr>
      </w:pPr>
    </w:p>
    <w:p>
      <w:pPr>
        <w:ind w:right="440" w:firstLine="864"/>
        <w:spacing w:after="0" w:line="250"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Notices</w:t>
      </w:r>
      <w:r>
        <w:rPr>
          <w:rFonts w:ascii="Arial" w:cs="Arial" w:eastAsia="Arial" w:hAnsi="Arial"/>
          <w:sz w:val="21"/>
          <w:szCs w:val="21"/>
          <w:color w:val="auto"/>
        </w:rPr>
        <w:t>. If mailed, notice to stockholders shall be deemed given when deposited in the mail, postage prepaid, directed to the stockholder at such stockholder’s address as it appears on the records of the</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Corporation. Without limiting the manner by which notice otherwise may be given to stockholders, any notice to stockholders may be given by electronic transmission in the manner provided in Section 232 of the DGCL.</w:t>
      </w:r>
    </w:p>
    <w:p>
      <w:pPr>
        <w:spacing w:after="0" w:line="187" w:lineRule="exact"/>
        <w:rPr>
          <w:sz w:val="20"/>
          <w:szCs w:val="20"/>
          <w:color w:val="auto"/>
        </w:rPr>
      </w:pPr>
    </w:p>
    <w:p>
      <w:pPr>
        <w:ind w:right="140" w:firstLine="864"/>
        <w:spacing w:after="0" w:line="23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Waivers</w:t>
      </w:r>
      <w:r>
        <w:rPr>
          <w:rFonts w:ascii="Arial" w:cs="Arial" w:eastAsia="Arial" w:hAnsi="Arial"/>
          <w:sz w:val="22"/>
          <w:szCs w:val="22"/>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85" w:lineRule="exact"/>
        <w:rPr>
          <w:sz w:val="20"/>
          <w:szCs w:val="20"/>
          <w:color w:val="auto"/>
        </w:rPr>
      </w:pPr>
    </w:p>
    <w:p>
      <w:pPr>
        <w:ind w:right="900"/>
        <w:spacing w:after="0" w:line="250" w:lineRule="auto"/>
        <w:rPr>
          <w:sz w:val="20"/>
          <w:szCs w:val="20"/>
          <w:color w:val="auto"/>
        </w:rPr>
      </w:pPr>
      <w:r>
        <w:rPr>
          <w:rFonts w:ascii="Arial" w:cs="Arial" w:eastAsia="Arial" w:hAnsi="Arial"/>
          <w:sz w:val="22"/>
          <w:szCs w:val="22"/>
          <w:color w:val="auto"/>
        </w:rPr>
        <w:t>Adopted by the Board of Directors on May 6, 2020, subject to and effective upon the effectiveness of the Corporation’s Registration Statement on Form S-1 for its initial public offering.</w:t>
      </w:r>
    </w:p>
    <w:p>
      <w:pPr>
        <w:spacing w:after="0" w:line="175"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Adopted by the Stockholders on May 21, 2020, subject to and effective upon the effectiveness of the Corporation’s Registration Statement on Form S-1 for its initial public offering.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ACTIVE/99692273.5</w:t>
      </w:r>
    </w:p>
    <w:p>
      <w:pPr>
        <w:sectPr>
          <w:pgSz w:w="11900" w:h="16838" w:orient="portrait"/>
          <w:cols w:equalWidth="0" w:num="1">
            <w:col w:w="11220"/>
          </w:cols>
          <w:pgMar w:left="320" w:top="550" w:right="3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Bernard Coulie, certify that:</w:t>
      </w:r>
    </w:p>
    <w:p>
      <w:pPr>
        <w:spacing w:after="0" w:line="225"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Cummings, certify that:</w:t>
      </w:r>
    </w:p>
    <w:p>
      <w:pPr>
        <w:spacing w:after="0" w:line="225" w:lineRule="exact"/>
        <w:rPr>
          <w:sz w:val="20"/>
          <w:szCs w:val="20"/>
          <w:color w:val="auto"/>
        </w:rPr>
      </w:pPr>
    </w:p>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Pliant Therapeutics,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65" w:lineRule="exact"/>
        <w:rPr>
          <w:sz w:val="20"/>
          <w:szCs w:val="20"/>
          <w:color w:val="auto"/>
        </w:rPr>
      </w:pPr>
    </w:p>
    <w:p>
      <w:pPr>
        <w:ind w:left="500" w:right="460" w:hanging="492"/>
        <w:spacing w:after="0" w:line="308"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2020,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500" w:right="420" w:hanging="492"/>
        <w:spacing w:after="0" w:line="277"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Bernard Coulie,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Keith Cummings, M.D., MBA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ind w:firstLine="444"/>
        <w:spacing w:after="0" w:line="263"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2"/>
    </w:lvl>
  </w:abstractNum>
  <w:abstractNum w:abstractNumId="5">
    <w:nsid w:val="38437FDB"/>
    <w:multiLevelType w:val="hybridMultilevel"/>
    <w:lvl w:ilvl="0">
      <w:lvlJc w:val="left"/>
      <w:lvlText w:val="(%1)"/>
      <w:numFmt w:val="lowerRoman"/>
      <w:start w:val="3"/>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1."/>
      <w:numFmt w:val="decimal"/>
      <w:start w:val="7"/>
    </w:lvl>
  </w:abstractNum>
  <w:abstractNum w:abstractNumId="10">
    <w:nsid w:val="749ABB43"/>
    <w:multiLevelType w:val="hybridMultilevel"/>
    <w:lvl w:ilvl="0">
      <w:lvlJc w:val="left"/>
      <w:lvlText w:val="(%1)"/>
      <w:numFmt w:val="lowerRoman"/>
      <w:start w:val="4"/>
    </w:lvl>
  </w:abstractNum>
  <w:abstractNum w:abstractNumId="11">
    <w:nsid w:val="3DC240FB"/>
    <w:multiLevelType w:val="hybridMultilevel"/>
    <w:lvl w:ilvl="0">
      <w:lvlJc w:val="left"/>
      <w:lvlText w:val="%1."/>
      <w:numFmt w:val="decimal"/>
      <w:start w:val="13"/>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lowerRoman"/>
      <w:start w:val="2"/>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lowerRoman"/>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lowerRoman"/>
      <w:start w:val="4"/>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lowerRoman"/>
      <w:start w:val="1"/>
    </w:lvl>
  </w:abstractNum>
  <w:abstractNum w:abstractNumId="60">
    <w:nsid w:val="7BD3EE7B"/>
    <w:multiLevelType w:val="hybridMultilevel"/>
    <w:lvl w:ilvl="0">
      <w:lvlJc w:val="left"/>
      <w:lvlText w:val="%1."/>
      <w:numFmt w:val="upperLetter"/>
      <w:start w:val="1"/>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upperLetter"/>
      <w:start w:val="2"/>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4"/>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lowerLetter"/>
      <w:start w:val="1"/>
    </w:lvl>
    <w:lvl w:ilvl="1">
      <w:lvlJc w:val="left"/>
      <w:lvlText w:val="(%2)"/>
      <w:numFmt w:val="decimal"/>
      <w:start w:val="1"/>
    </w:lvl>
  </w:abstractNum>
  <w:abstractNum w:abstractNumId="68">
    <w:nsid w:val="1A32234B"/>
    <w:multiLevelType w:val="hybridMultilevel"/>
    <w:lvl w:ilvl="0">
      <w:lvlJc w:val="left"/>
      <w:lvlText w:val="(%1)"/>
      <w:numFmt w:val="decimal"/>
      <w:start w:val="2"/>
    </w:lvl>
    <w:lvl w:ilvl="1">
      <w:lvlJc w:val="left"/>
      <w:lvlText w:val="(%2)"/>
      <w:numFmt w:val="lowerRoman"/>
      <w:start w:val="5"/>
    </w:lvl>
    <w:lvl w:ilvl="2">
      <w:lvlJc w:val="left"/>
      <w:lvlText w:val="(%3)"/>
      <w:numFmt w:val="upperLetter"/>
      <w:start w:val="1"/>
    </w:lvl>
  </w:abstractNum>
  <w:abstractNum w:abstractNumId="69">
    <w:nsid w:val="3B0FD379"/>
    <w:multiLevelType w:val="hybridMultilevel"/>
    <w:lvl w:ilvl="0">
      <w:lvlJc w:val="left"/>
      <w:lvlText w:val="(%1)"/>
      <w:numFmt w:val="upperLetter"/>
      <w:start w:val="2"/>
    </w:lvl>
  </w:abstractNum>
  <w:abstractNum w:abstractNumId="70">
    <w:nsid w:val="68EB2F63"/>
    <w:multiLevelType w:val="hybridMultilevel"/>
    <w:lvl w:ilvl="0">
      <w:lvlJc w:val="left"/>
      <w:lvlText w:val="(%1)"/>
      <w:numFmt w:val="upperLetter"/>
      <w:start w:val="4"/>
    </w:lvl>
  </w:abstractNum>
  <w:abstractNum w:abstractNumId="71">
    <w:nsid w:val="4962813B"/>
    <w:multiLevelType w:val="hybridMultilevel"/>
    <w:lvl w:ilvl="0">
      <w:lvlJc w:val="left"/>
      <w:lvlText w:val="(%1)"/>
      <w:numFmt w:val="lowerRoman"/>
      <w:start w:val="1"/>
    </w:lvl>
  </w:abstractNum>
  <w:abstractNum w:abstractNumId="72">
    <w:nsid w:val="60B6DF70"/>
    <w:multiLevelType w:val="hybridMultilevel"/>
    <w:lvl w:ilvl="0">
      <w:lvlJc w:val="left"/>
      <w:lvlText w:val="%1"/>
      <w:numFmt w:val="lowerLetter"/>
      <w:start w:val="1"/>
    </w:lvl>
    <w:lvl w:ilvl="1">
      <w:lvlJc w:val="left"/>
      <w:lvlText w:val="(%2)"/>
      <w:numFmt w:val="decimal"/>
      <w:start w:val="3"/>
    </w:lvl>
  </w:abstractNum>
  <w:abstractNum w:abstractNumId="73">
    <w:nsid w:val="6A5EE64"/>
    <w:multiLevelType w:val="hybridMultilevel"/>
    <w:lvl w:ilvl="0">
      <w:lvlJc w:val="left"/>
      <w:lvlText w:val="(%1)"/>
      <w:numFmt w:val="lowerLetter"/>
      <w:start w:val="2"/>
    </w:lvl>
    <w:lvl w:ilvl="1">
      <w:lvlJc w:val="left"/>
      <w:lvlText w:val="(%2)"/>
      <w:numFmt w:val="decimal"/>
      <w:start w:val="1"/>
    </w:lvl>
  </w:abstractNum>
  <w:abstractNum w:abstractNumId="74">
    <w:nsid w:val="14330624"/>
    <w:multiLevelType w:val="hybridMultilevel"/>
    <w:lvl w:ilvl="0">
      <w:lvlJc w:val="left"/>
      <w:lvlText w:val="(%1)"/>
      <w:numFmt w:val="decimal"/>
      <w:start w:val="2"/>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2"/>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lowerLetter"/>
      <w:start w:val="2"/>
    </w:lvl>
  </w:abstractNum>
  <w:abstractNum w:abstractNumId="82">
    <w:nsid w:val="94211F2"/>
    <w:multiLevelType w:val="hybridMultilevel"/>
    <w:lvl w:ilvl="0">
      <w:lvlJc w:val="left"/>
      <w:lvlText w:val="(%1)"/>
      <w:numFmt w:val="lowerLetter"/>
      <w:start w:val="1"/>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1)"/>
      <w:numFmt w:val="lowerLetter"/>
      <w:start w:val="2"/>
    </w:lvl>
  </w:abstractNum>
  <w:abstractNum w:abstractNumId="85">
    <w:nsid w:val="4C04A8AF"/>
    <w:multiLevelType w:val="hybridMultilevel"/>
    <w:lvl w:ilvl="0">
      <w:lvlJc w:val="left"/>
      <w:lvlText w:val="(%1)"/>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01" Type="http://schemas.openxmlformats.org/officeDocument/2006/relationships/hyperlink" Target="http://www.sec.gov/Archives/edgar/data/1746473/000119312520150643/d729258dex41.htm" TargetMode="External"/><Relationship Id="rId102" Type="http://schemas.openxmlformats.org/officeDocument/2006/relationships/hyperlink" Target="http://www.sec.gov/Archives/edgar/data/1746473/000119312520150643/d729258dex102.htm" TargetMode="External"/><Relationship Id="rId103" Type="http://schemas.openxmlformats.org/officeDocument/2006/relationships/hyperlink" Target="http://www.sec.gov/Archives/edgar/data/1746473/000119312520150643/d729258dex103.htm" TargetMode="External"/><Relationship Id="rId104" Type="http://schemas.openxmlformats.org/officeDocument/2006/relationships/hyperlink" Target="http://www.sec.gov/Archives/edgar/data/1746473/000119312520137876/d729258dex104.htm" TargetMode="External"/><Relationship Id="rId105" Type="http://schemas.openxmlformats.org/officeDocument/2006/relationships/hyperlink" Target="http://www.sec.gov/Archives/edgar/data/1746473/000119312520150643/d729258dex106.htm" TargetMode="External"/><Relationship Id="rId106" Type="http://schemas.openxmlformats.org/officeDocument/2006/relationships/hyperlink" Target="http://www.sec.gov/Archives/edgar/data/1746473/000119312520137876/d729258dex107.htm" TargetMode="External"/><Relationship Id="rId107" Type="http://schemas.openxmlformats.org/officeDocument/2006/relationships/hyperlink" Target="http://www.sec.gov/Archives/edgar/data/1746473/000119312520137876/d729258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2020-08-11T15:27:08Z</dcterms:created>
  <dcterms:modified xsi:type="dcterms:W3CDTF">2020-08-11T15:27:08Z</dcterms:modified>
</cp:coreProperties>
</file>