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768350</wp:posOffset>
            </wp:positionV>
            <wp:extent cx="70675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792480</wp:posOffset>
            </wp:positionV>
            <wp:extent cx="7067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755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380" w:lineRule="exact"/>
        <w:rPr>
          <w:sz w:val="24"/>
          <w:szCs w:val="24"/>
          <w:color w:val="auto"/>
        </w:rPr>
      </w:pPr>
    </w:p>
    <w:p>
      <w:pPr>
        <w:ind w:left="820" w:hanging="801"/>
        <w:spacing w:after="0"/>
        <w:tabs>
          <w:tab w:leader="none" w:pos="82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225" w:lineRule="exact"/>
        <w:rPr>
          <w:sz w:val="24"/>
          <w:szCs w:val="24"/>
          <w:color w:val="auto"/>
        </w:rPr>
      </w:pPr>
    </w:p>
    <w:p>
      <w:pPr>
        <w:ind w:left="820" w:hanging="801"/>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9" w:lineRule="exact"/>
        <w:rPr>
          <w:sz w:val="24"/>
          <w:szCs w:val="24"/>
          <w:color w:val="auto"/>
        </w:rPr>
      </w:pPr>
    </w:p>
    <w:p>
      <w:pPr>
        <w:ind w:left="400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3926840</wp:posOffset>
            </wp:positionH>
            <wp:positionV relativeFrom="paragraph">
              <wp:posOffset>-7620</wp:posOffset>
            </wp:positionV>
            <wp:extent cx="681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001-39303</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PLIANT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18" w:lineRule="exact"/>
        <w:rPr>
          <w:sz w:val="24"/>
          <w:szCs w:val="24"/>
          <w:color w:val="auto"/>
        </w:rPr>
      </w:pPr>
    </w:p>
    <w:tbl>
      <w:tblPr>
        <w:tblLayout w:type="fixed"/>
        <w:tblInd w:w="1560" w:type="dxa"/>
        <w:tblCellMar>
          <w:top w:w="0" w:type="dxa"/>
          <w:left w:w="0" w:type="dxa"/>
          <w:bottom w:w="0" w:type="dxa"/>
          <w:right w:w="0" w:type="dxa"/>
        </w:tblCellMar>
      </w:tblPr>
      <w:tr>
        <w:trPr>
          <w:trHeight w:val="213"/>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Delaware</w:t>
            </w:r>
          </w:p>
        </w:tc>
        <w:tc>
          <w:tcPr>
            <w:tcW w:w="3120" w:type="dxa"/>
            <w:vAlign w:val="bottom"/>
          </w:tcPr>
          <w:p>
            <w:pPr>
              <w:jc w:val="right"/>
              <w:ind w:right="45"/>
              <w:spacing w:after="0"/>
              <w:rPr>
                <w:sz w:val="20"/>
                <w:szCs w:val="20"/>
                <w:color w:val="auto"/>
              </w:rPr>
            </w:pPr>
            <w:r>
              <w:rPr>
                <w:rFonts w:ascii="Arial" w:cs="Arial" w:eastAsia="Arial" w:hAnsi="Arial"/>
                <w:sz w:val="17"/>
                <w:szCs w:val="17"/>
                <w:b w:val="1"/>
                <w:bCs w:val="1"/>
                <w:color w:val="auto"/>
              </w:rPr>
              <w:t>47-4272481</w:t>
            </w:r>
          </w:p>
        </w:tc>
      </w:tr>
      <w:tr>
        <w:trPr>
          <w:trHeight w:val="175"/>
        </w:trPr>
        <w:tc>
          <w:tcPr>
            <w:tcW w:w="4300" w:type="dxa"/>
            <w:vAlign w:val="bottom"/>
          </w:tcPr>
          <w:p>
            <w:pPr>
              <w:jc w:val="center"/>
              <w:ind w:right="1964"/>
              <w:spacing w:after="0"/>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91"/>
              </w:rPr>
              <w:t>(I.R.S. Employer</w:t>
            </w:r>
          </w:p>
        </w:tc>
      </w:tr>
      <w:tr>
        <w:trPr>
          <w:trHeight w:val="178"/>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Identification No.)</w:t>
            </w:r>
          </w:p>
        </w:tc>
      </w:tr>
      <w:tr>
        <w:trPr>
          <w:trHeight w:val="224"/>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260 Littlefield Avenue</w:t>
            </w:r>
          </w:p>
        </w:tc>
        <w:tc>
          <w:tcPr>
            <w:tcW w:w="3120" w:type="dxa"/>
            <w:vAlign w:val="bottom"/>
          </w:tcPr>
          <w:p>
            <w:pPr>
              <w:spacing w:after="0"/>
              <w:rPr>
                <w:sz w:val="19"/>
                <w:szCs w:val="19"/>
                <w:color w:val="auto"/>
              </w:rPr>
            </w:pPr>
          </w:p>
        </w:tc>
      </w:tr>
      <w:tr>
        <w:trPr>
          <w:trHeight w:val="213"/>
        </w:trPr>
        <w:tc>
          <w:tcPr>
            <w:tcW w:w="4300" w:type="dxa"/>
            <w:vAlign w:val="bottom"/>
          </w:tcPr>
          <w:p>
            <w:pPr>
              <w:jc w:val="center"/>
              <w:ind w:right="1964"/>
              <w:spacing w:after="0"/>
              <w:rPr>
                <w:sz w:val="20"/>
                <w:szCs w:val="20"/>
                <w:color w:val="auto"/>
              </w:rPr>
            </w:pPr>
            <w:r>
              <w:rPr>
                <w:rFonts w:ascii="Arial" w:cs="Arial" w:eastAsia="Arial" w:hAnsi="Arial"/>
                <w:sz w:val="17"/>
                <w:szCs w:val="17"/>
                <w:b w:val="1"/>
                <w:bCs w:val="1"/>
                <w:color w:val="auto"/>
                <w:w w:val="89"/>
              </w:rPr>
              <w:t>South San Francisco, CA</w:t>
            </w:r>
          </w:p>
        </w:tc>
        <w:tc>
          <w:tcPr>
            <w:tcW w:w="3120" w:type="dxa"/>
            <w:vAlign w:val="bottom"/>
          </w:tcPr>
          <w:p>
            <w:pPr>
              <w:jc w:val="right"/>
              <w:ind w:right="245"/>
              <w:spacing w:after="0"/>
              <w:rPr>
                <w:sz w:val="20"/>
                <w:szCs w:val="20"/>
                <w:color w:val="auto"/>
              </w:rPr>
            </w:pPr>
            <w:r>
              <w:rPr>
                <w:rFonts w:ascii="Arial" w:cs="Arial" w:eastAsia="Arial" w:hAnsi="Arial"/>
                <w:sz w:val="17"/>
                <w:szCs w:val="17"/>
                <w:b w:val="1"/>
                <w:bCs w:val="1"/>
                <w:color w:val="auto"/>
              </w:rPr>
              <w:t>94080</w:t>
            </w:r>
          </w:p>
        </w:tc>
      </w:tr>
      <w:tr>
        <w:trPr>
          <w:trHeight w:val="175"/>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(Zip Code)</w:t>
            </w:r>
          </w:p>
        </w:tc>
      </w:tr>
    </w:tbl>
    <w:p>
      <w:pPr>
        <w:spacing w:after="0" w:line="169"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1740" w:type="dxa"/>
            <w:vAlign w:val="bottom"/>
            <w:tcBorders>
              <w:top w:val="single" w:sz="8" w:color="auto"/>
              <w:right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96"/>
              </w:rPr>
              <w:t>Trading</w:t>
            </w:r>
          </w:p>
        </w:tc>
        <w:tc>
          <w:tcPr>
            <w:tcW w:w="4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Symbol</w:t>
            </w:r>
          </w:p>
        </w:tc>
        <w:tc>
          <w:tcPr>
            <w:tcW w:w="47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PLRX</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40" w:firstLine="459"/>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31"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28" w:lineRule="exact"/>
        <w:rPr>
          <w:sz w:val="24"/>
          <w:szCs w:val="24"/>
          <w:color w:val="auto"/>
        </w:rPr>
      </w:pPr>
    </w:p>
    <w:p>
      <w:pPr>
        <w:ind w:right="320" w:firstLine="459"/>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Accelerated filer</w:t>
            </w:r>
          </w:p>
        </w:tc>
        <w:tc>
          <w:tcPr>
            <w:tcW w:w="78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480" w:type="dxa"/>
            <w:vAlign w:val="bottom"/>
          </w:tcPr>
          <w:p>
            <w:pPr>
              <w:spacing w:after="0"/>
              <w:rPr>
                <w:sz w:val="20"/>
                <w:szCs w:val="20"/>
                <w:color w:val="auto"/>
              </w:rPr>
            </w:pPr>
            <w:r>
              <w:rPr>
                <w:rFonts w:ascii="Arial" w:cs="Arial" w:eastAsia="Arial" w:hAnsi="Arial"/>
                <w:sz w:val="17"/>
                <w:szCs w:val="17"/>
                <w:color w:val="auto"/>
              </w:rPr>
              <w:t>Non-accelerated filer</w:t>
            </w:r>
          </w:p>
        </w:tc>
        <w:tc>
          <w:tcPr>
            <w:tcW w:w="27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140" w:firstLine="459"/>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9" w:lineRule="exact"/>
        <w:rPr>
          <w:sz w:val="24"/>
          <w:szCs w:val="24"/>
          <w:color w:val="auto"/>
        </w:rPr>
      </w:pPr>
    </w:p>
    <w:p>
      <w:pPr>
        <w:ind w:left="1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ind w:left="460"/>
        <w:spacing w:after="0"/>
        <w:rPr>
          <w:sz w:val="20"/>
          <w:szCs w:val="20"/>
          <w:color w:val="auto"/>
        </w:rPr>
      </w:pPr>
      <w:r>
        <w:rPr>
          <w:rFonts w:ascii="Arial" w:cs="Arial" w:eastAsia="Arial" w:hAnsi="Arial"/>
          <w:sz w:val="17"/>
          <w:szCs w:val="17"/>
          <w:color w:val="auto"/>
        </w:rPr>
        <w:t>As of August 5, 2022, the registrant had 48,681,962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695960</wp:posOffset>
            </wp:positionV>
            <wp:extent cx="716534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102235</wp:posOffset>
            </wp:positionV>
            <wp:extent cx="706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126365</wp:posOffset>
            </wp:positionV>
            <wp:extent cx="706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80" w:type="dxa"/>
            <w:vAlign w:val="bottom"/>
            <w:gridSpan w:val="7"/>
          </w:tcPr>
          <w:p>
            <w:pPr>
              <w:ind w:left="6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19"/>
                <w:szCs w:val="19"/>
                <w:color w:val="auto"/>
              </w:rPr>
            </w:pPr>
          </w:p>
        </w:tc>
      </w:tr>
      <w:tr>
        <w:trPr>
          <w:trHeight w:val="294"/>
        </w:trPr>
        <w:tc>
          <w:tcPr>
            <w:tcW w:w="1200" w:type="dxa"/>
            <w:vAlign w:val="bottom"/>
            <w:gridSpan w:val="2"/>
          </w:tcPr>
          <w:p>
            <w:pPr>
              <w:spacing w:after="0"/>
              <w:rPr>
                <w:rFonts w:ascii="Arial" w:cs="Arial" w:eastAsia="Arial" w:hAnsi="Arial"/>
                <w:sz w:val="17"/>
                <w:szCs w:val="17"/>
                <w:b w:val="1"/>
                <w:bCs w:val="1"/>
                <w:color w:val="auto"/>
              </w:rPr>
            </w:pPr>
            <w:hyperlink w:anchor="page6">
              <w:r>
                <w:rPr>
                  <w:rFonts w:ascii="Arial" w:cs="Arial" w:eastAsia="Arial" w:hAnsi="Arial"/>
                  <w:sz w:val="17"/>
                  <w:szCs w:val="17"/>
                  <w:b w:val="1"/>
                  <w:bCs w:val="1"/>
                  <w:color w:val="auto"/>
                </w:rPr>
                <w:t>PART I.</w:t>
              </w:r>
            </w:hyperlink>
          </w:p>
        </w:tc>
        <w:tc>
          <w:tcPr>
            <w:tcW w:w="2140" w:type="dxa"/>
            <w:vAlign w:val="bottom"/>
            <w:tcBorders>
              <w:bottom w:val="single" w:sz="8" w:color="0000FF"/>
            </w:tcBorders>
            <w:gridSpan w:val="8"/>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FINANCIAL INFORMATION</w:t>
              </w:r>
            </w:hyperlink>
          </w:p>
        </w:tc>
        <w:tc>
          <w:tcPr>
            <w:tcW w:w="7040" w:type="dxa"/>
            <w:vAlign w:val="bottom"/>
            <w:gridSpan w:val="9"/>
          </w:tcPr>
          <w:p>
            <w:pPr>
              <w:spacing w:after="0"/>
              <w:rPr>
                <w:sz w:val="24"/>
                <w:szCs w:val="24"/>
                <w:color w:val="auto"/>
              </w:rPr>
            </w:pPr>
          </w:p>
        </w:tc>
        <w:tc>
          <w:tcPr>
            <w:tcW w:w="80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7</w:t>
              </w:r>
            </w:hyperlink>
          </w:p>
        </w:tc>
      </w:tr>
      <w:tr>
        <w:trPr>
          <w:trHeight w:val="349"/>
        </w:trPr>
        <w:tc>
          <w:tcPr>
            <w:tcW w:w="1200" w:type="dxa"/>
            <w:vAlign w:val="bottom"/>
            <w:gridSpan w:val="2"/>
          </w:tcPr>
          <w:p>
            <w:pPr>
              <w:spacing w:after="0"/>
              <w:rPr>
                <w:rFonts w:ascii="Arial" w:cs="Arial" w:eastAsia="Arial" w:hAnsi="Arial"/>
                <w:sz w:val="17"/>
                <w:szCs w:val="17"/>
                <w:color w:val="auto"/>
              </w:rPr>
            </w:pPr>
            <w:hyperlink w:anchor="page7">
              <w:r>
                <w:rPr>
                  <w:rFonts w:ascii="Arial" w:cs="Arial" w:eastAsia="Arial" w:hAnsi="Arial"/>
                  <w:sz w:val="17"/>
                  <w:szCs w:val="17"/>
                  <w:color w:val="auto"/>
                </w:rPr>
                <w:t>Item 1.</w:t>
              </w:r>
            </w:hyperlink>
          </w:p>
        </w:tc>
        <w:tc>
          <w:tcPr>
            <w:tcW w:w="9180" w:type="dxa"/>
            <w:vAlign w:val="bottom"/>
            <w:gridSpan w:val="17"/>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Financial Statements</w:t>
              </w:r>
            </w:hyperlink>
          </w:p>
        </w:tc>
        <w:tc>
          <w:tcPr>
            <w:tcW w:w="80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40" w:type="dxa"/>
            <w:vAlign w:val="bottom"/>
            <w:tcBorders>
              <w:bottom w:val="single" w:sz="8" w:color="0000FF"/>
            </w:tcBorders>
            <w:gridSpan w:val="13"/>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 xml:space="preserve">Condensed Balance Sheets as June </w:t>
              </w:r>
            </w:hyperlink>
            <w:r>
              <w:rPr>
                <w:rFonts w:ascii="Arial" w:cs="Arial" w:eastAsia="Arial" w:hAnsi="Arial"/>
                <w:sz w:val="17"/>
                <w:szCs w:val="17"/>
                <w:color w:val="0000FF"/>
                <w:w w:val="88"/>
              </w:rPr>
              <w:t xml:space="preserve">30, </w:t>
            </w:r>
            <w:hyperlink w:anchor="page7">
              <w:r>
                <w:rPr>
                  <w:rFonts w:ascii="Arial" w:cs="Arial" w:eastAsia="Arial" w:hAnsi="Arial"/>
                  <w:sz w:val="17"/>
                  <w:szCs w:val="17"/>
                  <w:color w:val="0000FF"/>
                  <w:w w:val="88"/>
                </w:rPr>
                <w:t>2022 (Unaudited) and December 31, 2021</w:t>
              </w:r>
            </w:hyperlink>
          </w:p>
        </w:tc>
        <w:tc>
          <w:tcPr>
            <w:tcW w:w="3640" w:type="dxa"/>
            <w:vAlign w:val="bottom"/>
            <w:gridSpan w:val="4"/>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80" w:type="dxa"/>
            <w:vAlign w:val="bottom"/>
            <w:tcBorders>
              <w:bottom w:val="single" w:sz="8" w:color="0000FF"/>
            </w:tcBorders>
            <w:gridSpan w:val="1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 xml:space="preserve">Condensed Statements of Operations and Comprehensive Loss for the three and six months ended June </w:t>
              </w:r>
            </w:hyperlink>
            <w:r>
              <w:rPr>
                <w:rFonts w:ascii="Arial" w:cs="Arial" w:eastAsia="Arial" w:hAnsi="Arial"/>
                <w:sz w:val="17"/>
                <w:szCs w:val="17"/>
                <w:color w:val="0000FF"/>
                <w:w w:val="88"/>
              </w:rPr>
              <w:t xml:space="preserve">30, </w:t>
            </w:r>
            <w:hyperlink w:anchor="page7">
              <w:r>
                <w:rPr>
                  <w:rFonts w:ascii="Arial" w:cs="Arial" w:eastAsia="Arial" w:hAnsi="Arial"/>
                  <w:sz w:val="17"/>
                  <w:szCs w:val="17"/>
                  <w:color w:val="0000FF"/>
                  <w:w w:val="88"/>
                </w:rPr>
                <w:t>2022 and 2021 (Unaudited)</w:t>
              </w:r>
            </w:hyperlink>
          </w:p>
        </w:tc>
        <w:tc>
          <w:tcPr>
            <w:tcW w:w="80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8</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80" w:type="dxa"/>
            <w:vAlign w:val="bottom"/>
            <w:gridSpan w:val="17"/>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 xml:space="preserve">Condensed Statements of Stockholders’ Equity for the three and six months ended June </w:t>
              </w:r>
            </w:hyperlink>
            <w:r>
              <w:rPr>
                <w:rFonts w:ascii="Arial" w:cs="Arial" w:eastAsia="Arial" w:hAnsi="Arial"/>
                <w:sz w:val="17"/>
                <w:szCs w:val="17"/>
                <w:color w:val="0000FF"/>
              </w:rPr>
              <w:t xml:space="preserve">30, </w:t>
            </w:r>
            <w:hyperlink w:anchor="page8">
              <w:r>
                <w:rPr>
                  <w:rFonts w:ascii="Arial" w:cs="Arial" w:eastAsia="Arial" w:hAnsi="Arial"/>
                  <w:sz w:val="17"/>
                  <w:szCs w:val="17"/>
                  <w:color w:val="0000FF"/>
                </w:rPr>
                <w:t>2022 and 2021 (Unaudited)</w:t>
              </w:r>
            </w:hyperlink>
          </w:p>
        </w:tc>
        <w:tc>
          <w:tcPr>
            <w:tcW w:w="80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9</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20" w:type="dxa"/>
            <w:vAlign w:val="bottom"/>
            <w:tcBorders>
              <w:top w:val="single" w:sz="8" w:color="0000FF"/>
              <w:bottom w:val="single" w:sz="8" w:color="0000FF"/>
            </w:tcBorders>
            <w:gridSpan w:val="15"/>
          </w:tcPr>
          <w:p>
            <w:pPr>
              <w:spacing w:after="0"/>
              <w:rPr>
                <w:rFonts w:ascii="Arial" w:cs="Arial" w:eastAsia="Arial" w:hAnsi="Arial"/>
                <w:sz w:val="17"/>
                <w:szCs w:val="17"/>
                <w:color w:val="0000FF"/>
                <w:w w:val="89"/>
              </w:rPr>
            </w:pPr>
            <w:hyperlink w:anchor="page10">
              <w:r>
                <w:rPr>
                  <w:rFonts w:ascii="Arial" w:cs="Arial" w:eastAsia="Arial" w:hAnsi="Arial"/>
                  <w:sz w:val="17"/>
                  <w:szCs w:val="17"/>
                  <w:color w:val="0000FF"/>
                  <w:w w:val="89"/>
                </w:rPr>
                <w:t>Condensed Statements of Cash Flows for the six months ended June 30, 2022 and 2021 (Unaudited)</w:t>
              </w:r>
            </w:hyperlink>
          </w:p>
        </w:tc>
        <w:tc>
          <w:tcPr>
            <w:tcW w:w="1300" w:type="dxa"/>
            <w:vAlign w:val="bottom"/>
            <w:tcBorders>
              <w:top w:val="single" w:sz="8" w:color="0000FF"/>
            </w:tcBorders>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10">
              <w:r>
                <w:rPr>
                  <w:rFonts w:ascii="Arial" w:cs="Arial" w:eastAsia="Arial" w:hAnsi="Arial"/>
                  <w:sz w:val="17"/>
                  <w:szCs w:val="17"/>
                  <w:color w:val="auto"/>
                </w:rPr>
                <w:t>11</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00" w:type="dxa"/>
            <w:vAlign w:val="bottom"/>
            <w:tcBorders>
              <w:bottom w:val="single" w:sz="8" w:color="0000FF"/>
            </w:tcBorders>
            <w:gridSpan w:val="10"/>
          </w:tcPr>
          <w:p>
            <w:pPr>
              <w:spacing w:after="0"/>
              <w:rPr>
                <w:rFonts w:ascii="Arial" w:cs="Arial" w:eastAsia="Arial" w:hAnsi="Arial"/>
                <w:sz w:val="17"/>
                <w:szCs w:val="17"/>
                <w:color w:val="0000FF"/>
                <w:w w:val="89"/>
              </w:rPr>
            </w:pPr>
            <w:hyperlink w:anchor="page11">
              <w:r>
                <w:rPr>
                  <w:rFonts w:ascii="Arial" w:cs="Arial" w:eastAsia="Arial" w:hAnsi="Arial"/>
                  <w:sz w:val="17"/>
                  <w:szCs w:val="17"/>
                  <w:color w:val="0000FF"/>
                  <w:w w:val="89"/>
                </w:rPr>
                <w:t>Notes to Condensed Financial Statements (Unaudited)</w:t>
              </w:r>
            </w:hyperlink>
          </w:p>
        </w:tc>
        <w:tc>
          <w:tcPr>
            <w:tcW w:w="5480" w:type="dxa"/>
            <w:vAlign w:val="bottom"/>
            <w:gridSpan w:val="7"/>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12</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1">
              <w:r>
                <w:rPr>
                  <w:rFonts w:ascii="Arial" w:cs="Arial" w:eastAsia="Arial" w:hAnsi="Arial"/>
                  <w:sz w:val="17"/>
                  <w:szCs w:val="17"/>
                  <w:color w:val="auto"/>
                </w:rPr>
                <w:t>Item 2.</w:t>
              </w:r>
            </w:hyperlink>
          </w:p>
        </w:tc>
        <w:tc>
          <w:tcPr>
            <w:tcW w:w="6100" w:type="dxa"/>
            <w:vAlign w:val="bottom"/>
            <w:tcBorders>
              <w:bottom w:val="single" w:sz="8" w:color="0000FF"/>
            </w:tcBorders>
            <w:gridSpan w:val="14"/>
          </w:tcPr>
          <w:p>
            <w:pPr>
              <w:spacing w:after="0"/>
              <w:rPr>
                <w:rFonts w:ascii="Arial" w:cs="Arial" w:eastAsia="Arial" w:hAnsi="Arial"/>
                <w:sz w:val="17"/>
                <w:szCs w:val="17"/>
                <w:color w:val="0000FF"/>
                <w:w w:val="90"/>
              </w:rPr>
            </w:pPr>
            <w:hyperlink w:anchor="page21">
              <w:r>
                <w:rPr>
                  <w:rFonts w:ascii="Arial" w:cs="Arial" w:eastAsia="Arial" w:hAnsi="Arial"/>
                  <w:sz w:val="17"/>
                  <w:szCs w:val="17"/>
                  <w:color w:val="0000FF"/>
                  <w:w w:val="90"/>
                </w:rPr>
                <w:t>Management’s Discussion and Analysis of Financial Condition and Results of Operations</w:t>
              </w:r>
            </w:hyperlink>
          </w:p>
        </w:tc>
        <w:tc>
          <w:tcPr>
            <w:tcW w:w="3080" w:type="dxa"/>
            <w:vAlign w:val="bottom"/>
            <w:gridSpan w:val="3"/>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21">
              <w:r>
                <w:rPr>
                  <w:rFonts w:ascii="Arial" w:cs="Arial" w:eastAsia="Arial" w:hAnsi="Arial"/>
                  <w:sz w:val="17"/>
                  <w:szCs w:val="17"/>
                  <w:color w:val="auto"/>
                </w:rPr>
                <w:t>22</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9">
              <w:r>
                <w:rPr>
                  <w:rFonts w:ascii="Arial" w:cs="Arial" w:eastAsia="Arial" w:hAnsi="Arial"/>
                  <w:sz w:val="17"/>
                  <w:szCs w:val="17"/>
                  <w:color w:val="auto"/>
                </w:rPr>
                <w:t>Item 3.</w:t>
              </w:r>
            </w:hyperlink>
          </w:p>
        </w:tc>
        <w:tc>
          <w:tcPr>
            <w:tcW w:w="4120" w:type="dxa"/>
            <w:vAlign w:val="bottom"/>
            <w:tcBorders>
              <w:bottom w:val="single" w:sz="8" w:color="0000FF"/>
            </w:tcBorders>
            <w:gridSpan w:val="12"/>
          </w:tcPr>
          <w:p>
            <w:pPr>
              <w:spacing w:after="0"/>
              <w:rPr>
                <w:rFonts w:ascii="Arial" w:cs="Arial" w:eastAsia="Arial" w:hAnsi="Arial"/>
                <w:sz w:val="17"/>
                <w:szCs w:val="17"/>
                <w:color w:val="0000FF"/>
                <w:w w:val="92"/>
              </w:rPr>
            </w:pPr>
            <w:hyperlink w:anchor="page29">
              <w:r>
                <w:rPr>
                  <w:rFonts w:ascii="Arial" w:cs="Arial" w:eastAsia="Arial" w:hAnsi="Arial"/>
                  <w:sz w:val="17"/>
                  <w:szCs w:val="17"/>
                  <w:color w:val="0000FF"/>
                  <w:w w:val="92"/>
                </w:rPr>
                <w:t>Quantitative and Qualitative Disclosures About Market Risk</w:t>
              </w:r>
            </w:hyperlink>
          </w:p>
        </w:tc>
        <w:tc>
          <w:tcPr>
            <w:tcW w:w="5060" w:type="dxa"/>
            <w:vAlign w:val="bottom"/>
            <w:gridSpan w:val="5"/>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30">
              <w:r>
                <w:rPr>
                  <w:rFonts w:ascii="Arial" w:cs="Arial" w:eastAsia="Arial" w:hAnsi="Arial"/>
                  <w:sz w:val="17"/>
                  <w:szCs w:val="17"/>
                  <w:color w:val="auto"/>
                </w:rPr>
                <w:t>Item 4.</w:t>
              </w:r>
            </w:hyperlink>
          </w:p>
        </w:tc>
        <w:tc>
          <w:tcPr>
            <w:tcW w:w="17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30">
              <w:r>
                <w:rPr>
                  <w:rFonts w:ascii="Arial" w:cs="Arial" w:eastAsia="Arial" w:hAnsi="Arial"/>
                  <w:sz w:val="17"/>
                  <w:szCs w:val="17"/>
                  <w:color w:val="0000FF"/>
                  <w:w w:val="89"/>
                </w:rPr>
                <w:t>Controls and Procedures</w:t>
              </w:r>
            </w:hyperlink>
          </w:p>
        </w:tc>
        <w:tc>
          <w:tcPr>
            <w:tcW w:w="7480" w:type="dxa"/>
            <w:vAlign w:val="bottom"/>
            <w:gridSpan w:val="11"/>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30</w:t>
              </w:r>
            </w:hyperlink>
          </w:p>
        </w:tc>
      </w:tr>
      <w:tr>
        <w:trPr>
          <w:trHeight w:val="349"/>
        </w:trPr>
        <w:tc>
          <w:tcPr>
            <w:tcW w:w="1200" w:type="dxa"/>
            <w:vAlign w:val="bottom"/>
            <w:gridSpan w:val="2"/>
          </w:tcPr>
          <w:p>
            <w:pPr>
              <w:spacing w:after="0"/>
              <w:rPr>
                <w:rFonts w:ascii="Arial" w:cs="Arial" w:eastAsia="Arial" w:hAnsi="Arial"/>
                <w:sz w:val="17"/>
                <w:szCs w:val="17"/>
                <w:b w:val="1"/>
                <w:bCs w:val="1"/>
                <w:color w:val="auto"/>
              </w:rPr>
            </w:pPr>
            <w:hyperlink w:anchor="page30">
              <w:r>
                <w:rPr>
                  <w:rFonts w:ascii="Arial" w:cs="Arial" w:eastAsia="Arial" w:hAnsi="Arial"/>
                  <w:sz w:val="17"/>
                  <w:szCs w:val="17"/>
                  <w:b w:val="1"/>
                  <w:bCs w:val="1"/>
                  <w:color w:val="auto"/>
                </w:rPr>
                <w:t>PART II.</w:t>
              </w:r>
            </w:hyperlink>
          </w:p>
        </w:tc>
        <w:tc>
          <w:tcPr>
            <w:tcW w:w="9180" w:type="dxa"/>
            <w:vAlign w:val="bottom"/>
            <w:gridSpan w:val="17"/>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OTHER INFORMATION</w:t>
              </w:r>
            </w:hyperlink>
          </w:p>
        </w:tc>
        <w:tc>
          <w:tcPr>
            <w:tcW w:w="80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30</w:t>
              </w:r>
            </w:hyperlink>
          </w:p>
        </w:tc>
      </w:tr>
      <w:tr>
        <w:trPr>
          <w:trHeight w:val="413"/>
        </w:trPr>
        <w:tc>
          <w:tcPr>
            <w:tcW w:w="1200" w:type="dxa"/>
            <w:vAlign w:val="bottom"/>
            <w:gridSpan w:val="2"/>
          </w:tcPr>
          <w:p>
            <w:pPr>
              <w:spacing w:after="0"/>
              <w:rPr>
                <w:rFonts w:ascii="Arial" w:cs="Arial" w:eastAsia="Arial" w:hAnsi="Arial"/>
                <w:sz w:val="17"/>
                <w:szCs w:val="17"/>
                <w:color w:val="auto"/>
              </w:rPr>
            </w:pPr>
            <w:hyperlink w:anchor="page30">
              <w:r>
                <w:rPr>
                  <w:rFonts w:ascii="Arial" w:cs="Arial" w:eastAsia="Arial" w:hAnsi="Arial"/>
                  <w:sz w:val="17"/>
                  <w:szCs w:val="17"/>
                  <w:color w:val="auto"/>
                </w:rPr>
                <w:t>Item 1.</w:t>
              </w:r>
            </w:hyperlink>
          </w:p>
        </w:tc>
        <w:tc>
          <w:tcPr>
            <w:tcW w:w="1780" w:type="dxa"/>
            <w:vAlign w:val="bottom"/>
            <w:tcBorders>
              <w:top w:val="single" w:sz="8" w:color="0000FF"/>
            </w:tcBorders>
            <w:gridSpan w:val="7"/>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Legal Proceedings</w:t>
              </w:r>
            </w:hyperlink>
          </w:p>
        </w:tc>
        <w:tc>
          <w:tcPr>
            <w:tcW w:w="7400" w:type="dxa"/>
            <w:vAlign w:val="bottom"/>
            <w:gridSpan w:val="10"/>
          </w:tcPr>
          <w:p>
            <w:pPr>
              <w:spacing w:after="0"/>
              <w:rPr>
                <w:sz w:val="24"/>
                <w:szCs w:val="24"/>
                <w:color w:val="auto"/>
              </w:rPr>
            </w:pPr>
          </w:p>
        </w:tc>
        <w:tc>
          <w:tcPr>
            <w:tcW w:w="80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30</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30">
              <w:r>
                <w:rPr>
                  <w:rFonts w:ascii="Arial" w:cs="Arial" w:eastAsia="Arial" w:hAnsi="Arial"/>
                  <w:sz w:val="17"/>
                  <w:szCs w:val="17"/>
                  <w:color w:val="auto"/>
                </w:rPr>
                <w:t>Item 1A.</w:t>
              </w:r>
            </w:hyperlink>
          </w:p>
        </w:tc>
        <w:tc>
          <w:tcPr>
            <w:tcW w:w="1260" w:type="dxa"/>
            <w:vAlign w:val="bottom"/>
            <w:tcBorders>
              <w:top w:val="single" w:sz="8" w:color="0000FF"/>
            </w:tcBorders>
            <w:gridSpan w:val="4"/>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Risk Factors</w:t>
              </w:r>
            </w:hyperlink>
          </w:p>
        </w:tc>
        <w:tc>
          <w:tcPr>
            <w:tcW w:w="7920" w:type="dxa"/>
            <w:vAlign w:val="bottom"/>
            <w:gridSpan w:val="13"/>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30</w:t>
              </w:r>
            </w:hyperlink>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rPr>
                <w:rFonts w:ascii="Arial" w:cs="Arial" w:eastAsia="Arial" w:hAnsi="Arial"/>
                <w:sz w:val="17"/>
                <w:szCs w:val="17"/>
                <w:color w:val="auto"/>
              </w:rPr>
            </w:pPr>
            <w:hyperlink w:anchor="page78">
              <w:r>
                <w:rPr>
                  <w:rFonts w:ascii="Arial" w:cs="Arial" w:eastAsia="Arial" w:hAnsi="Arial"/>
                  <w:sz w:val="17"/>
                  <w:szCs w:val="17"/>
                  <w:color w:val="auto"/>
                </w:rPr>
                <w:t>Item 2.</w:t>
              </w:r>
            </w:hyperlink>
          </w:p>
        </w:tc>
        <w:tc>
          <w:tcPr>
            <w:tcW w:w="9180" w:type="dxa"/>
            <w:vAlign w:val="bottom"/>
            <w:gridSpan w:val="17"/>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Unregistered Sales of Equity Securities and Use of Proceeds</w:t>
              </w:r>
            </w:hyperlink>
          </w:p>
        </w:tc>
        <w:tc>
          <w:tcPr>
            <w:tcW w:w="800" w:type="dxa"/>
            <w:vAlign w:val="bottom"/>
          </w:tcPr>
          <w:p>
            <w:pPr>
              <w:jc w:val="right"/>
              <w:spacing w:after="0"/>
              <w:rPr>
                <w:rFonts w:ascii="Arial" w:cs="Arial" w:eastAsia="Arial" w:hAnsi="Arial"/>
                <w:sz w:val="17"/>
                <w:szCs w:val="17"/>
                <w:color w:val="auto"/>
              </w:rPr>
            </w:pPr>
            <w:hyperlink w:anchor="page78">
              <w:r>
                <w:rPr>
                  <w:rFonts w:ascii="Arial" w:cs="Arial" w:eastAsia="Arial" w:hAnsi="Arial"/>
                  <w:sz w:val="17"/>
                  <w:szCs w:val="17"/>
                  <w:color w:val="auto"/>
                </w:rPr>
                <w:t>79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9">
              <w:r>
                <w:rPr>
                  <w:rFonts w:ascii="Arial" w:cs="Arial" w:eastAsia="Arial" w:hAnsi="Arial"/>
                  <w:sz w:val="17"/>
                  <w:szCs w:val="17"/>
                  <w:color w:val="auto"/>
                </w:rPr>
                <w:t>Item 3.</w:t>
              </w:r>
            </w:hyperlink>
          </w:p>
        </w:tc>
        <w:tc>
          <w:tcPr>
            <w:tcW w:w="4100" w:type="dxa"/>
            <w:vAlign w:val="bottom"/>
            <w:tcBorders>
              <w:top w:val="single" w:sz="8" w:color="0000FF"/>
            </w:tcBorders>
            <w:gridSpan w:val="11"/>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Defaults Upon Senior Securities</w:t>
              </w:r>
            </w:hyperlink>
          </w:p>
        </w:tc>
        <w:tc>
          <w:tcPr>
            <w:tcW w:w="5080" w:type="dxa"/>
            <w:vAlign w:val="bottom"/>
            <w:gridSpan w:val="6"/>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9">
              <w:r>
                <w:rPr>
                  <w:rFonts w:ascii="Arial" w:cs="Arial" w:eastAsia="Arial" w:hAnsi="Arial"/>
                  <w:sz w:val="17"/>
                  <w:szCs w:val="17"/>
                  <w:color w:val="auto"/>
                </w:rPr>
                <w:t>Item 4.</w:t>
              </w:r>
            </w:hyperlink>
          </w:p>
        </w:tc>
        <w:tc>
          <w:tcPr>
            <w:tcW w:w="168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1"/>
              </w:rPr>
            </w:pPr>
            <w:hyperlink w:anchor="page79">
              <w:r>
                <w:rPr>
                  <w:rFonts w:ascii="Arial" w:cs="Arial" w:eastAsia="Arial" w:hAnsi="Arial"/>
                  <w:sz w:val="17"/>
                  <w:szCs w:val="17"/>
                  <w:color w:val="0000FF"/>
                  <w:w w:val="91"/>
                </w:rPr>
                <w:t>Mine Safety Disclosures</w:t>
              </w:r>
            </w:hyperlink>
          </w:p>
        </w:tc>
        <w:tc>
          <w:tcPr>
            <w:tcW w:w="540" w:type="dxa"/>
            <w:vAlign w:val="bottom"/>
            <w:tcBorders>
              <w:top w:val="single" w:sz="8" w:color="0000FF"/>
            </w:tcBorders>
            <w:gridSpan w:val="4"/>
          </w:tcPr>
          <w:p>
            <w:pPr>
              <w:spacing w:after="0"/>
              <w:rPr>
                <w:sz w:val="17"/>
                <w:szCs w:val="17"/>
                <w:color w:val="auto"/>
              </w:rPr>
            </w:pPr>
          </w:p>
        </w:tc>
        <w:tc>
          <w:tcPr>
            <w:tcW w:w="6960" w:type="dxa"/>
            <w:vAlign w:val="bottom"/>
            <w:gridSpan w:val="8"/>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9">
              <w:r>
                <w:rPr>
                  <w:rFonts w:ascii="Arial" w:cs="Arial" w:eastAsia="Arial" w:hAnsi="Arial"/>
                  <w:sz w:val="17"/>
                  <w:szCs w:val="17"/>
                  <w:color w:val="auto"/>
                </w:rPr>
                <w:t>Item 5.</w:t>
              </w:r>
            </w:hyperlink>
          </w:p>
        </w:tc>
        <w:tc>
          <w:tcPr>
            <w:tcW w:w="9180" w:type="dxa"/>
            <w:vAlign w:val="bottom"/>
            <w:gridSpan w:val="17"/>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Other Information</w:t>
              </w:r>
            </w:hyperlink>
          </w:p>
        </w:tc>
        <w:tc>
          <w:tcPr>
            <w:tcW w:w="80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9">
              <w:r>
                <w:rPr>
                  <w:rFonts w:ascii="Arial" w:cs="Arial" w:eastAsia="Arial" w:hAnsi="Arial"/>
                  <w:sz w:val="17"/>
                  <w:szCs w:val="17"/>
                  <w:color w:val="auto"/>
                </w:rPr>
                <w:t>Item 6.</w:t>
              </w:r>
            </w:hyperlink>
          </w:p>
        </w:tc>
        <w:tc>
          <w:tcPr>
            <w:tcW w:w="1240" w:type="dxa"/>
            <w:vAlign w:val="bottom"/>
            <w:tcBorders>
              <w:top w:val="single" w:sz="8" w:color="0000FF"/>
            </w:tcBorders>
            <w:gridSpan w:val="3"/>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Exhibits</w:t>
              </w:r>
            </w:hyperlink>
          </w:p>
        </w:tc>
        <w:tc>
          <w:tcPr>
            <w:tcW w:w="7940" w:type="dxa"/>
            <w:vAlign w:val="bottom"/>
            <w:gridSpan w:val="14"/>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80</w:t>
              </w:r>
            </w:hyperlink>
          </w:p>
        </w:tc>
      </w:tr>
      <w:tr>
        <w:trPr>
          <w:trHeight w:val="196"/>
        </w:trPr>
        <w:tc>
          <w:tcPr>
            <w:tcW w:w="720" w:type="dxa"/>
            <w:vAlign w:val="bottom"/>
            <w:tcBorders>
              <w:bottom w:val="single" w:sz="8" w:color="0000FF"/>
            </w:tcBorders>
          </w:tcPr>
          <w:p>
            <w:pPr>
              <w:spacing w:after="0"/>
              <w:rPr>
                <w:rFonts w:ascii="Arial" w:cs="Arial" w:eastAsia="Arial" w:hAnsi="Arial"/>
                <w:sz w:val="17"/>
                <w:szCs w:val="17"/>
                <w:color w:val="0000FF"/>
                <w:w w:val="86"/>
              </w:rPr>
            </w:pPr>
            <w:hyperlink w:anchor="page80">
              <w:r>
                <w:rPr>
                  <w:rFonts w:ascii="Arial" w:cs="Arial" w:eastAsia="Arial" w:hAnsi="Arial"/>
                  <w:sz w:val="17"/>
                  <w:szCs w:val="17"/>
                  <w:color w:val="0000FF"/>
                  <w:w w:val="86"/>
                </w:rPr>
                <w:t>Signatures</w:t>
              </w:r>
            </w:hyperlink>
          </w:p>
        </w:tc>
        <w:tc>
          <w:tcPr>
            <w:tcW w:w="4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65405</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40" w:top="84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4" w:lineRule="exact"/>
        <w:rPr>
          <w:sz w:val="20"/>
          <w:szCs w:val="20"/>
          <w:color w:val="auto"/>
        </w:rPr>
      </w:pPr>
    </w:p>
    <w:p>
      <w:pPr>
        <w:ind w:right="60" w:firstLine="1070"/>
        <w:spacing w:after="0" w:line="251" w:lineRule="auto"/>
        <w:rPr>
          <w:sz w:val="20"/>
          <w:szCs w:val="20"/>
          <w:color w:val="auto"/>
        </w:rPr>
      </w:pPr>
      <w:r>
        <w:rPr>
          <w:rFonts w:ascii="Arial" w:cs="Arial" w:eastAsia="Arial" w:hAnsi="Arial"/>
          <w:sz w:val="17"/>
          <w:szCs w:val="17"/>
          <w:color w:val="auto"/>
        </w:rPr>
        <w:t>This Quarterly Report on Form 10-Q (the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85" w:lineRule="exact"/>
        <w:rPr>
          <w:sz w:val="20"/>
          <w:szCs w:val="20"/>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110" w:lineRule="exact"/>
        <w:rPr>
          <w:rFonts w:ascii="Arial" w:cs="Arial" w:eastAsia="Arial" w:hAnsi="Arial"/>
          <w:sz w:val="17"/>
          <w:szCs w:val="17"/>
          <w:color w:val="auto"/>
        </w:rPr>
      </w:pPr>
    </w:p>
    <w:p>
      <w:pPr>
        <w:ind w:left="2140" w:right="10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 of our lead product candidate, PLN-74809, as well as PLN-1474 and our other product candidates;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the impact of the COVID-19 pandemic on our business and operations and our ability to manage such impacts;</w:t>
      </w:r>
    </w:p>
    <w:p>
      <w:pPr>
        <w:spacing w:after="0" w:line="121" w:lineRule="exact"/>
        <w:rPr>
          <w:rFonts w:ascii="Arial" w:cs="Arial" w:eastAsia="Arial" w:hAnsi="Arial"/>
          <w:sz w:val="16"/>
          <w:szCs w:val="16"/>
          <w:color w:val="auto"/>
        </w:rPr>
      </w:pPr>
    </w:p>
    <w:p>
      <w:pPr>
        <w:ind w:left="1300" w:hanging="228"/>
        <w:spacing w:after="0"/>
        <w:tabs>
          <w:tab w:leader="none" w:pos="1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Ours or our current or future collaborators plans to initiate, recruit and enroll patients in, and conduct our clinical trials at the pace that we project;</w:t>
      </w:r>
    </w:p>
    <w:p>
      <w:pPr>
        <w:spacing w:after="0" w:line="133" w:lineRule="exact"/>
        <w:rPr>
          <w:rFonts w:ascii="Arial" w:cs="Arial" w:eastAsia="Arial" w:hAnsi="Arial"/>
          <w:sz w:val="15"/>
          <w:szCs w:val="15"/>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and maintain regulatory approvals of our product candidates;</w:t>
      </w:r>
    </w:p>
    <w:p>
      <w:pPr>
        <w:spacing w:after="0" w:line="110" w:lineRule="exact"/>
        <w:rPr>
          <w:rFonts w:ascii="Arial" w:cs="Arial" w:eastAsia="Arial" w:hAnsi="Arial"/>
          <w:sz w:val="17"/>
          <w:szCs w:val="17"/>
          <w:color w:val="auto"/>
        </w:rPr>
      </w:pPr>
    </w:p>
    <w:p>
      <w:pPr>
        <w:ind w:left="2140" w:right="20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funding for our operations, including funding necessary to complete further development and, upon successful development, if approved, commercialize any of our product candidates;</w:t>
      </w:r>
    </w:p>
    <w:p>
      <w:pPr>
        <w:spacing w:after="0" w:line="63" w:lineRule="exact"/>
        <w:rPr>
          <w:rFonts w:ascii="Arial" w:cs="Arial" w:eastAsia="Arial" w:hAnsi="Arial"/>
          <w:sz w:val="17"/>
          <w:szCs w:val="17"/>
          <w:color w:val="auto"/>
        </w:rPr>
      </w:pPr>
    </w:p>
    <w:p>
      <w:pPr>
        <w:ind w:left="2140" w:right="160" w:hanging="1068"/>
        <w:spacing w:after="0" w:line="274" w:lineRule="auto"/>
        <w:tabs>
          <w:tab w:leader="none" w:pos="21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borrow additional term loans under our term loan facility (the “Oxford Loan Agreement”) with Oxford Finance LLC, as collateral agent and lender (“Oxford”);</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orphan drug and fast track designations for PLN-74809;</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companies currently marketing or engaged in the development of treatments for fibrosis;</w:t>
      </w:r>
    </w:p>
    <w:p>
      <w:pPr>
        <w:spacing w:after="0" w:line="110" w:lineRule="exact"/>
        <w:rPr>
          <w:rFonts w:ascii="Arial" w:cs="Arial" w:eastAsia="Arial" w:hAnsi="Arial"/>
          <w:sz w:val="17"/>
          <w:szCs w:val="17"/>
          <w:color w:val="auto"/>
        </w:rPr>
      </w:pPr>
    </w:p>
    <w:p>
      <w:pPr>
        <w:ind w:left="2140" w:right="22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obtaining and maintaining intellectual property protection for our product candidates and the duration of such protection;</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10" w:lineRule="exact"/>
        <w:rPr>
          <w:rFonts w:ascii="Arial" w:cs="Arial" w:eastAsia="Arial" w:hAnsi="Arial"/>
          <w:sz w:val="17"/>
          <w:szCs w:val="17"/>
          <w:color w:val="auto"/>
        </w:rPr>
      </w:pPr>
    </w:p>
    <w:p>
      <w:pPr>
        <w:ind w:left="2140" w:right="6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current and future collaborators for developing, obtaining regulatory approval for and commercializing product candidates in the collaboration;</w:t>
      </w:r>
    </w:p>
    <w:p>
      <w:pPr>
        <w:spacing w:after="0" w:line="63" w:lineRule="exact"/>
        <w:rPr>
          <w:rFonts w:ascii="Arial" w:cs="Arial" w:eastAsia="Arial" w:hAnsi="Arial"/>
          <w:sz w:val="17"/>
          <w:szCs w:val="17"/>
          <w:color w:val="auto"/>
        </w:rPr>
      </w:pPr>
    </w:p>
    <w:p>
      <w:pPr>
        <w:ind w:left="2140" w:right="58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current of future research collaboration or license agreements or arrangements;</w:t>
      </w:r>
    </w:p>
    <w:p>
      <w:pPr>
        <w:spacing w:after="0" w:line="63" w:lineRule="exact"/>
        <w:rPr>
          <w:rFonts w:ascii="Arial" w:cs="Arial" w:eastAsia="Arial" w:hAnsi="Arial"/>
          <w:sz w:val="17"/>
          <w:szCs w:val="17"/>
          <w:color w:val="auto"/>
        </w:rPr>
      </w:pPr>
    </w:p>
    <w:p>
      <w:pPr>
        <w:ind w:left="2140" w:right="36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commercialization of any products that are approved for marketing and our ability to establish adequate pricing in the U.S. and international markets;</w:t>
      </w:r>
    </w:p>
    <w:p>
      <w:pPr>
        <w:spacing w:after="0" w:line="63" w:lineRule="exact"/>
        <w:rPr>
          <w:rFonts w:ascii="Arial" w:cs="Arial" w:eastAsia="Arial" w:hAnsi="Arial"/>
          <w:sz w:val="17"/>
          <w:szCs w:val="17"/>
          <w:color w:val="auto"/>
        </w:rPr>
      </w:pPr>
    </w:p>
    <w:p>
      <w:pPr>
        <w:ind w:left="2140" w:right="30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 either alone or in combination with others;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and key personnel; and</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government and third-party payor coverage and reimbursement.</w:t>
      </w:r>
    </w:p>
    <w:p>
      <w:pPr>
        <w:spacing w:after="0" w:line="110" w:lineRule="exact"/>
        <w:rPr>
          <w:sz w:val="20"/>
          <w:szCs w:val="20"/>
          <w:color w:val="auto"/>
        </w:rPr>
      </w:pPr>
    </w:p>
    <w:p>
      <w:pPr>
        <w:ind w:right="20" w:firstLine="1070"/>
        <w:spacing w:after="0" w:line="273"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sectPr>
      </w:pPr>
    </w:p>
    <w:bookmarkStart w:id="3" w:name="page4"/>
    <w:bookmarkEnd w:id="3"/>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86995</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24" w:lineRule="exact"/>
        <w:rPr>
          <w:sz w:val="20"/>
          <w:szCs w:val="20"/>
          <w:color w:val="auto"/>
        </w:rPr>
      </w:pPr>
    </w:p>
    <w:p>
      <w:pPr>
        <w:ind w:right="100" w:firstLine="611"/>
        <w:spacing w:after="0" w:line="270" w:lineRule="auto"/>
        <w:rPr>
          <w:sz w:val="20"/>
          <w:szCs w:val="20"/>
          <w:color w:val="auto"/>
        </w:rPr>
      </w:pPr>
      <w:r>
        <w:rPr>
          <w:rFonts w:ascii="Arial" w:cs="Arial" w:eastAsia="Arial" w:hAnsi="Arial"/>
          <w:sz w:val="16"/>
          <w:szCs w:val="16"/>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Financial Position and Need for Additional Capital</w:t>
      </w:r>
    </w:p>
    <w:p>
      <w:pPr>
        <w:spacing w:after="0" w:line="110" w:lineRule="exact"/>
        <w:rPr>
          <w:sz w:val="20"/>
          <w:szCs w:val="20"/>
          <w:color w:val="auto"/>
        </w:rPr>
      </w:pPr>
    </w:p>
    <w:p>
      <w:pPr>
        <w:ind w:left="1300" w:hanging="228"/>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expect to continue to incur significant net losses for the foreseeable future.</w:t>
      </w:r>
    </w:p>
    <w:p>
      <w:pPr>
        <w:spacing w:after="0" w:line="121" w:lineRule="exact"/>
        <w:rPr>
          <w:rFonts w:ascii="Arial" w:cs="Arial" w:eastAsia="Arial" w:hAnsi="Arial"/>
          <w:sz w:val="16"/>
          <w:szCs w:val="16"/>
          <w:color w:val="auto"/>
        </w:rPr>
      </w:pPr>
    </w:p>
    <w:p>
      <w:pPr>
        <w:ind w:left="2140" w:hanging="1068"/>
        <w:spacing w:after="0" w:line="262" w:lineRule="auto"/>
        <w:tabs>
          <w:tab w:leader="none" w:pos="12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2" w:lineRule="exact"/>
        <w:rPr>
          <w:rFonts w:ascii="Arial" w:cs="Arial" w:eastAsia="Arial" w:hAnsi="Arial"/>
          <w:sz w:val="17"/>
          <w:szCs w:val="17"/>
          <w:color w:val="auto"/>
        </w:rPr>
      </w:pPr>
    </w:p>
    <w:p>
      <w:pPr>
        <w:ind w:left="2140" w:hanging="1068"/>
        <w:spacing w:after="0" w:line="313" w:lineRule="auto"/>
        <w:tabs>
          <w:tab w:leader="none" w:pos="2136" w:val="left"/>
        </w:tabs>
        <w:numPr>
          <w:ilvl w:val="0"/>
          <w:numId w:val="4"/>
        </w:numPr>
        <w:rPr>
          <w:rFonts w:ascii="Arial" w:cs="Arial" w:eastAsia="Arial" w:hAnsi="Arial"/>
          <w:sz w:val="15"/>
          <w:szCs w:val="15"/>
          <w:color w:val="auto"/>
        </w:rPr>
      </w:pPr>
      <w:r>
        <w:rPr>
          <w:rFonts w:ascii="Arial" w:cs="Arial" w:eastAsia="Arial" w:hAnsi="Arial"/>
          <w:sz w:val="15"/>
          <w:szCs w:val="15"/>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Research and Development and the Biopharmaceutical Industry</w:t>
      </w:r>
    </w:p>
    <w:p>
      <w:pPr>
        <w:spacing w:after="0" w:line="110" w:lineRule="exact"/>
        <w:rPr>
          <w:sz w:val="20"/>
          <w:szCs w:val="20"/>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our prospects and likelihood of success.</w:t>
      </w:r>
    </w:p>
    <w:p>
      <w:pPr>
        <w:spacing w:after="0" w:line="110" w:lineRule="exact"/>
        <w:rPr>
          <w:rFonts w:ascii="Arial" w:cs="Arial" w:eastAsia="Arial" w:hAnsi="Arial"/>
          <w:sz w:val="17"/>
          <w:szCs w:val="17"/>
          <w:color w:val="auto"/>
        </w:rPr>
      </w:pPr>
    </w:p>
    <w:p>
      <w:pPr>
        <w:ind w:left="2140" w:right="280" w:hanging="1068"/>
        <w:spacing w:after="0" w:line="286" w:lineRule="auto"/>
        <w:tabs>
          <w:tab w:leader="none" w:pos="129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55" w:lineRule="exact"/>
        <w:rPr>
          <w:rFonts w:ascii="Arial" w:cs="Arial" w:eastAsia="Arial" w:hAnsi="Arial"/>
          <w:sz w:val="16"/>
          <w:szCs w:val="16"/>
          <w:color w:val="auto"/>
        </w:rPr>
      </w:pPr>
    </w:p>
    <w:p>
      <w:pPr>
        <w:ind w:left="2140" w:right="540" w:hanging="1068"/>
        <w:spacing w:after="0" w:line="274"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approach to drug discovery and development in the area of fibrotic diseases is unproven and may not result in marketable products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w:t>
      </w:r>
    </w:p>
    <w:p>
      <w:pPr>
        <w:spacing w:after="0" w:line="110" w:lineRule="exact"/>
        <w:rPr>
          <w:rFonts w:ascii="Arial" w:cs="Arial" w:eastAsia="Arial" w:hAnsi="Arial"/>
          <w:sz w:val="17"/>
          <w:szCs w:val="17"/>
          <w:color w:val="auto"/>
        </w:rPr>
      </w:pPr>
    </w:p>
    <w:p>
      <w:pPr>
        <w:ind w:left="2140" w:right="16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additional costs or experience delays in completing, or ultimately be unable to complete, the development and commercialization of PLN-74809 or any other product candidates.</w:t>
      </w:r>
    </w:p>
    <w:p>
      <w:pPr>
        <w:spacing w:after="0" w:line="63" w:lineRule="exact"/>
        <w:rPr>
          <w:rFonts w:ascii="Arial" w:cs="Arial" w:eastAsia="Arial" w:hAnsi="Arial"/>
          <w:sz w:val="17"/>
          <w:szCs w:val="17"/>
          <w:color w:val="auto"/>
        </w:rPr>
      </w:pPr>
    </w:p>
    <w:p>
      <w:pPr>
        <w:ind w:left="2140" w:right="58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obtain and maintain orphan drug designations in some jurisdictions and therefore fail to secure orphan exclusivity in those jurisdictions.</w:t>
      </w:r>
    </w:p>
    <w:p>
      <w:pPr>
        <w:spacing w:after="0" w:line="63" w:lineRule="exact"/>
        <w:rPr>
          <w:rFonts w:ascii="Arial" w:cs="Arial" w:eastAsia="Arial" w:hAnsi="Arial"/>
          <w:sz w:val="17"/>
          <w:szCs w:val="17"/>
          <w:color w:val="auto"/>
        </w:rPr>
      </w:pPr>
    </w:p>
    <w:p>
      <w:pPr>
        <w:ind w:left="2140" w:right="200" w:hanging="1068"/>
        <w:spacing w:after="0" w:line="262"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2" w:lineRule="exact"/>
        <w:rPr>
          <w:rFonts w:ascii="Arial" w:cs="Arial" w:eastAsia="Arial" w:hAnsi="Arial"/>
          <w:sz w:val="17"/>
          <w:szCs w:val="17"/>
          <w:color w:val="auto"/>
        </w:rPr>
      </w:pPr>
    </w:p>
    <w:p>
      <w:pPr>
        <w:ind w:left="2140" w:right="280" w:hanging="1068"/>
        <w:spacing w:after="0" w:line="274" w:lineRule="auto"/>
        <w:tabs>
          <w:tab w:leader="none" w:pos="1299"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clinical trials, our clinical development activities could be delayed or otherwise adversely affected.</w:t>
      </w:r>
    </w:p>
    <w:p>
      <w:pPr>
        <w:spacing w:after="0" w:line="63" w:lineRule="exact"/>
        <w:rPr>
          <w:rFonts w:ascii="Arial" w:cs="Arial" w:eastAsia="Arial" w:hAnsi="Arial"/>
          <w:sz w:val="17"/>
          <w:szCs w:val="17"/>
          <w:color w:val="auto"/>
        </w:rPr>
      </w:pPr>
    </w:p>
    <w:p>
      <w:pPr>
        <w:ind w:left="2140" w:right="24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110" w:lineRule="exact"/>
        <w:rPr>
          <w:sz w:val="20"/>
          <w:szCs w:val="20"/>
          <w:color w:val="auto"/>
        </w:rPr>
      </w:pPr>
    </w:p>
    <w:p>
      <w:pPr>
        <w:ind w:left="2140" w:right="40" w:hanging="1068"/>
        <w:spacing w:after="0" w:line="274" w:lineRule="auto"/>
        <w:tabs>
          <w:tab w:leader="none" w:pos="1299"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part on our ability to obtain patent term extensions and protect our intellectual property. It is difficult and costly to protect our proprietary rights and technology, and we may not be able to ensure their protection.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 w:name="page6"/>
    <w:bookmarkEnd w:id="5"/>
    <w:p>
      <w:pPr>
        <w:ind w:left="2140" w:right="200" w:hanging="1068"/>
        <w:spacing w:after="0" w:line="342" w:lineRule="auto"/>
        <w:tabs>
          <w:tab w:leader="none" w:pos="1299"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110" w:lineRule="exact"/>
        <w:rPr>
          <w:sz w:val="20"/>
          <w:szCs w:val="20"/>
          <w:color w:val="auto"/>
        </w:rPr>
      </w:pPr>
    </w:p>
    <w:p>
      <w:pPr>
        <w:ind w:left="2140" w:right="20" w:hanging="1068"/>
        <w:spacing w:after="0" w:line="275"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66" w:lineRule="exact"/>
        <w:rPr>
          <w:rFonts w:ascii="Arial" w:cs="Arial" w:eastAsia="Arial" w:hAnsi="Arial"/>
          <w:sz w:val="16"/>
          <w:szCs w:val="16"/>
          <w:color w:val="auto"/>
        </w:rPr>
      </w:pPr>
    </w:p>
    <w:p>
      <w:pPr>
        <w:ind w:left="2140" w:right="100" w:hanging="1068"/>
        <w:spacing w:after="0" w:line="274"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third parties to conduct certain aspects of our preclinical studies and clinical trials and for tissue samples and other materials required for our research and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Managing Our Business and Operations</w:t>
      </w:r>
    </w:p>
    <w:p>
      <w:pPr>
        <w:spacing w:after="0" w:line="110" w:lineRule="exact"/>
        <w:rPr>
          <w:sz w:val="20"/>
          <w:szCs w:val="20"/>
          <w:color w:val="auto"/>
        </w:rPr>
      </w:pPr>
    </w:p>
    <w:p>
      <w:pPr>
        <w:ind w:left="1300" w:hanging="228"/>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ongoing COVID-19 pandemic could adversely impact our business, including our preclinical studies and clinical trials.</w:t>
      </w:r>
    </w:p>
    <w:p>
      <w:pPr>
        <w:spacing w:after="0" w:line="110" w:lineRule="exact"/>
        <w:rPr>
          <w:rFonts w:ascii="Arial" w:cs="Arial" w:eastAsia="Arial" w:hAnsi="Arial"/>
          <w:sz w:val="17"/>
          <w:szCs w:val="17"/>
          <w:color w:val="auto"/>
        </w:rPr>
      </w:pPr>
    </w:p>
    <w:p>
      <w:pPr>
        <w:ind w:left="2140" w:hanging="1068"/>
        <w:spacing w:after="0" w:line="262" w:lineRule="auto"/>
        <w:tabs>
          <w:tab w:leader="none" w:pos="1299"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loss of key management personnel, or if we fail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4"/>
          <w:szCs w:val="14"/>
          <w:b w:val="1"/>
          <w:bCs w:val="1"/>
          <w:color w:val="auto"/>
        </w:rPr>
        <w:t>PART I—FINANCIAL INFORMATION</w:t>
      </w:r>
    </w:p>
    <w:p>
      <w:pPr>
        <w:spacing w:after="0" w:line="236" w:lineRule="auto"/>
        <w:rPr>
          <w:sz w:val="20"/>
          <w:szCs w:val="20"/>
          <w:color w:val="auto"/>
        </w:rPr>
      </w:pPr>
      <w:r>
        <w:rPr>
          <w:rFonts w:ascii="Arial" w:cs="Arial" w:eastAsia="Arial" w:hAnsi="Arial"/>
          <w:sz w:val="14"/>
          <w:szCs w:val="14"/>
          <w:b w:val="1"/>
          <w:bCs w:val="1"/>
          <w:color w:val="auto"/>
        </w:rPr>
        <w:t>Item 1. Condensed Financial Statements.</w:t>
      </w:r>
    </w:p>
    <w:p>
      <w:pPr>
        <w:jc w:val="center"/>
        <w:ind w:right="-159"/>
        <w:spacing w:after="0" w:line="228" w:lineRule="auto"/>
        <w:rPr>
          <w:sz w:val="20"/>
          <w:szCs w:val="20"/>
          <w:color w:val="auto"/>
        </w:rPr>
      </w:pPr>
      <w:r>
        <w:rPr>
          <w:rFonts w:ascii="Arial" w:cs="Arial" w:eastAsia="Arial" w:hAnsi="Arial"/>
          <w:sz w:val="14"/>
          <w:szCs w:val="14"/>
          <w:b w:val="1"/>
          <w:bCs w:val="1"/>
          <w:color w:val="auto"/>
        </w:rPr>
        <w:t>Pliant Therapeutics, Inc.</w:t>
      </w:r>
    </w:p>
    <w:p>
      <w:pPr>
        <w:jc w:val="center"/>
        <w:ind w:right="-159"/>
        <w:spacing w:after="0" w:line="228" w:lineRule="auto"/>
        <w:rPr>
          <w:sz w:val="20"/>
          <w:szCs w:val="20"/>
          <w:color w:val="auto"/>
        </w:rPr>
      </w:pPr>
      <w:r>
        <w:rPr>
          <w:rFonts w:ascii="Arial" w:cs="Arial" w:eastAsia="Arial" w:hAnsi="Arial"/>
          <w:sz w:val="14"/>
          <w:szCs w:val="14"/>
          <w:b w:val="1"/>
          <w:bCs w:val="1"/>
          <w:color w:val="auto"/>
        </w:rPr>
        <w:t>Condensed Balance Sheets</w:t>
      </w:r>
    </w:p>
    <w:p>
      <w:pPr>
        <w:jc w:val="center"/>
        <w:ind w:right="-159"/>
        <w:spacing w:after="0" w:line="227"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2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51,665</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Short-term investments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138,527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148,931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Tax credit receivable</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expenses and other current assets (Note 5)</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6,764</w:t>
            </w:r>
          </w:p>
        </w:tc>
        <w:tc>
          <w:tcPr>
            <w:tcW w:w="0" w:type="dxa"/>
            <w:vAlign w:val="bottom"/>
          </w:tcPr>
          <w:p>
            <w:pPr>
              <w:spacing w:after="0"/>
              <w:rPr>
                <w:sz w:val="1"/>
                <w:szCs w:val="1"/>
                <w:color w:val="auto"/>
              </w:rPr>
            </w:pPr>
          </w:p>
        </w:tc>
      </w:tr>
      <w:tr>
        <w:trPr>
          <w:trHeight w:val="194"/>
        </w:trPr>
        <w:tc>
          <w:tcPr>
            <w:tcW w:w="7700" w:type="dxa"/>
            <w:vAlign w:val="bottom"/>
          </w:tcPr>
          <w:p>
            <w:pPr>
              <w:ind w:left="520"/>
              <w:spacing w:after="0"/>
              <w:rPr>
                <w:sz w:val="20"/>
                <w:szCs w:val="20"/>
                <w:color w:val="auto"/>
              </w:rPr>
            </w:pPr>
            <w:r>
              <w:rPr>
                <w:rFonts w:ascii="Arial" w:cs="Arial" w:eastAsia="Arial" w:hAnsi="Arial"/>
                <w:sz w:val="15"/>
                <w:szCs w:val="15"/>
                <w:color w:val="auto"/>
              </w:rPr>
              <w:t>Total current assets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173,526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209,441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5,646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6,330</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184,619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Accrued liabilities (Note 6)</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17,395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11,991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current</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194"/>
        </w:trPr>
        <w:tc>
          <w:tcPr>
            <w:tcW w:w="7700" w:type="dxa"/>
            <w:vAlign w:val="bottom"/>
          </w:tcPr>
          <w:p>
            <w:pPr>
              <w:ind w:left="440"/>
              <w:spacing w:after="0"/>
              <w:rPr>
                <w:sz w:val="20"/>
                <w:szCs w:val="20"/>
                <w:color w:val="auto"/>
              </w:rPr>
            </w:pPr>
            <w:r>
              <w:rPr>
                <w:rFonts w:ascii="Arial" w:cs="Arial" w:eastAsia="Arial" w:hAnsi="Arial"/>
                <w:sz w:val="15"/>
                <w:szCs w:val="15"/>
                <w:color w:val="auto"/>
              </w:rPr>
              <w:t>Total current liabilities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22,553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16,831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non-current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5,325</w:t>
            </w:r>
          </w:p>
        </w:tc>
        <w:tc>
          <w:tcPr>
            <w:tcW w:w="0" w:type="dxa"/>
            <w:vAlign w:val="bottom"/>
          </w:tcPr>
          <w:p>
            <w:pPr>
              <w:spacing w:after="0"/>
              <w:rPr>
                <w:sz w:val="1"/>
                <w:szCs w:val="1"/>
                <w:color w:val="auto"/>
              </w:rPr>
            </w:pPr>
          </w:p>
        </w:tc>
      </w:tr>
      <w:tr>
        <w:trPr>
          <w:trHeight w:val="201"/>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Term loan</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36,831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22,156</w:t>
            </w:r>
          </w:p>
        </w:tc>
        <w:tc>
          <w:tcPr>
            <w:tcW w:w="0" w:type="dxa"/>
            <w:vAlign w:val="bottom"/>
          </w:tcPr>
          <w:p>
            <w:pPr>
              <w:spacing w:after="0"/>
              <w:rPr>
                <w:sz w:val="1"/>
                <w:szCs w:val="1"/>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ind w:left="200"/>
              <w:spacing w:after="0" w:line="160" w:lineRule="exact"/>
              <w:rPr>
                <w:sz w:val="20"/>
                <w:szCs w:val="20"/>
                <w:color w:val="auto"/>
              </w:rPr>
            </w:pPr>
            <w:r>
              <w:rPr>
                <w:rFonts w:ascii="Arial" w:cs="Arial" w:eastAsia="Arial" w:hAnsi="Arial"/>
                <w:sz w:val="15"/>
                <w:szCs w:val="15"/>
                <w:color w:val="auto"/>
                <w:w w:val="98"/>
              </w:rPr>
              <w:t>Common stock, $0.0001 par value; 300,000,000 shares authorized at June 30, 2022 and December 31, 2021; and</w:t>
            </w:r>
          </w:p>
        </w:tc>
        <w:tc>
          <w:tcPr>
            <w:tcW w:w="3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5"/>
              </w:rPr>
              <w:t>36,182,297 and 36,083,301 shares issued and outstanding at June 30, 2022 and December 31, 2021, respectively;</w:t>
            </w:r>
          </w:p>
        </w:tc>
        <w:tc>
          <w:tcPr>
            <w:tcW w:w="3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421,781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414,348</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(215,091)</w:t>
            </w:r>
          </w:p>
        </w:tc>
        <w:tc>
          <w:tcPr>
            <w:tcW w:w="0" w:type="dxa"/>
            <w:vAlign w:val="bottom"/>
          </w:tcPr>
          <w:p>
            <w:pPr>
              <w:spacing w:after="0"/>
              <w:rPr>
                <w:sz w:val="1"/>
                <w:szCs w:val="1"/>
                <w:color w:val="auto"/>
              </w:rPr>
            </w:pPr>
          </w:p>
        </w:tc>
      </w:tr>
      <w:tr>
        <w:trPr>
          <w:trHeight w:val="201"/>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147,788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199,059</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184,619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720" w:right="1980" w:hanging="2718"/>
        <w:spacing w:after="0" w:line="484" w:lineRule="auto"/>
        <w:tabs>
          <w:tab w:leader="none" w:pos="60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condensed balance sheet as of December 31, 2021 has been derived from the audited financial statements as of that date</w:t>
      </w:r>
      <w:r>
        <w:rPr>
          <w:rFonts w:ascii="Arial" w:cs="Arial" w:eastAsia="Arial" w:hAnsi="Arial"/>
          <w:sz w:val="13"/>
          <w:szCs w:val="13"/>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The accompanying notes are an integral part of these condensed financial statements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5"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5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(37,745)</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(12,041)</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(49,786)</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(29,642)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(45,823)</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(22,831)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72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5"/>
              <w:spacing w:after="0" w:line="188"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(0.82)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5"/>
              <w:spacing w:after="0" w:line="188"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(0.64)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5"/>
              <w:spacing w:after="0" w:line="188"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(1.59)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5"/>
              <w:spacing w:after="0" w:line="188"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w w:val="91"/>
              </w:rPr>
              <w:t>Shares used in computing net loss per share attributable to common stockholders: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36,173,135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35,746,922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36,144,944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35,726,393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36,173,135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35,746,922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36,144,944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35,726,393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Net unrealized gain (loss) on short-term investments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(45,685)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9"/>
                <w:szCs w:val="9"/>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960" w:type="dxa"/>
            <w:vAlign w:val="bottom"/>
          </w:tcPr>
          <w:p>
            <w:pPr>
              <w:jc w:val="center"/>
              <w:ind w:right="52"/>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9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36,083,301</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199,059</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15,606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63,552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(28,100)</w:t>
            </w:r>
          </w:p>
        </w:tc>
        <w:tc>
          <w:tcPr>
            <w:tcW w:w="0" w:type="dxa"/>
            <w:vAlign w:val="bottom"/>
          </w:tcPr>
          <w:p>
            <w:pPr>
              <w:spacing w:after="0"/>
              <w:rPr>
                <w:sz w:val="1"/>
                <w:szCs w:val="1"/>
                <w:color w:val="auto"/>
              </w:rPr>
            </w:pPr>
          </w:p>
        </w:tc>
      </w:tr>
      <w:tr>
        <w:trPr>
          <w:trHeight w:val="19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36,162,459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417,931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(243,191)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173,793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60" w:type="dxa"/>
            <w:vAlign w:val="bottom"/>
            <w:tcBorders>
              <w:top w:val="single" w:sz="8" w:color="CCEEFF"/>
            </w:tcBorders>
            <w:vMerge w:val="continue"/>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6,235</w:t>
            </w: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7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7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2"/>
              <w:spacing w:after="0" w:line="14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(29,546)</w:t>
            </w:r>
          </w:p>
        </w:tc>
        <w:tc>
          <w:tcPr>
            <w:tcW w:w="0" w:type="dxa"/>
            <w:vAlign w:val="bottom"/>
          </w:tcPr>
          <w:p>
            <w:pPr>
              <w:spacing w:after="0"/>
              <w:rPr>
                <w:sz w:val="1"/>
                <w:szCs w:val="1"/>
                <w:color w:val="auto"/>
              </w:rPr>
            </w:pPr>
          </w:p>
        </w:tc>
      </w:tr>
      <w:tr>
        <w:trPr>
          <w:trHeight w:val="19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36,182,297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147,788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849" w:right="10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9"/>
                <w:szCs w:val="9"/>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960" w:type="dxa"/>
            <w:vAlign w:val="bottom"/>
          </w:tcPr>
          <w:p>
            <w:pPr>
              <w:jc w:val="center"/>
              <w:ind w:right="52"/>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9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35,552,795</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400,918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(32)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(117,828)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283,061</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30,277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612"/>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(22,856)</w:t>
            </w:r>
          </w:p>
        </w:tc>
        <w:tc>
          <w:tcPr>
            <w:tcW w:w="0" w:type="dxa"/>
            <w:vAlign w:val="bottom"/>
          </w:tcPr>
          <w:p>
            <w:pPr>
              <w:spacing w:after="0"/>
              <w:rPr>
                <w:sz w:val="1"/>
                <w:szCs w:val="1"/>
                <w:color w:val="auto"/>
              </w:rPr>
            </w:pPr>
          </w:p>
        </w:tc>
      </w:tr>
      <w:tr>
        <w:trPr>
          <w:trHeight w:val="19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35,748,336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264,169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60" w:type="dxa"/>
            <w:vAlign w:val="bottom"/>
            <w:tcBorders>
              <w:top w:val="single" w:sz="8" w:color="CCEEFF"/>
            </w:tcBorders>
            <w:vMerge w:val="continue"/>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30,136</w:t>
            </w: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left="612"/>
              <w:spacing w:after="0" w:line="147"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7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12"/>
              <w:spacing w:after="0" w:line="14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75,444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4"/>
                <w:szCs w:val="14"/>
                <w:color w:val="auto"/>
                <w:w w:val="96"/>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(22,831)</w:t>
            </w:r>
          </w:p>
        </w:tc>
        <w:tc>
          <w:tcPr>
            <w:tcW w:w="0" w:type="dxa"/>
            <w:vAlign w:val="bottom"/>
          </w:tcPr>
          <w:p>
            <w:pPr>
              <w:spacing w:after="0"/>
              <w:rPr>
                <w:sz w:val="1"/>
                <w:szCs w:val="1"/>
                <w:color w:val="auto"/>
              </w:rPr>
            </w:pPr>
          </w:p>
        </w:tc>
      </w:tr>
      <w:tr>
        <w:trPr>
          <w:trHeight w:val="19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35,853,916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243,980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1053" w:right="10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Statements of Cash Flows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r>
      <w:tr>
        <w:trPr>
          <w:trHeight w:val="175"/>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7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Pr>
          <w:p>
            <w:pPr>
              <w:spacing w:after="0"/>
              <w:rPr>
                <w:sz w:val="18"/>
                <w:szCs w:val="18"/>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(45,687)</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729</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4,858</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Non-cash operating lease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441</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7,449</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1,907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non-current assets</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Other long term liabilities</w:t>
            </w: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r>
      <w:tr>
        <w:trPr>
          <w:trHeight w:val="209"/>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used in operating activities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(44,894)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(33,068)</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(78,048)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(138,832)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Maturity of short-term investments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155,529</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r>
      <w:tr>
        <w:trPr>
          <w:trHeight w:val="210"/>
        </w:trPr>
        <w:tc>
          <w:tcPr>
            <w:tcW w:w="7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provided by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15,816</w:t>
            </w:r>
          </w:p>
        </w:tc>
      </w:tr>
      <w:tr>
        <w:trPr>
          <w:trHeight w:val="19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Payment of deferred offering costs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issuance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Proceeds from term loan</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provided by financing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(26,595)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(15,690)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51,665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50,882</w:t>
            </w: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25,070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35,192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Purchase of property and equipment in accounts payable and accrued liabilities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of restricted stock awards from liabilities to common stock upon vesting</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unrealized (loss) gain on short-term investments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8"/>
                <w:szCs w:val="18"/>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r>
    </w:tbl>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14" w:lineRule="exact"/>
        <w:rPr>
          <w:sz w:val="20"/>
          <w:szCs w:val="20"/>
          <w:color w:val="auto"/>
        </w:rPr>
      </w:pPr>
    </w:p>
    <w:p>
      <w:pPr>
        <w:ind w:right="20" w:firstLine="1070"/>
        <w:spacing w:after="0" w:line="275" w:lineRule="auto"/>
        <w:rPr>
          <w:sz w:val="20"/>
          <w:szCs w:val="20"/>
          <w:color w:val="auto"/>
        </w:rPr>
      </w:pPr>
      <w:r>
        <w:rPr>
          <w:rFonts w:ascii="Arial" w:cs="Arial" w:eastAsia="Arial" w:hAnsi="Arial"/>
          <w:sz w:val="16"/>
          <w:szCs w:val="16"/>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66" w:lineRule="exact"/>
        <w:rPr>
          <w:sz w:val="20"/>
          <w:szCs w:val="20"/>
          <w:color w:val="auto"/>
        </w:rPr>
      </w:pPr>
    </w:p>
    <w:p>
      <w:pPr>
        <w:ind w:left="460" w:right="7860" w:hanging="458"/>
        <w:spacing w:after="0" w:line="377" w:lineRule="auto"/>
        <w:tabs>
          <w:tab w:leader="none" w:pos="171"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420" w:firstLine="1070"/>
        <w:spacing w:after="0" w:line="306"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42" w:lineRule="exact"/>
        <w:rPr>
          <w:sz w:val="20"/>
          <w:szCs w:val="20"/>
          <w:color w:val="auto"/>
        </w:rPr>
      </w:pPr>
    </w:p>
    <w:p>
      <w:pPr>
        <w:ind w:firstLine="1070"/>
        <w:spacing w:after="0" w:line="271" w:lineRule="auto"/>
        <w:rPr>
          <w:sz w:val="20"/>
          <w:szCs w:val="20"/>
          <w:color w:val="auto"/>
        </w:rPr>
      </w:pPr>
      <w:r>
        <w:rPr>
          <w:rFonts w:ascii="Arial" w:cs="Arial" w:eastAsia="Arial" w:hAnsi="Arial"/>
          <w:sz w:val="16"/>
          <w:szCs w:val="16"/>
          <w:color w:val="auto"/>
        </w:rPr>
        <w:t>The accompanying condensed balance sheet as of June 30, 2022, condensed statements of operations and comprehensive loss for the three and six months ended June 30, 2022 and 2021, condensed statements of cash flows for the six months ended June 30, 2022 and 2021, and the condensed statements of stockholders’ equity for the three and six months ended June 30, 2022 and 2021, are unaudited. The balance sheet as of December 31, 2021 was derived from audited financial statements as of and for the year ended December 31, 2021. The unaudited interim financial statements have been prepared on the same basis as the audited annual financial statements as of and for the year ended December 31, 2021, and, in the opinion of management, reflect all adjustments, which include only normal recurring adjustments, necessary for the fair statement of the Company’s financial position as of June 30, 2022, and the results of its operations and its cash flows for the three and six months ended June 30, 2022 and 2021. The financial data and other information disclosed in these notes related to the three and six months ended June 30, 2022 and 2021, are also unaudited.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0" w:lineRule="exact"/>
        <w:rPr>
          <w:sz w:val="20"/>
          <w:szCs w:val="20"/>
          <w:color w:val="auto"/>
        </w:rPr>
      </w:pPr>
    </w:p>
    <w:p>
      <w:pPr>
        <w:ind w:right="100" w:firstLine="1070"/>
        <w:spacing w:after="0" w:line="29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There have been no significant changes to the accounting policies during the three months ended June 30, 2022, as compared to the significant accounting policies described in Note 2 of the "Notes to the Financial Statements" in the Company's audited financial statements included in its Annual Report on Form 10-K for the fiscal year ended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Financial Instruments</w:t>
      </w:r>
    </w:p>
    <w:p>
      <w:pPr>
        <w:spacing w:after="0" w:line="114" w:lineRule="exact"/>
        <w:rPr>
          <w:sz w:val="20"/>
          <w:szCs w:val="20"/>
          <w:color w:val="auto"/>
        </w:rPr>
      </w:pPr>
    </w:p>
    <w:p>
      <w:pPr>
        <w:ind w:firstLine="1070"/>
        <w:spacing w:after="0" w:line="255"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12" w:name="page13"/>
    <w:bookmarkEnd w:id="12"/>
    <w:p>
      <w:pPr>
        <w:ind w:right="20" w:firstLine="1070"/>
        <w:spacing w:after="0" w:line="279" w:lineRule="auto"/>
        <w:rPr>
          <w:sz w:val="20"/>
          <w:szCs w:val="20"/>
          <w:color w:val="auto"/>
        </w:rPr>
      </w:pPr>
      <w:r>
        <w:rPr>
          <w:rFonts w:ascii="Arial" w:cs="Arial" w:eastAsia="Arial" w:hAnsi="Arial"/>
          <w:sz w:val="16"/>
          <w:szCs w:val="16"/>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w:t>
      </w:r>
    </w:p>
    <w:p>
      <w:pPr>
        <w:spacing w:after="0" w:line="163" w:lineRule="exact"/>
        <w:rPr>
          <w:sz w:val="20"/>
          <w:szCs w:val="20"/>
          <w:color w:val="auto"/>
        </w:rPr>
      </w:pPr>
    </w:p>
    <w:p>
      <w:pPr>
        <w:ind w:right="720" w:firstLine="1070"/>
        <w:spacing w:after="0" w:line="274" w:lineRule="auto"/>
        <w:rPr>
          <w:sz w:val="20"/>
          <w:szCs w:val="20"/>
          <w:color w:val="auto"/>
        </w:rPr>
      </w:pPr>
      <w:r>
        <w:rPr>
          <w:rFonts w:ascii="Arial" w:cs="Arial" w:eastAsia="Arial" w:hAnsi="Arial"/>
          <w:sz w:val="17"/>
          <w:szCs w:val="17"/>
          <w:color w:val="auto"/>
        </w:rPr>
        <w:t>There were no assets or liabilities recorded at fair value to the condensed balance sheets using Level 3 inputs as of June 30, 2022 and as of December 31, 2021.</w:t>
      </w:r>
    </w:p>
    <w:p>
      <w:pPr>
        <w:spacing w:after="0" w:line="165" w:lineRule="exact"/>
        <w:rPr>
          <w:sz w:val="20"/>
          <w:szCs w:val="20"/>
          <w:color w:val="auto"/>
        </w:rPr>
      </w:pPr>
    </w:p>
    <w:p>
      <w:pPr>
        <w:ind w:right="340" w:firstLine="1070"/>
        <w:spacing w:after="0" w:line="274" w:lineRule="auto"/>
        <w:rPr>
          <w:sz w:val="20"/>
          <w:szCs w:val="20"/>
          <w:color w:val="auto"/>
        </w:rPr>
      </w:pPr>
      <w:r>
        <w:rPr>
          <w:rFonts w:ascii="Arial" w:cs="Arial" w:eastAsia="Arial" w:hAnsi="Arial"/>
          <w:sz w:val="17"/>
          <w:szCs w:val="17"/>
          <w:color w:val="auto"/>
        </w:rPr>
        <w:t>The following tables show the Company’s Money Market Funds, U.S. government agency securities and corporate debt securities by significant investment category as of June 30, 2022 and December 31,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86"/>
              </w:rPr>
              <w:t>As of June 30, 2022</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Adjusted</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0"/>
                <w:szCs w:val="10"/>
                <w:color w:val="auto"/>
              </w:rPr>
            </w:pPr>
          </w:p>
        </w:tc>
        <w:tc>
          <w:tcPr>
            <w:tcW w:w="1040" w:type="dxa"/>
            <w:vAlign w:val="bottom"/>
          </w:tcPr>
          <w:p>
            <w:pPr>
              <w:jc w:val="center"/>
              <w:ind w:right="161"/>
              <w:spacing w:after="0" w:line="126"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Level 1:</w:t>
            </w: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10,587</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10,587</w:t>
            </w:r>
          </w:p>
        </w:tc>
        <w:tc>
          <w:tcPr>
            <w:tcW w:w="0" w:type="dxa"/>
            <w:vAlign w:val="bottom"/>
          </w:tcPr>
          <w:p>
            <w:pPr>
              <w:spacing w:after="0"/>
              <w:rPr>
                <w:sz w:val="1"/>
                <w:szCs w:val="1"/>
                <w:color w:val="auto"/>
              </w:rPr>
            </w:pPr>
          </w:p>
        </w:tc>
      </w:tr>
      <w:tr>
        <w:trPr>
          <w:trHeight w:val="217"/>
        </w:trPr>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Level 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00"/>
              <w:spacing w:after="0" w:line="166" w:lineRule="exact"/>
              <w:rPr>
                <w:sz w:val="20"/>
                <w:szCs w:val="20"/>
                <w:color w:val="auto"/>
              </w:rPr>
            </w:pPr>
            <w:r>
              <w:rPr>
                <w:rFonts w:ascii="Arial" w:cs="Arial" w:eastAsia="Arial" w:hAnsi="Arial"/>
                <w:sz w:val="17"/>
                <w:szCs w:val="17"/>
                <w:color w:val="auto"/>
                <w:w w:val="92"/>
              </w:rPr>
              <w:t>U.S. government agency securities included in cash and cash equivalents and</w:t>
            </w:r>
          </w:p>
        </w:tc>
        <w:tc>
          <w:tcPr>
            <w:tcW w:w="2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1"/>
              </w:rPr>
              <w:t>Corporate debt securities included in cash and cash equivalents and short-term</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143,777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142,518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153,105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6"/>
              </w:rPr>
              <w:t>As of December 31, 2021</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Adjusted</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0"/>
                <w:szCs w:val="10"/>
                <w:color w:val="auto"/>
              </w:rPr>
            </w:pPr>
          </w:p>
        </w:tc>
        <w:tc>
          <w:tcPr>
            <w:tcW w:w="1040" w:type="dxa"/>
            <w:vAlign w:val="bottom"/>
          </w:tcPr>
          <w:p>
            <w:pPr>
              <w:jc w:val="center"/>
              <w:ind w:right="161"/>
              <w:spacing w:after="0" w:line="126"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Level 1:</w:t>
            </w: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15,329</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15,329</w:t>
            </w:r>
          </w:p>
        </w:tc>
        <w:tc>
          <w:tcPr>
            <w:tcW w:w="0" w:type="dxa"/>
            <w:vAlign w:val="bottom"/>
          </w:tcPr>
          <w:p>
            <w:pPr>
              <w:spacing w:after="0"/>
              <w:rPr>
                <w:sz w:val="1"/>
                <w:szCs w:val="1"/>
                <w:color w:val="auto"/>
              </w:rPr>
            </w:pPr>
          </w:p>
        </w:tc>
      </w:tr>
      <w:tr>
        <w:trPr>
          <w:trHeight w:val="217"/>
        </w:trPr>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Level 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U.S. government agency securities included in short-term investments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5,003</w:t>
            </w:r>
          </w:p>
        </w:tc>
        <w:tc>
          <w:tcPr>
            <w:tcW w:w="0" w:type="dxa"/>
            <w:vAlign w:val="bottom"/>
          </w:tcPr>
          <w:p>
            <w:pPr>
              <w:spacing w:after="0"/>
              <w:rPr>
                <w:sz w:val="1"/>
                <w:szCs w:val="1"/>
                <w:color w:val="auto"/>
              </w:rPr>
            </w:pPr>
          </w:p>
        </w:tc>
      </w:tr>
      <w:tr>
        <w:trPr>
          <w:trHeight w:val="166"/>
        </w:trPr>
        <w:tc>
          <w:tcPr>
            <w:tcW w:w="56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1"/>
              </w:rPr>
              <w:t>Corporate debt securities included in cash and cash equivalents and short-term</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163,626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163,425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183,757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20" w:firstLine="1070"/>
        <w:spacing w:after="0" w:line="274" w:lineRule="auto"/>
        <w:rPr>
          <w:sz w:val="20"/>
          <w:szCs w:val="20"/>
          <w:color w:val="auto"/>
        </w:rPr>
      </w:pPr>
      <w:r>
        <w:rPr>
          <w:rFonts w:ascii="Arial" w:cs="Arial" w:eastAsia="Arial" w:hAnsi="Arial"/>
          <w:sz w:val="17"/>
          <w:szCs w:val="17"/>
          <w:color w:val="auto"/>
        </w:rPr>
        <w:t>The Company may sell certain of its short-term securities prior to their stated maturities for reasons including, but not limited to, managing liquidity, credit risk, duration and asset allocation.</w:t>
      </w:r>
    </w:p>
    <w:p>
      <w:pPr>
        <w:spacing w:after="0" w:line="165" w:lineRule="exact"/>
        <w:rPr>
          <w:sz w:val="20"/>
          <w:szCs w:val="20"/>
          <w:color w:val="auto"/>
        </w:rPr>
      </w:pPr>
    </w:p>
    <w:p>
      <w:pPr>
        <w:ind w:right="240" w:firstLine="1070"/>
        <w:spacing w:after="0" w:line="262" w:lineRule="auto"/>
        <w:rPr>
          <w:sz w:val="20"/>
          <w:szCs w:val="20"/>
          <w:color w:val="auto"/>
        </w:rPr>
      </w:pPr>
      <w:r>
        <w:rPr>
          <w:rFonts w:ascii="Arial" w:cs="Arial" w:eastAsia="Arial" w:hAnsi="Arial"/>
          <w:sz w:val="17"/>
          <w:szCs w:val="17"/>
          <w:color w:val="auto"/>
        </w:rPr>
        <w:t>There were no liabilities measured at fair value on a recurring basis as of June 30, 2022 and December 31, 2021. There have been no transfers between fair value measurement levels during the six months ended June 30, 2022. In addition, there were no assets or liabilities measured at fair value on a non-recurring basis as of June 30, 2022 and December 31, 2021.</w:t>
      </w:r>
    </w:p>
    <w:p>
      <w:pPr>
        <w:spacing w:after="0" w:line="175" w:lineRule="exact"/>
        <w:rPr>
          <w:sz w:val="20"/>
          <w:szCs w:val="20"/>
          <w:color w:val="auto"/>
        </w:rPr>
      </w:pPr>
    </w:p>
    <w:p>
      <w:pPr>
        <w:ind w:right="120" w:firstLine="1070"/>
        <w:spacing w:after="0" w:line="256" w:lineRule="auto"/>
        <w:rPr>
          <w:sz w:val="20"/>
          <w:szCs w:val="20"/>
          <w:color w:val="auto"/>
        </w:rPr>
      </w:pPr>
      <w:r>
        <w:rPr>
          <w:rFonts w:ascii="Arial" w:cs="Arial" w:eastAsia="Arial" w:hAnsi="Arial"/>
          <w:sz w:val="17"/>
          <w:szCs w:val="17"/>
          <w:color w:val="auto"/>
        </w:rPr>
        <w:t>As of June 30, 2022,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80" w:lineRule="exact"/>
        <w:rPr>
          <w:sz w:val="20"/>
          <w:szCs w:val="20"/>
          <w:color w:val="auto"/>
        </w:rPr>
      </w:pPr>
    </w:p>
    <w:p>
      <w:pPr>
        <w:ind w:right="520" w:firstLine="1070"/>
        <w:spacing w:after="0" w:line="306"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(expense), net in its condensed statement of operations and comprehensive loss.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Pr>
          <w:p>
            <w:pPr>
              <w:spacing w:after="0"/>
              <w:rPr>
                <w:sz w:val="14"/>
                <w:szCs w:val="14"/>
                <w:color w:val="auto"/>
              </w:rPr>
            </w:pPr>
          </w:p>
        </w:tc>
        <w:tc>
          <w:tcPr>
            <w:tcW w:w="1300" w:type="dxa"/>
            <w:vAlign w:val="bottom"/>
          </w:tcPr>
          <w:p>
            <w:pPr>
              <w:jc w:val="right"/>
              <w:ind w:right="79"/>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77"/>
        </w:trPr>
        <w:tc>
          <w:tcPr>
            <w:tcW w:w="8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8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 and software</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7,947</w:t>
            </w:r>
          </w:p>
        </w:tc>
        <w:tc>
          <w:tcPr>
            <w:tcW w:w="0" w:type="dxa"/>
            <w:vAlign w:val="bottom"/>
          </w:tcPr>
          <w:p>
            <w:pPr>
              <w:spacing w:after="0"/>
              <w:rPr>
                <w:sz w:val="1"/>
                <w:szCs w:val="1"/>
                <w:color w:val="auto"/>
              </w:rPr>
            </w:pPr>
          </w:p>
        </w:tc>
      </w:tr>
      <w:tr>
        <w:trPr>
          <w:trHeight w:val="217"/>
        </w:trPr>
        <w:tc>
          <w:tcPr>
            <w:tcW w:w="8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Construction-in-progress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8280" w:type="dxa"/>
            <w:vAlign w:val="bottom"/>
            <w:shd w:val="clear" w:color="auto" w:fill="CFF0FC"/>
          </w:tcPr>
          <w:p>
            <w:pPr>
              <w:ind w:left="440"/>
              <w:spacing w:after="0"/>
              <w:rPr>
                <w:sz w:val="20"/>
                <w:szCs w:val="20"/>
                <w:color w:val="auto"/>
              </w:rPr>
            </w:pPr>
            <w:r>
              <w:rPr>
                <w:rFonts w:ascii="Arial" w:cs="Arial" w:eastAsia="Arial" w:hAnsi="Arial"/>
                <w:sz w:val="17"/>
                <w:szCs w:val="17"/>
                <w:color w:val="auto"/>
              </w:rPr>
              <w:t>Total property and equipment, gross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9,625</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(5,019)</w:t>
            </w:r>
          </w:p>
        </w:tc>
        <w:tc>
          <w:tcPr>
            <w:tcW w:w="0" w:type="dxa"/>
            <w:vAlign w:val="bottom"/>
          </w:tcPr>
          <w:p>
            <w:pPr>
              <w:spacing w:after="0"/>
              <w:rPr>
                <w:sz w:val="1"/>
                <w:szCs w:val="1"/>
                <w:color w:val="auto"/>
              </w:rPr>
            </w:pPr>
          </w:p>
        </w:tc>
      </w:tr>
      <w:tr>
        <w:trPr>
          <w:trHeight w:val="234"/>
        </w:trPr>
        <w:tc>
          <w:tcPr>
            <w:tcW w:w="82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Total property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4,534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160" w:firstLine="1070"/>
        <w:spacing w:after="0" w:line="274" w:lineRule="auto"/>
        <w:rPr>
          <w:sz w:val="20"/>
          <w:szCs w:val="20"/>
          <w:color w:val="auto"/>
        </w:rPr>
      </w:pPr>
      <w:r>
        <w:rPr>
          <w:rFonts w:ascii="Arial" w:cs="Arial" w:eastAsia="Arial" w:hAnsi="Arial"/>
          <w:sz w:val="17"/>
          <w:szCs w:val="17"/>
          <w:color w:val="auto"/>
        </w:rPr>
        <w:t>Depreciation expense for the three months ended June 30, 2022 and 2021 was $0.5 million and $0.4 million, respectively. Depreciation expense for the six months ended June 30, 2022 and 2021 was $0.9 million and $0.7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Prepaid Expenses and Other Current Assets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Prepaid expenses and other current assets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86"/>
              </w:rPr>
              <w:t>As of 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77"/>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8"/>
        </w:trPr>
        <w:tc>
          <w:tcPr>
            <w:tcW w:w="8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research and development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12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7"/>
                <w:szCs w:val="17"/>
                <w:color w:val="auto"/>
              </w:rPr>
              <w:t>Prepaid insurance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r>
        <w:trPr>
          <w:trHeight w:val="217"/>
        </w:trPr>
        <w:tc>
          <w:tcPr>
            <w:tcW w:w="8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licenses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2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16"/>
        </w:trPr>
        <w:tc>
          <w:tcPr>
            <w:tcW w:w="8060" w:type="dxa"/>
            <w:vAlign w:val="bottom"/>
          </w:tcPr>
          <w:p>
            <w:pPr>
              <w:ind w:left="40"/>
              <w:spacing w:after="0"/>
              <w:rPr>
                <w:sz w:val="20"/>
                <w:szCs w:val="20"/>
                <w:color w:val="auto"/>
              </w:rPr>
            </w:pPr>
            <w:r>
              <w:rPr>
                <w:rFonts w:ascii="Arial" w:cs="Arial" w:eastAsia="Arial" w:hAnsi="Arial"/>
                <w:sz w:val="17"/>
                <w:szCs w:val="17"/>
                <w:color w:val="auto"/>
              </w:rPr>
              <w:t>Interest receivable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8"/>
        </w:trPr>
        <w:tc>
          <w:tcPr>
            <w:tcW w:w="8060" w:type="dxa"/>
            <w:vAlign w:val="bottom"/>
          </w:tcPr>
          <w:p>
            <w:pPr>
              <w:ind w:left="440"/>
              <w:spacing w:after="0"/>
              <w:rPr>
                <w:sz w:val="20"/>
                <w:szCs w:val="20"/>
                <w:color w:val="auto"/>
              </w:rPr>
            </w:pPr>
            <w:r>
              <w:rPr>
                <w:rFonts w:ascii="Arial" w:cs="Arial" w:eastAsia="Arial" w:hAnsi="Arial"/>
                <w:sz w:val="17"/>
                <w:szCs w:val="17"/>
                <w:color w:val="auto"/>
              </w:rPr>
              <w:t>Total prepaid expenses and other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7"/>
                <w:szCs w:val="17"/>
                <w:b w:val="1"/>
                <w:bCs w:val="1"/>
                <w:color w:val="auto"/>
              </w:rPr>
              <w:t>6. Accrued Liabilities and Other Long-Term Liabilities</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8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60" w:type="dxa"/>
            <w:vAlign w:val="bottom"/>
          </w:tcPr>
          <w:p>
            <w:pPr>
              <w:ind w:left="460"/>
              <w:spacing w:after="0"/>
              <w:rPr>
                <w:sz w:val="20"/>
                <w:szCs w:val="20"/>
                <w:color w:val="auto"/>
              </w:rPr>
            </w:pPr>
            <w:r>
              <w:rPr>
                <w:rFonts w:ascii="Arial" w:cs="Arial" w:eastAsia="Arial" w:hAnsi="Arial"/>
                <w:sz w:val="17"/>
                <w:szCs w:val="17"/>
                <w:b w:val="1"/>
                <w:bCs w:val="1"/>
                <w:i w:val="1"/>
                <w:iCs w:val="1"/>
                <w:color w:val="auto"/>
              </w:rPr>
              <w:t>Accrued Liabilities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60" w:type="dxa"/>
            <w:vAlign w:val="bottom"/>
          </w:tcPr>
          <w:p>
            <w:pPr>
              <w:ind w:left="1080"/>
              <w:spacing w:after="0"/>
              <w:rPr>
                <w:sz w:val="20"/>
                <w:szCs w:val="20"/>
                <w:color w:val="auto"/>
              </w:rPr>
            </w:pPr>
            <w:r>
              <w:rPr>
                <w:rFonts w:ascii="Arial" w:cs="Arial" w:eastAsia="Arial" w:hAnsi="Arial"/>
                <w:sz w:val="17"/>
                <w:szCs w:val="17"/>
                <w:color w:val="auto"/>
              </w:rPr>
              <w:t>Accrued liabilities consisted of the following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86"/>
              </w:rPr>
              <w:t>As of June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77"/>
        </w:trPr>
        <w:tc>
          <w:tcPr>
            <w:tcW w:w="80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8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Accrued compensation and benefits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5,216</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7"/>
                <w:szCs w:val="17"/>
                <w:color w:val="auto"/>
              </w:rPr>
              <w:t>Accrued research and development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5,868</w:t>
            </w:r>
          </w:p>
        </w:tc>
        <w:tc>
          <w:tcPr>
            <w:tcW w:w="0" w:type="dxa"/>
            <w:vAlign w:val="bottom"/>
          </w:tcPr>
          <w:p>
            <w:pPr>
              <w:spacing w:after="0"/>
              <w:rPr>
                <w:sz w:val="1"/>
                <w:szCs w:val="1"/>
                <w:color w:val="auto"/>
              </w:rPr>
            </w:pPr>
          </w:p>
        </w:tc>
      </w:tr>
      <w:tr>
        <w:trPr>
          <w:trHeight w:val="217"/>
        </w:trPr>
        <w:tc>
          <w:tcPr>
            <w:tcW w:w="8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accrued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7"/>
                <w:szCs w:val="17"/>
                <w:color w:val="auto"/>
              </w:rPr>
              <w:t>Total accrued liabilities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17,395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11,991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Accrued compensation and benefits consist primarily of accrued bonuses and accrued vacation.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14" w:lineRule="exact"/>
        <w:rPr>
          <w:sz w:val="20"/>
          <w:szCs w:val="20"/>
          <w:color w:val="auto"/>
        </w:rPr>
      </w:pPr>
    </w:p>
    <w:p>
      <w:pPr>
        <w:ind w:right="40" w:firstLine="1070"/>
        <w:spacing w:after="0" w:line="223" w:lineRule="auto"/>
        <w:rPr>
          <w:sz w:val="20"/>
          <w:szCs w:val="20"/>
          <w:color w:val="auto"/>
        </w:rPr>
      </w:pPr>
      <w:r>
        <w:rPr>
          <w:rFonts w:ascii="Arial" w:cs="Arial" w:eastAsia="Arial" w:hAnsi="Arial"/>
          <w:sz w:val="17"/>
          <w:szCs w:val="17"/>
          <w:color w:val="auto"/>
        </w:rPr>
        <w:t>In May 2022, we entered into a term loan facility (the “Oxford Loan Agreement”) with Oxford Finance LLC (the "Lender") for up to $100.0 million. At closing, we entered into a term loan for $10.0 million of an initial $25.0 million tranche, with the remaining $15.0 million available through the end of the year. The Oxford Loan Agreement provides for an additional $75.0 million over three tranches, $50.0 million of which is at our option upon the satisfaction of certain conditions related to the development of PLN-74809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4" w:name="page15"/>
    <w:bookmarkEnd w:id="14"/>
    <w:p>
      <w:pPr>
        <w:jc w:val="both"/>
        <w:ind w:right="140" w:firstLine="1070"/>
        <w:spacing w:after="0" w:line="313" w:lineRule="auto"/>
        <w:rPr>
          <w:sz w:val="20"/>
          <w:szCs w:val="20"/>
          <w:color w:val="auto"/>
        </w:rPr>
      </w:pPr>
      <w:r>
        <w:rPr>
          <w:rFonts w:ascii="Arial" w:cs="Arial" w:eastAsia="Arial" w:hAnsi="Arial"/>
          <w:sz w:val="15"/>
          <w:szCs w:val="15"/>
          <w:color w:val="auto"/>
        </w:rPr>
        <w:t>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w:t>
      </w:r>
    </w:p>
    <w:p>
      <w:pPr>
        <w:spacing w:after="0" w:line="38" w:lineRule="exact"/>
        <w:rPr>
          <w:sz w:val="20"/>
          <w:szCs w:val="20"/>
          <w:color w:val="auto"/>
        </w:rPr>
      </w:pPr>
    </w:p>
    <w:p>
      <w:pPr>
        <w:ind w:firstLine="1070"/>
        <w:spacing w:after="0" w:line="262" w:lineRule="auto"/>
        <w:rPr>
          <w:sz w:val="20"/>
          <w:szCs w:val="20"/>
          <w:color w:val="auto"/>
        </w:rPr>
      </w:pPr>
      <w:r>
        <w:rPr>
          <w:rFonts w:ascii="Arial" w:cs="Arial" w:eastAsia="Arial" w:hAnsi="Arial"/>
          <w:sz w:val="17"/>
          <w:szCs w:val="17"/>
          <w:color w:val="auto"/>
        </w:rPr>
        <w:t>The estimated fair value of the term loan as of June 30, 2022 was measured using Level 3 inputs and approximates the carrying value recorded to the condensed balance sheet. The effective interest rate for the term loan is 9.27% and interest expense for the three and six months ended June 30, 2022 was $0.2 million. We had no outstanding debt and did not incur interest expense in 2021.</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Future maturities of debt as of June 30, 2022 are as follows:</w:t>
      </w:r>
    </w:p>
    <w:p>
      <w:pPr>
        <w:spacing w:after="0" w:line="26" w:lineRule="exact"/>
        <w:rPr>
          <w:sz w:val="20"/>
          <w:szCs w:val="20"/>
          <w:color w:val="auto"/>
        </w:rPr>
      </w:pPr>
    </w:p>
    <w:tbl>
      <w:tblPr>
        <w:tblLayout w:type="fixed"/>
        <w:tblInd w:w="3860" w:type="dxa"/>
        <w:tblCellMar>
          <w:top w:w="0" w:type="dxa"/>
          <w:left w:w="0" w:type="dxa"/>
          <w:bottom w:w="0" w:type="dxa"/>
          <w:right w:w="0" w:type="dxa"/>
        </w:tblCellMar>
      </w:tblPr>
      <w:tr>
        <w:trPr>
          <w:trHeight w:val="180"/>
        </w:trPr>
        <w:tc>
          <w:tcPr>
            <w:tcW w:w="18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2"/>
              </w:rPr>
              <w:t>As of June 30, 2022</w:t>
            </w:r>
          </w:p>
        </w:tc>
      </w:tr>
      <w:tr>
        <w:trPr>
          <w:trHeight w:val="215"/>
        </w:trPr>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1840" w:type="dxa"/>
            <w:vAlign w:val="bottom"/>
          </w:tcPr>
          <w:p>
            <w:pPr>
              <w:jc w:val="right"/>
              <w:spacing w:after="0"/>
              <w:rPr>
                <w:sz w:val="20"/>
                <w:szCs w:val="20"/>
                <w:color w:val="auto"/>
              </w:rPr>
            </w:pPr>
            <w:r>
              <w:rPr>
                <w:rFonts w:ascii="Arial" w:cs="Arial" w:eastAsia="Arial" w:hAnsi="Arial"/>
                <w:sz w:val="17"/>
                <w:szCs w:val="17"/>
                <w:color w:val="auto"/>
              </w:rPr>
              <w:t>2023</w:t>
            </w:r>
          </w:p>
        </w:tc>
        <w:tc>
          <w:tcPr>
            <w:tcW w:w="1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1840" w:type="dxa"/>
            <w:vAlign w:val="bottom"/>
          </w:tcPr>
          <w:p>
            <w:pPr>
              <w:jc w:val="right"/>
              <w:spacing w:after="0"/>
              <w:rPr>
                <w:sz w:val="20"/>
                <w:szCs w:val="20"/>
                <w:color w:val="auto"/>
              </w:rPr>
            </w:pPr>
            <w:r>
              <w:rPr>
                <w:rFonts w:ascii="Arial" w:cs="Arial" w:eastAsia="Arial" w:hAnsi="Arial"/>
                <w:sz w:val="17"/>
                <w:szCs w:val="17"/>
                <w:color w:val="auto"/>
              </w:rPr>
              <w:t>2025</w:t>
            </w:r>
          </w:p>
        </w:tc>
        <w:tc>
          <w:tcPr>
            <w:tcW w:w="1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w:t>
            </w:r>
          </w:p>
        </w:tc>
      </w:tr>
      <w:tr>
        <w:trPr>
          <w:trHeight w:val="216"/>
        </w:trPr>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Thereafter</w:t>
            </w:r>
          </w:p>
        </w:tc>
        <w:tc>
          <w:tcPr>
            <w:tcW w:w="1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4,545</w:t>
            </w:r>
          </w:p>
        </w:tc>
      </w:tr>
      <w:tr>
        <w:trPr>
          <w:trHeight w:val="235"/>
        </w:trPr>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Total</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Novartis Collaboration and License Agreement (the "Novartis Agreement")</w:t>
      </w:r>
    </w:p>
    <w:p>
      <w:pPr>
        <w:spacing w:after="0" w:line="114" w:lineRule="exact"/>
        <w:rPr>
          <w:sz w:val="20"/>
          <w:szCs w:val="20"/>
          <w:color w:val="auto"/>
        </w:rPr>
      </w:pPr>
    </w:p>
    <w:p>
      <w:pPr>
        <w:jc w:val="both"/>
        <w:ind w:right="20" w:firstLine="1070"/>
        <w:spacing w:after="0" w:line="272" w:lineRule="auto"/>
        <w:rPr>
          <w:sz w:val="20"/>
          <w:szCs w:val="20"/>
          <w:color w:val="auto"/>
        </w:rPr>
      </w:pPr>
      <w:r>
        <w:rPr>
          <w:rFonts w:ascii="Arial" w:cs="Arial" w:eastAsia="Arial" w:hAnsi="Arial"/>
          <w:sz w:val="16"/>
          <w:szCs w:val="16"/>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4"/>
          <w:szCs w:val="14"/>
          <w:color w:val="auto"/>
        </w:rPr>
        <w:t>v</w:t>
      </w:r>
      <w:r>
        <w:rPr>
          <w:rFonts w:ascii="Arial" w:cs="Arial" w:eastAsia="Arial" w:hAnsi="Arial"/>
          <w:sz w:val="16"/>
          <w:szCs w:val="16"/>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$20.0 million associated with research and development services for PLN-1474 and up to $16.8 million for research and development services on the integrin research targets. As of June 30, 2022, aggregate unrecognized transaction price of $2.3 million is associated with performance obligations we expect to satisfy in 2022.</w:t>
      </w:r>
    </w:p>
    <w:p>
      <w:pPr>
        <w:spacing w:after="0" w:line="68" w:lineRule="exact"/>
        <w:rPr>
          <w:sz w:val="20"/>
          <w:szCs w:val="20"/>
          <w:color w:val="auto"/>
        </w:rPr>
      </w:pPr>
    </w:p>
    <w:p>
      <w:pPr>
        <w:ind w:right="40" w:firstLine="1070"/>
        <w:spacing w:after="0" w:line="298" w:lineRule="auto"/>
        <w:rPr>
          <w:sz w:val="20"/>
          <w:szCs w:val="20"/>
          <w:color w:val="auto"/>
        </w:rPr>
      </w:pPr>
      <w:r>
        <w:rPr>
          <w:rFonts w:ascii="Arial" w:cs="Arial" w:eastAsia="Arial" w:hAnsi="Arial"/>
          <w:sz w:val="15"/>
          <w:szCs w:val="15"/>
          <w:color w:val="auto"/>
        </w:rPr>
        <w:t>In the second quarter of 2022, Novartis exercised their right to opt-in to a research program and secured an exclusive license to compounds associated with an integrin research target, which entitles us to a $4.0 million payment, which was recognized in accounts receivable and revenue as of and for three months ended June 30, 2022. To date, we have received $25.0 million in contingent payments and $387.0 million remain eligible for achievement. No contingent payments were recognized during the three and six months ended June 30, 2021. Revenues associated with the Novartis Agreement for the three and six months ended June 30, 2022 were $5.0 million and $6.2 million, respectively, and $1.8 million, and $4.0 million for three and six months ended June 30, 2021, respectively.</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Regents of the University of California License Agreement (the "UC Agreement")</w:t>
      </w:r>
    </w:p>
    <w:p>
      <w:pPr>
        <w:spacing w:after="0" w:line="114" w:lineRule="exact"/>
        <w:rPr>
          <w:sz w:val="20"/>
          <w:szCs w:val="20"/>
          <w:color w:val="auto"/>
        </w:rPr>
      </w:pPr>
    </w:p>
    <w:p>
      <w:pPr>
        <w:ind w:right="20" w:firstLine="1070"/>
        <w:spacing w:after="0" w:line="256" w:lineRule="auto"/>
        <w:rPr>
          <w:sz w:val="20"/>
          <w:szCs w:val="20"/>
          <w:color w:val="auto"/>
        </w:rPr>
      </w:pPr>
      <w:r>
        <w:rPr>
          <w:rFonts w:ascii="Arial" w:cs="Arial" w:eastAsia="Arial" w:hAnsi="Arial"/>
          <w:sz w:val="17"/>
          <w:szCs w:val="17"/>
          <w:color w:val="auto"/>
        </w:rPr>
        <w:t>In 2015, we entered into the UC Agreement to obtain an exclusive, worldwide license relating to the use of certain patents and technology relating to α</w:t>
      </w:r>
      <w:r>
        <w:rPr>
          <w:rFonts w:ascii="Arial" w:cs="Arial" w:eastAsia="Arial" w:hAnsi="Arial"/>
          <w:sz w:val="15"/>
          <w:szCs w:val="15"/>
          <w:color w:val="auto"/>
        </w:rPr>
        <w:t>v</w:t>
      </w:r>
      <w:r>
        <w:rPr>
          <w:rFonts w:ascii="Arial" w:cs="Arial" w:eastAsia="Arial" w:hAnsi="Arial"/>
          <w:sz w:val="17"/>
          <w:szCs w:val="17"/>
          <w:color w:val="auto"/>
        </w:rPr>
        <w:t>ß1 compound in fibrosis indications. Pursuant to the UC Agreement, we made a $2.4 million milestone payment upon the close of our initial public offering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Adimab Development and Option Agreement (the "Adimab Agreement")</w:t>
      </w:r>
    </w:p>
    <w:p>
      <w:pPr>
        <w:spacing w:after="0" w:line="114" w:lineRule="exact"/>
        <w:rPr>
          <w:sz w:val="20"/>
          <w:szCs w:val="20"/>
          <w:color w:val="auto"/>
        </w:rPr>
      </w:pPr>
    </w:p>
    <w:p>
      <w:pPr>
        <w:ind w:right="40" w:firstLine="1070"/>
        <w:spacing w:after="0" w:line="303" w:lineRule="auto"/>
        <w:rPr>
          <w:sz w:val="20"/>
          <w:szCs w:val="20"/>
          <w:color w:val="auto"/>
        </w:rPr>
      </w:pPr>
      <w:r>
        <w:rPr>
          <w:rFonts w:ascii="Arial" w:cs="Arial" w:eastAsia="Arial" w:hAnsi="Arial"/>
          <w:sz w:val="15"/>
          <w:szCs w:val="15"/>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15" w:name="page16"/>
    <w:bookmarkEnd w:id="15"/>
    <w:p>
      <w:pPr>
        <w:ind w:right="320"/>
        <w:spacing w:after="0" w:line="274" w:lineRule="auto"/>
        <w:rPr>
          <w:sz w:val="20"/>
          <w:szCs w:val="20"/>
          <w:color w:val="auto"/>
        </w:rPr>
      </w:pPr>
      <w:r>
        <w:rPr>
          <w:rFonts w:ascii="Arial" w:cs="Arial" w:eastAsia="Arial" w:hAnsi="Arial"/>
          <w:sz w:val="17"/>
          <w:szCs w:val="17"/>
          <w:color w:val="auto"/>
        </w:rPr>
        <w:t>have an exclusive option to obtain a worldwide, royalty-bearing, sublicensable license under Adimab platform patents and other Adimab technology to research, develop and commercialize up to 24 antibodies of our selection.</w:t>
      </w:r>
    </w:p>
    <w:p>
      <w:pPr>
        <w:spacing w:after="0" w:line="63" w:lineRule="exact"/>
        <w:rPr>
          <w:sz w:val="20"/>
          <w:szCs w:val="20"/>
          <w:color w:val="auto"/>
        </w:rPr>
      </w:pPr>
    </w:p>
    <w:p>
      <w:pPr>
        <w:ind w:right="100" w:firstLine="1070"/>
        <w:spacing w:after="0" w:line="262" w:lineRule="auto"/>
        <w:rPr>
          <w:sz w:val="20"/>
          <w:szCs w:val="20"/>
          <w:color w:val="auto"/>
        </w:rPr>
      </w:pPr>
      <w:r>
        <w:rPr>
          <w:rFonts w:ascii="Arial" w:cs="Arial" w:eastAsia="Arial" w:hAnsi="Arial"/>
          <w:sz w:val="17"/>
          <w:szCs w:val="17"/>
          <w:color w:val="auto"/>
        </w:rPr>
        <w:t>As of June 30, 2022, we have not exercised our option to further develop any antibody proteins. During the three and six months ended June 30, 2022, no research and development expenses under the Adimab Agreement were recognized relating to full-time employee costs. The Company recognized costs of $28,000 during the three and six months ended June 30, 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Redeemable Convertible Preferred Stock</w:t>
      </w:r>
    </w:p>
    <w:p>
      <w:pPr>
        <w:spacing w:after="0" w:line="114" w:lineRule="exact"/>
        <w:rPr>
          <w:sz w:val="20"/>
          <w:szCs w:val="20"/>
          <w:color w:val="auto"/>
        </w:rPr>
      </w:pPr>
    </w:p>
    <w:p>
      <w:pPr>
        <w:ind w:right="20" w:firstLine="1070"/>
        <w:spacing w:after="0" w:line="275"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June 30, 2022 and December 31, 2021, the Company was authorized to issue 10,000,000 shares of preferred stock and there was no outstanding preferred stock as of June 30, 2022 and December 31, 2021.</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Stock</w:t>
      </w:r>
    </w:p>
    <w:p>
      <w:pPr>
        <w:spacing w:after="0" w:line="114" w:lineRule="exact"/>
        <w:rPr>
          <w:sz w:val="20"/>
          <w:szCs w:val="20"/>
          <w:color w:val="auto"/>
        </w:rPr>
      </w:pPr>
    </w:p>
    <w:p>
      <w:pPr>
        <w:ind w:right="220" w:firstLine="1070"/>
        <w:spacing w:after="0" w:line="274" w:lineRule="auto"/>
        <w:rPr>
          <w:sz w:val="20"/>
          <w:szCs w:val="20"/>
          <w:color w:val="auto"/>
        </w:rPr>
      </w:pPr>
      <w:r>
        <w:rPr>
          <w:rFonts w:ascii="Arial" w:cs="Arial" w:eastAsia="Arial" w:hAnsi="Arial"/>
          <w:sz w:val="17"/>
          <w:szCs w:val="17"/>
          <w:color w:val="auto"/>
        </w:rPr>
        <w:t>As of June 30, 2022 and December 31, 2021, the Company was authorized to issue 300,000,000 shares of common stock at a par value of $0.0001 per share. The common stock has the following rights and privileges: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The holders of shares of common stock are entitled to one vote for each share of common stock held at any meeting of stockholders and at the time of any written action in lieu of a meeting.</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Dividends</w:t>
      </w:r>
    </w:p>
    <w:p>
      <w:pPr>
        <w:spacing w:after="0" w:line="110" w:lineRule="exact"/>
        <w:rPr>
          <w:sz w:val="20"/>
          <w:szCs w:val="20"/>
          <w:color w:val="auto"/>
        </w:rPr>
      </w:pPr>
    </w:p>
    <w:p>
      <w:pPr>
        <w:ind w:right="80" w:firstLine="1070"/>
        <w:spacing w:after="0" w:line="313" w:lineRule="auto"/>
        <w:rPr>
          <w:sz w:val="20"/>
          <w:szCs w:val="20"/>
          <w:color w:val="auto"/>
        </w:rPr>
      </w:pPr>
      <w:r>
        <w:rPr>
          <w:rFonts w:ascii="Arial" w:cs="Arial" w:eastAsia="Arial" w:hAnsi="Arial"/>
          <w:sz w:val="15"/>
          <w:szCs w:val="15"/>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Liquidation</w:t>
      </w:r>
    </w:p>
    <w:p>
      <w:pPr>
        <w:spacing w:after="0" w:line="110" w:lineRule="exact"/>
        <w:rPr>
          <w:sz w:val="20"/>
          <w:szCs w:val="20"/>
          <w:color w:val="auto"/>
        </w:rPr>
      </w:pPr>
    </w:p>
    <w:p>
      <w:pPr>
        <w:jc w:val="both"/>
        <w:ind w:firstLine="1070"/>
        <w:spacing w:after="0" w:line="262" w:lineRule="auto"/>
        <w:rPr>
          <w:sz w:val="20"/>
          <w:szCs w:val="20"/>
          <w:color w:val="auto"/>
        </w:rPr>
      </w:pPr>
      <w:r>
        <w:rPr>
          <w:rFonts w:ascii="Arial" w:cs="Arial" w:eastAsia="Arial" w:hAnsi="Arial"/>
          <w:sz w:val="17"/>
          <w:szCs w:val="17"/>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As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27"/>
        </w:trPr>
        <w:tc>
          <w:tcPr>
            <w:tcW w:w="8260" w:type="dxa"/>
            <w:vAlign w:val="bottom"/>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5"/>
              </w:rPr>
              <w:t>June 30,</w:t>
            </w: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5"/>
              </w:rPr>
              <w:t>December 31,</w:t>
            </w:r>
          </w:p>
        </w:tc>
      </w:tr>
      <w:tr>
        <w:trPr>
          <w:trHeight w:val="175"/>
        </w:trPr>
        <w:tc>
          <w:tcPr>
            <w:tcW w:w="82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2021</w:t>
            </w:r>
          </w:p>
        </w:tc>
      </w:tr>
      <w:tr>
        <w:trPr>
          <w:trHeight w:val="212"/>
        </w:trPr>
        <w:tc>
          <w:tcPr>
            <w:tcW w:w="8260" w:type="dxa"/>
            <w:vAlign w:val="bottom"/>
          </w:tcPr>
          <w:p>
            <w:pPr>
              <w:ind w:left="20"/>
              <w:spacing w:after="0"/>
              <w:rPr>
                <w:sz w:val="20"/>
                <w:szCs w:val="20"/>
                <w:color w:val="auto"/>
              </w:rPr>
            </w:pPr>
            <w:r>
              <w:rPr>
                <w:rFonts w:ascii="Arial" w:cs="Arial" w:eastAsia="Arial" w:hAnsi="Arial"/>
                <w:sz w:val="17"/>
                <w:szCs w:val="17"/>
                <w:color w:val="auto"/>
              </w:rPr>
              <w:t>Exercises of outstanding stock option awards</w:t>
            </w:r>
          </w:p>
        </w:tc>
        <w:tc>
          <w:tcPr>
            <w:tcW w:w="1440" w:type="dxa"/>
            <w:vAlign w:val="bottom"/>
          </w:tcPr>
          <w:p>
            <w:pPr>
              <w:jc w:val="right"/>
              <w:ind w:right="2"/>
              <w:spacing w:after="0"/>
              <w:rPr>
                <w:sz w:val="20"/>
                <w:szCs w:val="20"/>
                <w:color w:val="auto"/>
              </w:rPr>
            </w:pPr>
            <w:r>
              <w:rPr>
                <w:rFonts w:ascii="Arial" w:cs="Arial" w:eastAsia="Arial" w:hAnsi="Arial"/>
                <w:sz w:val="17"/>
                <w:szCs w:val="17"/>
                <w:color w:val="auto"/>
              </w:rPr>
              <w:t>5,420,264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3,620,180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available for future grants under the 2020 Equity Incentive Plan</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4,155,190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4,234,213</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of common stock available for future issuance under the 2020 ESPP</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922,725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613,098</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shares reserved for future issuance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10,498,179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8,467,491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Equity Incentive Plans and Stock-Based Compensation</w:t>
      </w:r>
    </w:p>
    <w:p>
      <w:pPr>
        <w:spacing w:after="0" w:line="114" w:lineRule="exact"/>
        <w:rPr>
          <w:sz w:val="20"/>
          <w:szCs w:val="20"/>
          <w:color w:val="auto"/>
        </w:rPr>
      </w:pPr>
    </w:p>
    <w:p>
      <w:pPr>
        <w:ind w:right="320" w:firstLine="1070"/>
        <w:spacing w:after="0" w:line="275" w:lineRule="auto"/>
        <w:rPr>
          <w:sz w:val="20"/>
          <w:szCs w:val="20"/>
          <w:color w:val="auto"/>
        </w:rPr>
      </w:pPr>
      <w:r>
        <w:rPr>
          <w:rFonts w:ascii="Arial" w:cs="Arial" w:eastAsia="Arial" w:hAnsi="Arial"/>
          <w:sz w:val="16"/>
          <w:szCs w:val="16"/>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6" w:name="page17"/>
    <w:bookmarkEnd w:id="16"/>
    <w:p>
      <w:pPr>
        <w:ind w:right="440"/>
        <w:spacing w:after="0" w:line="274" w:lineRule="auto"/>
        <w:rPr>
          <w:sz w:val="20"/>
          <w:szCs w:val="20"/>
          <w:color w:val="auto"/>
        </w:rPr>
      </w:pPr>
      <w:r>
        <w:rPr>
          <w:rFonts w:ascii="Arial" w:cs="Arial" w:eastAsia="Arial" w:hAnsi="Arial"/>
          <w:sz w:val="17"/>
          <w:szCs w:val="17"/>
          <w:color w:val="auto"/>
        </w:rPr>
        <w:t>2015 Plan by 1.4 million shares. In May 2020, the board of directors adopted the 2020 Stock Options and Incentive Plan (the “2020 Plan”). The 2015 Plan was suspended and no further grants may be issued under the 2015 Plan.</w:t>
      </w:r>
    </w:p>
    <w:p>
      <w:pPr>
        <w:spacing w:after="0" w:line="63"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June 30, 2022, 4.2 million shares remained available for issuance under the 2020 Plan.</w:t>
      </w:r>
    </w:p>
    <w:p>
      <w:pPr>
        <w:spacing w:after="0" w:line="171" w:lineRule="exact"/>
        <w:rPr>
          <w:sz w:val="20"/>
          <w:szCs w:val="20"/>
          <w:color w:val="auto"/>
        </w:rPr>
      </w:pPr>
    </w:p>
    <w:p>
      <w:pPr>
        <w:ind w:right="200" w:firstLine="993"/>
        <w:spacing w:after="0" w:line="275" w:lineRule="auto"/>
        <w:rPr>
          <w:sz w:val="20"/>
          <w:szCs w:val="20"/>
          <w:color w:val="auto"/>
        </w:rPr>
      </w:pPr>
      <w:r>
        <w:rPr>
          <w:rFonts w:ascii="Arial" w:cs="Arial" w:eastAsia="Arial" w:hAnsi="Arial"/>
          <w:sz w:val="16"/>
          <w:szCs w:val="16"/>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68" w:lineRule="exact"/>
        <w:rPr>
          <w:sz w:val="20"/>
          <w:szCs w:val="20"/>
          <w:color w:val="auto"/>
        </w:rPr>
      </w:pPr>
    </w:p>
    <w:p>
      <w:pPr>
        <w:ind w:right="80" w:firstLine="993"/>
        <w:spacing w:after="0" w:line="313" w:lineRule="auto"/>
        <w:rPr>
          <w:sz w:val="20"/>
          <w:szCs w:val="20"/>
          <w:color w:val="auto"/>
        </w:rPr>
      </w:pPr>
      <w:r>
        <w:rPr>
          <w:rFonts w:ascii="Arial" w:cs="Arial" w:eastAsia="Arial" w:hAnsi="Arial"/>
          <w:sz w:val="15"/>
          <w:szCs w:val="15"/>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Common Stock Awards</w:t>
      </w:r>
    </w:p>
    <w:p>
      <w:pPr>
        <w:spacing w:after="0" w:line="110" w:lineRule="exact"/>
        <w:rPr>
          <w:sz w:val="20"/>
          <w:szCs w:val="20"/>
          <w:color w:val="auto"/>
        </w:rPr>
      </w:pPr>
    </w:p>
    <w:p>
      <w:pPr>
        <w:ind w:right="60" w:firstLine="1070"/>
        <w:spacing w:after="0" w:line="273" w:lineRule="auto"/>
        <w:rPr>
          <w:sz w:val="20"/>
          <w:szCs w:val="20"/>
          <w:color w:val="auto"/>
        </w:rPr>
      </w:pPr>
      <w:r>
        <w:rPr>
          <w:rFonts w:ascii="Arial" w:cs="Arial" w:eastAsia="Arial" w:hAnsi="Arial"/>
          <w:sz w:val="16"/>
          <w:szCs w:val="16"/>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common stock shareholders and have dividends and voting rights.</w:t>
      </w:r>
    </w:p>
    <w:p>
      <w:pPr>
        <w:spacing w:after="0" w:line="171" w:lineRule="exact"/>
        <w:rPr>
          <w:sz w:val="20"/>
          <w:szCs w:val="20"/>
          <w:color w:val="auto"/>
        </w:rPr>
      </w:pPr>
    </w:p>
    <w:p>
      <w:pPr>
        <w:ind w:right="160" w:firstLine="1070"/>
        <w:spacing w:after="0" w:line="258" w:lineRule="auto"/>
        <w:rPr>
          <w:sz w:val="20"/>
          <w:szCs w:val="20"/>
          <w:color w:val="auto"/>
        </w:rPr>
      </w:pPr>
      <w:r>
        <w:rPr>
          <w:rFonts w:ascii="Arial" w:cs="Arial" w:eastAsia="Arial" w:hAnsi="Arial"/>
          <w:sz w:val="17"/>
          <w:szCs w:val="17"/>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June 30, 2022 and December 31, 2021, the Company recorded a liability included in accrued expenses and other liabilities of nil and $2,000, respectively.</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were no grants of restricted stock awards for the six months ended June 30, 2022 and 2021.</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summarizes restricted stock activity during the six months ended June 30,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7"/>
        </w:trPr>
        <w:tc>
          <w:tcPr>
            <w:tcW w:w="45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27"/>
        </w:trPr>
        <w:tc>
          <w:tcPr>
            <w:tcW w:w="45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20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7"/>
        </w:trPr>
        <w:tc>
          <w:tcPr>
            <w:tcW w:w="4560" w:type="dxa"/>
            <w:vAlign w:val="bottom"/>
            <w:tcBorders>
              <w:bottom w:val="single" w:sz="8" w:color="CFF0FC"/>
            </w:tcBorders>
          </w:tcPr>
          <w:p>
            <w:pPr>
              <w:spacing w:after="0"/>
              <w:rPr>
                <w:sz w:val="15"/>
                <w:szCs w:val="15"/>
                <w:color w:val="auto"/>
              </w:rPr>
            </w:pPr>
          </w:p>
        </w:tc>
        <w:tc>
          <w:tcPr>
            <w:tcW w:w="37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7"/>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and unvested, as of December 31, 2021</w:t>
            </w:r>
          </w:p>
        </w:tc>
        <w:tc>
          <w:tcPr>
            <w:tcW w:w="5140" w:type="dxa"/>
            <w:vAlign w:val="bottom"/>
            <w:gridSpan w:val="2"/>
            <w:shd w:val="clear" w:color="auto" w:fill="CFF0FC"/>
          </w:tcPr>
          <w:p>
            <w:pPr>
              <w:jc w:val="right"/>
              <w:ind w:right="4"/>
              <w:spacing w:after="0"/>
              <w:rPr>
                <w:sz w:val="20"/>
                <w:szCs w:val="20"/>
                <w:color w:val="auto"/>
              </w:rPr>
            </w:pPr>
            <w:r>
              <w:rPr>
                <w:rFonts w:ascii="Arial" w:cs="Arial" w:eastAsia="Arial" w:hAnsi="Arial"/>
                <w:sz w:val="17"/>
                <w:szCs w:val="17"/>
                <w:color w:val="auto"/>
              </w:rPr>
              <w:t>21,841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7"/>
                <w:szCs w:val="17"/>
                <w:color w:val="auto"/>
              </w:rPr>
              <w:t>Issued</w:t>
            </w:r>
          </w:p>
        </w:tc>
        <w:tc>
          <w:tcPr>
            <w:tcW w:w="37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4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Vested</w:t>
            </w:r>
          </w:p>
        </w:tc>
        <w:tc>
          <w:tcPr>
            <w:tcW w:w="5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(21,841)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Repurchases</w:t>
            </w:r>
          </w:p>
        </w:tc>
        <w:tc>
          <w:tcPr>
            <w:tcW w:w="370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and unvested, as of June 30, 2022</w:t>
            </w:r>
          </w:p>
        </w:tc>
        <w:tc>
          <w:tcPr>
            <w:tcW w:w="37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bottom w:val="single" w:sz="8" w:color="CFF0FC"/>
            </w:tcBorders>
            <w:vMerge w:val="restart"/>
          </w:tcPr>
          <w:p>
            <w:pPr>
              <w:jc w:val="right"/>
              <w:ind w:right="2475"/>
              <w:spacing w:after="0"/>
              <w:rPr>
                <w:sz w:val="20"/>
                <w:szCs w:val="20"/>
                <w:color w:val="auto"/>
              </w:rPr>
            </w:pPr>
            <w:r>
              <w:rPr>
                <w:rFonts w:ascii="Arial" w:cs="Arial" w:eastAsia="Arial" w:hAnsi="Arial"/>
                <w:sz w:val="17"/>
                <w:szCs w:val="17"/>
                <w:color w:val="auto"/>
              </w:rPr>
              <w:t>17</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45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7" w:name="page18"/>
    <w:bookmarkEnd w:id="17"/>
    <w:p>
      <w:pPr>
        <w:ind w:right="780" w:firstLine="1070"/>
        <w:spacing w:after="0" w:line="274" w:lineRule="auto"/>
        <w:rPr>
          <w:sz w:val="20"/>
          <w:szCs w:val="20"/>
          <w:color w:val="auto"/>
        </w:rPr>
      </w:pPr>
      <w:r>
        <w:rPr>
          <w:rFonts w:ascii="Arial" w:cs="Arial" w:eastAsia="Arial" w:hAnsi="Arial"/>
          <w:sz w:val="17"/>
          <w:szCs w:val="17"/>
          <w:color w:val="auto"/>
        </w:rPr>
        <w:t>The aggregate fair value of restricted stock awards vested during the six months ended June 30, 2022 was $47,000. Total intrinsic value of outstanding unvested restricted stock awards as of June 30, 2022 was nil.</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Incentive Stock Options and Nonqualified Stock Options</w:t>
      </w:r>
    </w:p>
    <w:p>
      <w:pPr>
        <w:spacing w:after="0" w:line="110" w:lineRule="exact"/>
        <w:rPr>
          <w:sz w:val="20"/>
          <w:szCs w:val="20"/>
          <w:color w:val="auto"/>
        </w:rPr>
      </w:pPr>
    </w:p>
    <w:p>
      <w:pPr>
        <w:ind w:right="200" w:firstLine="1070"/>
        <w:spacing w:after="0" w:line="274" w:lineRule="auto"/>
        <w:rPr>
          <w:sz w:val="20"/>
          <w:szCs w:val="20"/>
          <w:color w:val="auto"/>
        </w:rPr>
      </w:pPr>
      <w:r>
        <w:rPr>
          <w:rFonts w:ascii="Arial" w:cs="Arial" w:eastAsia="Arial" w:hAnsi="Arial"/>
          <w:sz w:val="17"/>
          <w:szCs w:val="17"/>
          <w:color w:val="auto"/>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Company used Black-Scholes option pricing model to estimate stock-based compensation expense for stock option awards with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assumptions:</w:t>
      </w:r>
    </w:p>
    <w:p>
      <w:pPr>
        <w:spacing w:after="0" w:line="97"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Six Months Ended</w:t>
      </w:r>
    </w:p>
    <w:p>
      <w:pPr>
        <w:jc w:val="center"/>
        <w:ind w:left="72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80"/>
        </w:trPr>
        <w:tc>
          <w:tcPr>
            <w:tcW w:w="7320" w:type="dxa"/>
            <w:vAlign w:val="bottom"/>
            <w:tcBorders>
              <w:bottom w:val="single" w:sz="8" w:color="CCEEFF"/>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top w:val="single" w:sz="8" w:color="auto"/>
              <w:bottom w:val="single" w:sz="8" w:color="CCEEFF"/>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- 75.17%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- 76.31%</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7"/>
                <w:szCs w:val="17"/>
                <w:color w:val="auto"/>
              </w:rPr>
              <w:t>1.64%</w:t>
            </w:r>
          </w:p>
        </w:tc>
        <w:tc>
          <w:tcPr>
            <w:tcW w:w="980" w:type="dxa"/>
            <w:vAlign w:val="bottom"/>
          </w:tcPr>
          <w:p>
            <w:pPr>
              <w:ind w:left="20"/>
              <w:spacing w:after="0"/>
              <w:rPr>
                <w:sz w:val="20"/>
                <w:szCs w:val="20"/>
                <w:color w:val="auto"/>
              </w:rPr>
            </w:pPr>
            <w:r>
              <w:rPr>
                <w:rFonts w:ascii="Arial" w:cs="Arial" w:eastAsia="Arial" w:hAnsi="Arial"/>
                <w:sz w:val="17"/>
                <w:szCs w:val="17"/>
                <w:color w:val="auto"/>
              </w:rPr>
              <w:t>- 3.39%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0.61%</w:t>
            </w:r>
          </w:p>
        </w:tc>
        <w:tc>
          <w:tcPr>
            <w:tcW w:w="980" w:type="dxa"/>
            <w:vAlign w:val="bottom"/>
          </w:tcPr>
          <w:p>
            <w:pPr>
              <w:ind w:left="20"/>
              <w:spacing w:after="0"/>
              <w:rPr>
                <w:sz w:val="20"/>
                <w:szCs w:val="20"/>
                <w:color w:val="auto"/>
              </w:rPr>
            </w:pPr>
            <w:r>
              <w:rPr>
                <w:rFonts w:ascii="Arial" w:cs="Arial" w:eastAsia="Arial" w:hAnsi="Arial"/>
                <w:sz w:val="17"/>
                <w:szCs w:val="17"/>
                <w:color w:val="auto"/>
              </w:rPr>
              <w:t>- 1.07%</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196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7"/>
                <w:szCs w:val="17"/>
                <w:color w:val="auto"/>
              </w:rPr>
              <w:t>5.33</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5.44</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Underlying common stock fair value</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4.92 - 12.68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26.13</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- 38.23</w:t>
            </w:r>
          </w:p>
        </w:tc>
      </w:tr>
    </w:tbl>
    <w:p>
      <w:pPr>
        <w:spacing w:after="0" w:line="26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Company granted 423,500 stock options under the 2020 Plan during the three months ended June 30, 2022.</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 summary of option activity under the 2015 Plan and the 2020 Plan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3"/>
              </w:rPr>
              <w:t>Average Exercise</w:t>
            </w: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1"/>
                <w:szCs w:val="11"/>
                <w:color w:val="auto"/>
              </w:rPr>
            </w:pPr>
          </w:p>
        </w:tc>
        <w:tc>
          <w:tcPr>
            <w:tcW w:w="1160" w:type="dxa"/>
            <w:vAlign w:val="bottom"/>
          </w:tcPr>
          <w:p>
            <w:pPr>
              <w:jc w:val="center"/>
              <w:ind w:right="182"/>
              <w:spacing w:after="0" w:line="127"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7"/>
        </w:trPr>
        <w:tc>
          <w:tcPr>
            <w:tcW w:w="522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Price per Share</w:t>
            </w:r>
          </w:p>
        </w:tc>
        <w:tc>
          <w:tcPr>
            <w:tcW w:w="1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2021</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3,620,180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16,735</w:t>
            </w: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2,114,870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(25,727)</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20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(289,059)</w:t>
            </w:r>
          </w:p>
        </w:tc>
        <w:tc>
          <w:tcPr>
            <w:tcW w:w="2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13.19</w:t>
            </w:r>
          </w:p>
        </w:tc>
        <w:tc>
          <w:tcPr>
            <w:tcW w:w="10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June 30,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5,420,264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6,796</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Exercisable as of June 30, 2022</w:t>
            </w: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1,999,005</w:t>
            </w:r>
          </w:p>
        </w:tc>
        <w:tc>
          <w:tcPr>
            <w:tcW w:w="26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8" w:lineRule="exact"/>
              <w:rPr>
                <w:sz w:val="20"/>
                <w:szCs w:val="20"/>
                <w:color w:val="auto"/>
              </w:rPr>
            </w:pPr>
            <w:r>
              <w:rPr>
                <w:rFonts w:ascii="Arial" w:cs="Arial" w:eastAsia="Arial" w:hAnsi="Arial"/>
                <w:sz w:val="17"/>
                <w:szCs w:val="17"/>
                <w:color w:val="auto"/>
              </w:rPr>
              <w:t>11.48</w:t>
            </w:r>
          </w:p>
        </w:tc>
        <w:tc>
          <w:tcPr>
            <w:tcW w:w="10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Arial" w:cs="Arial" w:eastAsia="Arial" w:hAnsi="Arial"/>
                <w:sz w:val="17"/>
                <w:szCs w:val="17"/>
                <w:color w:val="auto"/>
              </w:rPr>
              <w:t>7.28</w:t>
            </w:r>
          </w:p>
        </w:tc>
        <w:tc>
          <w:tcPr>
            <w:tcW w:w="100" w:type="dxa"/>
            <w:vAlign w:val="bottom"/>
          </w:tcPr>
          <w:p>
            <w:pPr>
              <w:spacing w:after="0"/>
              <w:rPr>
                <w:sz w:val="16"/>
                <w:szCs w:val="16"/>
                <w:color w:val="auto"/>
              </w:rPr>
            </w:pPr>
          </w:p>
        </w:tc>
        <w:tc>
          <w:tcPr>
            <w:tcW w:w="260" w:type="dxa"/>
            <w:vAlign w:val="bottom"/>
          </w:tcPr>
          <w:p>
            <w:pPr>
              <w:jc w:val="right"/>
              <w:ind w:right="75"/>
              <w:spacing w:after="0" w:line="188"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88" w:lineRule="exact"/>
              <w:rPr>
                <w:sz w:val="20"/>
                <w:szCs w:val="20"/>
                <w:color w:val="auto"/>
              </w:rPr>
            </w:pPr>
            <w:r>
              <w:rPr>
                <w:rFonts w:ascii="Arial" w:cs="Arial" w:eastAsia="Arial" w:hAnsi="Arial"/>
                <w:sz w:val="17"/>
                <w:szCs w:val="17"/>
                <w:color w:val="auto"/>
              </w:rPr>
              <w:t>4,666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Vested and expected to vest as of June 30,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5,420,264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6,796</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Aggregate intrinsic value represents the difference between the fair value of the underlying common stock and the exercise price as of June 30, 2022.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 date fair value of options granted during the six months ended June 30, 2022 was $7.14 per share.</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0" w:lineRule="exact"/>
        <w:rPr>
          <w:sz w:val="20"/>
          <w:szCs w:val="20"/>
          <w:color w:val="auto"/>
        </w:rPr>
      </w:pPr>
    </w:p>
    <w:p>
      <w:pPr>
        <w:ind w:right="120" w:firstLine="1070"/>
        <w:spacing w:after="0" w:line="274" w:lineRule="auto"/>
        <w:rPr>
          <w:sz w:val="20"/>
          <w:szCs w:val="20"/>
          <w:color w:val="auto"/>
        </w:rPr>
      </w:pPr>
      <w:r>
        <w:rPr>
          <w:rFonts w:ascii="Arial" w:cs="Arial" w:eastAsia="Arial" w:hAnsi="Arial"/>
          <w:sz w:val="17"/>
          <w:szCs w:val="17"/>
          <w:color w:val="auto"/>
        </w:rPr>
        <w:t>The following table presents the components and classification of stock-based compensation expense for the Company’s stock-based awards for the three and six months ended June 30, 2022 and 2021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11"/>
        </w:trPr>
        <w:tc>
          <w:tcPr>
            <w:tcW w:w="41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awards</w:t>
            </w:r>
          </w:p>
        </w:tc>
        <w:tc>
          <w:tcPr>
            <w:tcW w:w="1780" w:type="dxa"/>
            <w:vAlign w:val="bottom"/>
            <w:shd w:val="clear" w:color="auto" w:fill="CFF0FC"/>
          </w:tcPr>
          <w:p>
            <w:pPr>
              <w:spacing w:after="0"/>
              <w:rPr>
                <w:sz w:val="18"/>
                <w:szCs w:val="18"/>
                <w:color w:val="auto"/>
              </w:rPr>
            </w:pPr>
          </w:p>
        </w:tc>
        <w:tc>
          <w:tcPr>
            <w:tcW w:w="780" w:type="dxa"/>
            <w:vAlign w:val="bottom"/>
            <w:shd w:val="clear" w:color="auto" w:fill="CCEEFF"/>
          </w:tcPr>
          <w:p>
            <w:pPr>
              <w:jc w:val="right"/>
              <w:ind w:right="58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Stock options and ESPP</w:t>
            </w:r>
          </w:p>
        </w:tc>
        <w:tc>
          <w:tcPr>
            <w:tcW w:w="17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3,396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2,229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6,898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4,756</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stock-based compensation expense</w:t>
            </w:r>
          </w:p>
        </w:tc>
        <w:tc>
          <w:tcPr>
            <w:tcW w:w="17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3,403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2,280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6,934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Research and development expenses</w:t>
            </w:r>
          </w:p>
        </w:tc>
        <w:tc>
          <w:tcPr>
            <w:tcW w:w="1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60" w:type="dxa"/>
            <w:vAlign w:val="bottom"/>
            <w:vMerge w:val="continue"/>
          </w:tcPr>
          <w:p>
            <w:pPr>
              <w:spacing w:after="0"/>
              <w:rPr>
                <w:sz w:val="16"/>
                <w:szCs w:val="16"/>
                <w:color w:val="auto"/>
              </w:rPr>
            </w:pPr>
          </w:p>
        </w:tc>
        <w:tc>
          <w:tcPr>
            <w:tcW w:w="2560" w:type="dxa"/>
            <w:vAlign w:val="bottom"/>
            <w:gridSpan w:val="2"/>
          </w:tcPr>
          <w:p>
            <w:pPr>
              <w:jc w:val="right"/>
              <w:ind w:right="584"/>
              <w:spacing w:after="0" w:line="188"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88" w:lineRule="exact"/>
              <w:rPr>
                <w:sz w:val="20"/>
                <w:szCs w:val="20"/>
                <w:color w:val="auto"/>
              </w:rPr>
            </w:pPr>
            <w:r>
              <w:rPr>
                <w:rFonts w:ascii="Arial" w:cs="Arial" w:eastAsia="Arial" w:hAnsi="Arial"/>
                <w:sz w:val="17"/>
                <w:szCs w:val="17"/>
                <w:color w:val="auto"/>
                <w:w w:val="89"/>
              </w:rPr>
              <w:t>1,761</w:t>
            </w:r>
          </w:p>
        </w:tc>
        <w:tc>
          <w:tcPr>
            <w:tcW w:w="100" w:type="dxa"/>
            <w:vAlign w:val="bottom"/>
          </w:tcPr>
          <w:p>
            <w:pPr>
              <w:spacing w:after="0"/>
              <w:rPr>
                <w:sz w:val="16"/>
                <w:szCs w:val="16"/>
                <w:color w:val="auto"/>
              </w:rPr>
            </w:pPr>
          </w:p>
        </w:tc>
        <w:tc>
          <w:tcPr>
            <w:tcW w:w="780" w:type="dxa"/>
            <w:vAlign w:val="bottom"/>
          </w:tcPr>
          <w:p>
            <w:pPr>
              <w:jc w:val="right"/>
              <w:ind w:right="599"/>
              <w:spacing w:after="0" w:line="188"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8" w:lineRule="exact"/>
              <w:rPr>
                <w:sz w:val="20"/>
                <w:szCs w:val="20"/>
                <w:color w:val="auto"/>
              </w:rPr>
            </w:pPr>
            <w:r>
              <w:rPr>
                <w:rFonts w:ascii="Arial" w:cs="Arial" w:eastAsia="Arial" w:hAnsi="Arial"/>
                <w:sz w:val="17"/>
                <w:szCs w:val="17"/>
                <w:color w:val="auto"/>
              </w:rPr>
              <w:t>868</w:t>
            </w:r>
          </w:p>
        </w:tc>
        <w:tc>
          <w:tcPr>
            <w:tcW w:w="100" w:type="dxa"/>
            <w:vAlign w:val="bottom"/>
          </w:tcPr>
          <w:p>
            <w:pPr>
              <w:spacing w:after="0"/>
              <w:rPr>
                <w:sz w:val="16"/>
                <w:szCs w:val="16"/>
                <w:color w:val="auto"/>
              </w:rPr>
            </w:pPr>
          </w:p>
        </w:tc>
        <w:tc>
          <w:tcPr>
            <w:tcW w:w="300" w:type="dxa"/>
            <w:vAlign w:val="bottom"/>
          </w:tcPr>
          <w:p>
            <w:pPr>
              <w:jc w:val="right"/>
              <w:ind w:right="95"/>
              <w:spacing w:after="0" w:line="188"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2"/>
              <w:spacing w:after="0" w:line="188" w:lineRule="exact"/>
              <w:rPr>
                <w:sz w:val="20"/>
                <w:szCs w:val="20"/>
                <w:color w:val="auto"/>
              </w:rPr>
            </w:pPr>
            <w:r>
              <w:rPr>
                <w:rFonts w:ascii="Arial" w:cs="Arial" w:eastAsia="Arial" w:hAnsi="Arial"/>
                <w:sz w:val="17"/>
                <w:szCs w:val="17"/>
                <w:color w:val="auto"/>
              </w:rPr>
              <w:t>3,675</w:t>
            </w:r>
          </w:p>
        </w:tc>
        <w:tc>
          <w:tcPr>
            <w:tcW w:w="100" w:type="dxa"/>
            <w:vAlign w:val="bottom"/>
          </w:tcPr>
          <w:p>
            <w:pPr>
              <w:spacing w:after="0"/>
              <w:rPr>
                <w:sz w:val="16"/>
                <w:szCs w:val="16"/>
                <w:color w:val="auto"/>
              </w:rPr>
            </w:pPr>
          </w:p>
        </w:tc>
        <w:tc>
          <w:tcPr>
            <w:tcW w:w="480" w:type="dxa"/>
            <w:vAlign w:val="bottom"/>
          </w:tcPr>
          <w:p>
            <w:pPr>
              <w:jc w:val="right"/>
              <w:ind w:right="295"/>
              <w:spacing w:after="0" w:line="188"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88" w:lineRule="exact"/>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560" w:type="dxa"/>
            <w:vAlign w:val="bottom"/>
            <w:gridSpan w:val="2"/>
            <w:shd w:val="clear" w:color="auto" w:fill="CCEEFF"/>
          </w:tcPr>
          <w:p>
            <w:pPr>
              <w:jc w:val="right"/>
              <w:ind w:right="58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1,642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w:t>
            </w:r>
          </w:p>
        </w:tc>
        <w:tc>
          <w:tcPr>
            <w:tcW w:w="0" w:type="dxa"/>
            <w:vAlign w:val="bottom"/>
          </w:tcPr>
          <w:p>
            <w:pPr>
              <w:spacing w:after="0"/>
              <w:rPr>
                <w:sz w:val="1"/>
                <w:szCs w:val="1"/>
                <w:color w:val="auto"/>
              </w:rPr>
            </w:pPr>
          </w:p>
        </w:tc>
      </w:tr>
      <w:tr>
        <w:trPr>
          <w:trHeight w:val="801"/>
        </w:trPr>
        <w:tc>
          <w:tcPr>
            <w:tcW w:w="4160" w:type="dxa"/>
            <w:vAlign w:val="bottom"/>
          </w:tcPr>
          <w:p>
            <w:pPr>
              <w:spacing w:after="0"/>
              <w:rPr>
                <w:sz w:val="24"/>
                <w:szCs w:val="24"/>
                <w:color w:val="auto"/>
              </w:rPr>
            </w:pPr>
          </w:p>
        </w:tc>
        <w:tc>
          <w:tcPr>
            <w:tcW w:w="1780" w:type="dxa"/>
            <w:vAlign w:val="bottom"/>
          </w:tcPr>
          <w:p>
            <w:pPr>
              <w:jc w:val="right"/>
              <w:ind w:right="155"/>
              <w:spacing w:after="0"/>
              <w:rPr>
                <w:sz w:val="20"/>
                <w:szCs w:val="20"/>
                <w:color w:val="auto"/>
              </w:rPr>
            </w:pPr>
            <w:r>
              <w:rPr>
                <w:rFonts w:ascii="Arial" w:cs="Arial" w:eastAsia="Arial" w:hAnsi="Arial"/>
                <w:sz w:val="17"/>
                <w:szCs w:val="17"/>
                <w:color w:val="auto"/>
              </w:rPr>
              <w:t>18</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right="60" w:firstLine="1070"/>
        <w:spacing w:after="0" w:line="306" w:lineRule="auto"/>
        <w:rPr>
          <w:sz w:val="20"/>
          <w:szCs w:val="20"/>
          <w:color w:val="auto"/>
        </w:rPr>
      </w:pPr>
      <w:r>
        <w:rPr>
          <w:rFonts w:ascii="Arial" w:cs="Arial" w:eastAsia="Arial" w:hAnsi="Arial"/>
          <w:sz w:val="16"/>
          <w:szCs w:val="16"/>
          <w:color w:val="auto"/>
        </w:rPr>
        <w:t>As of June 30, 2022, there were no unrecognized compensation costs related to restricted stock awards. As of June 30, 2022, there was $30.1 million of unrecognized compensation costs that is expected to be recognized over the weighted-average period of 2.75 years related to stock options.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0" w:lineRule="exact"/>
        <w:rPr>
          <w:sz w:val="20"/>
          <w:szCs w:val="20"/>
          <w:color w:val="auto"/>
        </w:rPr>
      </w:pPr>
    </w:p>
    <w:p>
      <w:pPr>
        <w:ind w:right="80" w:firstLine="1070"/>
        <w:spacing w:after="0" w:line="256"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80" w:lineRule="exact"/>
        <w:rPr>
          <w:sz w:val="20"/>
          <w:szCs w:val="20"/>
          <w:color w:val="auto"/>
        </w:rPr>
      </w:pPr>
    </w:p>
    <w:p>
      <w:pPr>
        <w:ind w:firstLine="1070"/>
        <w:spacing w:after="0" w:line="292" w:lineRule="auto"/>
        <w:rPr>
          <w:sz w:val="20"/>
          <w:szCs w:val="20"/>
          <w:color w:val="auto"/>
        </w:rPr>
      </w:pPr>
      <w:r>
        <w:rPr>
          <w:rFonts w:ascii="Arial" w:cs="Arial" w:eastAsia="Arial" w:hAnsi="Arial"/>
          <w:sz w:val="15"/>
          <w:szCs w:val="15"/>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in stock-based compensation expense for the three and six months ended June 30, 2022. There was $0.1 million and $0.4 million in stock-based compensation expense attributed to the 2020 ESPP for the three and six months ended June 30, 2021, respectively. During the six months ended June 30, 2022, 51,428 shares of common stock were issued under the 2020 ESPP with 922,725 shares remaining available for issuance under the 2020 ESPP. The Company used Black-Scholes option pricing model to estimate stock-based compensation expense for the 2020 ESPP with the following assumptions: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gridSpan w:val="3"/>
          </w:tcPr>
          <w:p>
            <w:pPr>
              <w:jc w:val="center"/>
              <w:ind w:right="1135"/>
              <w:spacing w:after="0"/>
              <w:rPr>
                <w:sz w:val="20"/>
                <w:szCs w:val="20"/>
                <w:color w:val="auto"/>
              </w:rPr>
            </w:pPr>
            <w:r>
              <w:rPr>
                <w:rFonts w:ascii="Arial" w:cs="Arial" w:eastAsia="Arial" w:hAnsi="Arial"/>
                <w:sz w:val="14"/>
                <w:szCs w:val="14"/>
                <w:b w:val="1"/>
                <w:bCs w:val="1"/>
                <w:color w:val="auto"/>
                <w:w w:val="88"/>
              </w:rPr>
              <w:t>Six Months Ended</w:t>
            </w:r>
          </w:p>
        </w:tc>
      </w:tr>
      <w:tr>
        <w:trPr>
          <w:trHeight w:val="177"/>
        </w:trPr>
        <w:tc>
          <w:tcPr>
            <w:tcW w:w="7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center"/>
              <w:ind w:right="1135"/>
              <w:spacing w:after="0"/>
              <w:rPr>
                <w:sz w:val="20"/>
                <w:szCs w:val="20"/>
                <w:color w:val="auto"/>
              </w:rPr>
            </w:pPr>
            <w:r>
              <w:rPr>
                <w:rFonts w:ascii="Arial" w:cs="Arial" w:eastAsia="Arial" w:hAnsi="Arial"/>
                <w:sz w:val="14"/>
                <w:szCs w:val="14"/>
                <w:b w:val="1"/>
                <w:bCs w:val="1"/>
                <w:color w:val="auto"/>
                <w:w w:val="85"/>
              </w:rPr>
              <w:t>June 30,</w:t>
            </w:r>
          </w:p>
        </w:tc>
      </w:tr>
      <w:tr>
        <w:trPr>
          <w:trHeight w:val="171"/>
        </w:trPr>
        <w:tc>
          <w:tcPr>
            <w:tcW w:w="7200" w:type="dxa"/>
            <w:vAlign w:val="bottom"/>
          </w:tcPr>
          <w:p>
            <w:pPr>
              <w:spacing w:after="0"/>
              <w:rPr>
                <w:sz w:val="14"/>
                <w:szCs w:val="14"/>
                <w:color w:val="auto"/>
              </w:rPr>
            </w:pPr>
          </w:p>
        </w:tc>
        <w:tc>
          <w:tcPr>
            <w:tcW w:w="1200" w:type="dxa"/>
            <w:vAlign w:val="bottom"/>
          </w:tcPr>
          <w:p>
            <w:pPr>
              <w:jc w:val="center"/>
              <w:ind w:left="479"/>
              <w:spacing w:after="0"/>
              <w:rPr>
                <w:sz w:val="20"/>
                <w:szCs w:val="20"/>
                <w:color w:val="auto"/>
              </w:rPr>
            </w:pPr>
            <w:r>
              <w:rPr>
                <w:rFonts w:ascii="Arial" w:cs="Arial" w:eastAsia="Arial" w:hAnsi="Arial"/>
                <w:sz w:val="14"/>
                <w:szCs w:val="14"/>
                <w:b w:val="1"/>
                <w:bCs w:val="1"/>
                <w:color w:val="auto"/>
                <w:w w:val="89"/>
              </w:rPr>
              <w:t>2022</w:t>
            </w:r>
          </w:p>
        </w:tc>
        <w:tc>
          <w:tcPr>
            <w:tcW w:w="242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7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1200" w:type="dxa"/>
            <w:vAlign w:val="bottom"/>
            <w:tcBorders>
              <w:top w:val="single" w:sz="8" w:color="auto"/>
            </w:tcBorders>
            <w:shd w:val="clear" w:color="auto" w:fill="CFF0FC"/>
          </w:tcPr>
          <w:p>
            <w:pPr>
              <w:jc w:val="center"/>
              <w:ind w:left="479"/>
              <w:spacing w:after="0"/>
              <w:rPr>
                <w:sz w:val="20"/>
                <w:szCs w:val="20"/>
                <w:color w:val="auto"/>
              </w:rPr>
            </w:pPr>
            <w:r>
              <w:rPr>
                <w:rFonts w:ascii="Arial" w:cs="Arial" w:eastAsia="Arial" w:hAnsi="Arial"/>
                <w:sz w:val="17"/>
                <w:szCs w:val="17"/>
                <w:color w:val="auto"/>
                <w:w w:val="91"/>
              </w:rPr>
              <w:t>0.60%</w:t>
            </w: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0.07%</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term of options (in years)</w:t>
            </w:r>
          </w:p>
        </w:tc>
        <w:tc>
          <w:tcPr>
            <w:tcW w:w="1200" w:type="dxa"/>
            <w:vAlign w:val="bottom"/>
          </w:tcPr>
          <w:p>
            <w:pPr>
              <w:jc w:val="center"/>
              <w:ind w:left="459"/>
              <w:spacing w:after="0"/>
              <w:rPr>
                <w:sz w:val="20"/>
                <w:szCs w:val="20"/>
                <w:color w:val="auto"/>
              </w:rPr>
            </w:pPr>
            <w:r>
              <w:rPr>
                <w:rFonts w:ascii="Arial" w:cs="Arial" w:eastAsia="Arial" w:hAnsi="Arial"/>
                <w:sz w:val="17"/>
                <w:szCs w:val="17"/>
                <w:color w:val="auto"/>
                <w:w w:val="90"/>
              </w:rPr>
              <w:t>0.50</w:t>
            </w:r>
          </w:p>
        </w:tc>
        <w:tc>
          <w:tcPr>
            <w:tcW w:w="2420" w:type="dxa"/>
            <w:vAlign w:val="bottom"/>
            <w:gridSpan w:val="3"/>
          </w:tcPr>
          <w:p>
            <w:pPr>
              <w:jc w:val="center"/>
              <w:ind w:left="568"/>
              <w:spacing w:after="0"/>
              <w:rPr>
                <w:sz w:val="20"/>
                <w:szCs w:val="20"/>
                <w:color w:val="auto"/>
              </w:rPr>
            </w:pPr>
            <w:r>
              <w:rPr>
                <w:rFonts w:ascii="Arial" w:cs="Arial" w:eastAsia="Arial" w:hAnsi="Arial"/>
                <w:sz w:val="17"/>
                <w:szCs w:val="17"/>
                <w:color w:val="auto"/>
                <w:w w:val="90"/>
              </w:rPr>
              <w:t>0.50</w:t>
            </w:r>
          </w:p>
        </w:tc>
      </w:tr>
      <w:tr>
        <w:trPr>
          <w:trHeight w:val="217"/>
        </w:trPr>
        <w:tc>
          <w:tcPr>
            <w:tcW w:w="7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stock price volatility</w:t>
            </w:r>
          </w:p>
        </w:tc>
        <w:tc>
          <w:tcPr>
            <w:tcW w:w="1200" w:type="dxa"/>
            <w:vAlign w:val="bottom"/>
            <w:shd w:val="clear" w:color="auto" w:fill="CFF0FC"/>
          </w:tcPr>
          <w:p>
            <w:pPr>
              <w:jc w:val="center"/>
              <w:ind w:left="479"/>
              <w:spacing w:after="0"/>
              <w:rPr>
                <w:sz w:val="20"/>
                <w:szCs w:val="20"/>
                <w:color w:val="auto"/>
              </w:rPr>
            </w:pPr>
            <w:r>
              <w:rPr>
                <w:rFonts w:ascii="Arial" w:cs="Arial" w:eastAsia="Arial" w:hAnsi="Arial"/>
                <w:sz w:val="17"/>
                <w:szCs w:val="17"/>
                <w:color w:val="auto"/>
                <w:w w:val="90"/>
              </w:rPr>
              <w:t>63.17%</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89.51%</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dividends</w:t>
            </w:r>
          </w:p>
        </w:tc>
        <w:tc>
          <w:tcPr>
            <w:tcW w:w="1200" w:type="dxa"/>
            <w:vAlign w:val="bottom"/>
          </w:tcPr>
          <w:p>
            <w:pPr>
              <w:jc w:val="center"/>
              <w:ind w:left="479"/>
              <w:spacing w:after="0"/>
              <w:rPr>
                <w:sz w:val="20"/>
                <w:szCs w:val="20"/>
                <w:color w:val="auto"/>
              </w:rPr>
            </w:pPr>
            <w:r>
              <w:rPr>
                <w:rFonts w:ascii="Arial" w:cs="Arial" w:eastAsia="Arial" w:hAnsi="Arial"/>
                <w:sz w:val="17"/>
                <w:szCs w:val="17"/>
                <w:color w:val="auto"/>
                <w:w w:val="93"/>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14" w:lineRule="exact"/>
        <w:rPr>
          <w:sz w:val="20"/>
          <w:szCs w:val="20"/>
          <w:color w:val="auto"/>
        </w:rPr>
      </w:pPr>
    </w:p>
    <w:p>
      <w:pPr>
        <w:ind w:right="300" w:firstLine="1070"/>
        <w:spacing w:after="0" w:line="313" w:lineRule="auto"/>
        <w:rPr>
          <w:sz w:val="20"/>
          <w:szCs w:val="20"/>
          <w:color w:val="auto"/>
        </w:rPr>
      </w:pPr>
      <w:r>
        <w:rPr>
          <w:rFonts w:ascii="Arial" w:cs="Arial" w:eastAsia="Arial" w:hAnsi="Arial"/>
          <w:sz w:val="15"/>
          <w:szCs w:val="15"/>
          <w:color w:val="auto"/>
        </w:rPr>
        <w:t>For the three and six months ended June 30, 2022 and 2021,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238" w:lineRule="exact"/>
        <w:rPr>
          <w:sz w:val="20"/>
          <w:szCs w:val="20"/>
          <w:color w:val="auto"/>
        </w:rPr>
      </w:pPr>
    </w:p>
    <w:p>
      <w:pPr>
        <w:ind w:left="460" w:right="8580" w:hanging="458"/>
        <w:spacing w:after="0" w:line="428" w:lineRule="auto"/>
        <w:tabs>
          <w:tab w:leader="none" w:pos="25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Purchase Commitments</w:t>
      </w:r>
    </w:p>
    <w:p>
      <w:pPr>
        <w:ind w:right="440" w:firstLine="1070"/>
        <w:spacing w:after="0" w:line="274"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Potential payments related to the Company’s license and research agreements, including milestone and royalty payments, are detailed in Notes 8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114" w:lineRule="exact"/>
        <w:rPr>
          <w:sz w:val="20"/>
          <w:szCs w:val="20"/>
          <w:color w:val="auto"/>
        </w:rPr>
      </w:pPr>
    </w:p>
    <w:p>
      <w:pPr>
        <w:ind w:right="20" w:firstLine="611"/>
        <w:spacing w:after="0" w:line="275" w:lineRule="auto"/>
        <w:rPr>
          <w:sz w:val="20"/>
          <w:szCs w:val="20"/>
          <w:color w:val="auto"/>
        </w:rPr>
      </w:pPr>
      <w:r>
        <w:rPr>
          <w:rFonts w:ascii="Arial" w:cs="Arial" w:eastAsia="Arial" w:hAnsi="Arial"/>
          <w:sz w:val="16"/>
          <w:szCs w:val="16"/>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ind w:right="160"/>
        <w:spacing w:after="0" w:line="275" w:lineRule="auto"/>
        <w:rPr>
          <w:sz w:val="20"/>
          <w:szCs w:val="20"/>
          <w:color w:val="auto"/>
        </w:rPr>
      </w:pPr>
      <w:r>
        <w:rPr>
          <w:rFonts w:ascii="Arial" w:cs="Arial" w:eastAsia="Arial" w:hAnsi="Arial"/>
          <w:sz w:val="16"/>
          <w:szCs w:val="16"/>
          <w:color w:val="auto"/>
        </w:rPr>
        <w:t>current assets in the condensed balance sheets at June 30, 2022 and December 31, 2021. The Company has the right to extend the lease term by seven years upon written notice not more than twelve months nor less than nine months prior to the expiration of the original lease term, with monthly payments equal to the “fair rental value” as defined in the Lease.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 The Company also enters into leases for equipment.</w:t>
      </w:r>
    </w:p>
    <w:p>
      <w:pPr>
        <w:spacing w:after="0" w:line="67" w:lineRule="exact"/>
        <w:rPr>
          <w:sz w:val="20"/>
          <w:szCs w:val="20"/>
          <w:color w:val="auto"/>
        </w:rPr>
      </w:pPr>
    </w:p>
    <w:p>
      <w:pPr>
        <w:ind w:right="40" w:firstLine="611"/>
        <w:spacing w:after="0" w:line="295" w:lineRule="auto"/>
        <w:rPr>
          <w:sz w:val="20"/>
          <w:szCs w:val="20"/>
          <w:color w:val="auto"/>
        </w:rPr>
      </w:pPr>
      <w:r>
        <w:rPr>
          <w:rFonts w:ascii="Arial" w:cs="Arial" w:eastAsia="Arial" w:hAnsi="Arial"/>
          <w:sz w:val="15"/>
          <w:szCs w:val="15"/>
          <w:color w:val="auto"/>
        </w:rPr>
        <w:t>For each of the three months ended June 30, 2022 and 2021, the Company recognized expenses associated with the operating leases of $0.6 million. For the six months ended June 30, 2022 and 2021, the Company recognized expenses associated with the operating leases of $1.1 million and $1.2 million, respectively. Additionally, the Company incurred variable lease costs of $0.2 million and $0.3 million, and $0.3 million and $0.5 million, for the three and six months ended June 30, 2022 and 2021, respectively, which is comprised primarily of the Company's proportionate share of operating expenses, property taxes, and insurance. Short-term lease expense and variable lease payments recorded in operating expenses were immaterial for the three and six months ended June 30, 2022. Cash paid for amounts included in the measurement of operating lease liabilities was $1.2 million for the six months ended June 30, 2022 and 2021.</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Maturities of the Company's operating lease liability as of June 30, 2022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ending June 30, 2022:</w:t>
            </w:r>
          </w:p>
        </w:tc>
        <w:tc>
          <w:tcPr>
            <w:tcW w:w="5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w w:val="98"/>
              </w:rPr>
              <w:t>Operating Lease</w:t>
            </w: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(remainder of the year)</w:t>
            </w: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2023</w:t>
            </w:r>
          </w:p>
        </w:tc>
        <w:tc>
          <w:tcPr>
            <w:tcW w:w="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2,413</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2025</w:t>
            </w:r>
          </w:p>
        </w:tc>
        <w:tc>
          <w:tcPr>
            <w:tcW w:w="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1,203</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844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7,218</w:t>
            </w:r>
          </w:p>
        </w:tc>
      </w:tr>
      <w:tr>
        <w:trPr>
          <w:trHeight w:val="25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discount</w:t>
            </w:r>
          </w:p>
        </w:tc>
        <w:tc>
          <w:tcPr>
            <w:tcW w:w="58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r>
      <w:tr>
        <w:trPr>
          <w:trHeight w:val="209"/>
        </w:trPr>
        <w:tc>
          <w:tcPr>
            <w:tcW w:w="844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6,449</w:t>
            </w:r>
          </w:p>
        </w:tc>
      </w:tr>
      <w:tr>
        <w:trPr>
          <w:trHeight w:val="20"/>
        </w:trPr>
        <w:tc>
          <w:tcPr>
            <w:tcW w:w="8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47"/>
        </w:trPr>
        <w:tc>
          <w:tcPr>
            <w:tcW w:w="9020" w:type="dxa"/>
            <w:vAlign w:val="bottom"/>
            <w:gridSpan w:val="2"/>
          </w:tcPr>
          <w:p>
            <w:pPr>
              <w:ind w:left="620"/>
              <w:spacing w:after="0"/>
              <w:rPr>
                <w:sz w:val="20"/>
                <w:szCs w:val="20"/>
                <w:color w:val="auto"/>
              </w:rPr>
            </w:pPr>
            <w:r>
              <w:rPr>
                <w:rFonts w:ascii="Arial" w:cs="Arial" w:eastAsia="Arial" w:hAnsi="Arial"/>
                <w:sz w:val="17"/>
                <w:szCs w:val="17"/>
                <w:color w:val="auto"/>
                <w:w w:val="89"/>
              </w:rPr>
              <w:t>The weighted-average remaining lease terms and discount rates related to the Company's operating leases were as follows:</w:t>
            </w:r>
          </w:p>
        </w:tc>
        <w:tc>
          <w:tcPr>
            <w:tcW w:w="1840" w:type="dxa"/>
            <w:vAlign w:val="bottom"/>
          </w:tcPr>
          <w:p>
            <w:pPr>
              <w:spacing w:after="0"/>
              <w:rPr>
                <w:sz w:val="24"/>
                <w:szCs w:val="24"/>
                <w:color w:val="auto"/>
              </w:rPr>
            </w:pPr>
          </w:p>
        </w:tc>
      </w:tr>
      <w:tr>
        <w:trPr>
          <w:trHeight w:val="276"/>
        </w:trPr>
        <w:tc>
          <w:tcPr>
            <w:tcW w:w="84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w w:val="89"/>
              </w:rPr>
              <w:t>As of June 30, 2022</w:t>
            </w:r>
          </w:p>
        </w:tc>
      </w:tr>
      <w:tr>
        <w:trPr>
          <w:trHeight w:val="25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5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54"/>
        </w:trPr>
        <w:tc>
          <w:tcPr>
            <w:tcW w:w="84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5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7.9%</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Party Transactions</w:t>
      </w:r>
    </w:p>
    <w:p>
      <w:pPr>
        <w:spacing w:after="0" w:line="216" w:lineRule="exact"/>
        <w:rPr>
          <w:sz w:val="20"/>
          <w:szCs w:val="20"/>
          <w:color w:val="auto"/>
        </w:rPr>
      </w:pPr>
    </w:p>
    <w:p>
      <w:pPr>
        <w:ind w:firstLine="1070"/>
        <w:spacing w:after="0" w:line="272" w:lineRule="auto"/>
        <w:rPr>
          <w:sz w:val="20"/>
          <w:szCs w:val="20"/>
          <w:color w:val="auto"/>
        </w:rPr>
      </w:pPr>
      <w:r>
        <w:rPr>
          <w:rFonts w:ascii="Arial" w:cs="Arial" w:eastAsia="Arial" w:hAnsi="Arial"/>
          <w:sz w:val="16"/>
          <w:szCs w:val="16"/>
          <w:color w:val="auto"/>
        </w:rPr>
        <w:t>In June 2022 and 2021, the Company granted 15,000 and 26,572 stock options with a grant date fair value of $0.1 million and $0.5 million to non-employee directors on the Company's board of directors with an affiliation to Third Rock Ventures. The shares of common stock subject to these options vest 25% on the first day of each calendar quarter for three quarters with the final vest date being the earlier of (i) the one-year anniversary of the grant date or (ii) the next Annual Meeting of Stockholders. 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In order to vest, the stockholders must be providing continuous service to the Company through such vesting date. See Note 13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Defined Contribution Plan</w:t>
      </w:r>
    </w:p>
    <w:p>
      <w:pPr>
        <w:spacing w:after="0" w:line="114" w:lineRule="exact"/>
        <w:rPr>
          <w:sz w:val="20"/>
          <w:szCs w:val="20"/>
          <w:color w:val="auto"/>
        </w:rPr>
      </w:pPr>
    </w:p>
    <w:p>
      <w:pPr>
        <w:ind w:right="280" w:firstLine="1070"/>
        <w:spacing w:after="0" w:line="258" w:lineRule="auto"/>
        <w:rPr>
          <w:sz w:val="20"/>
          <w:szCs w:val="20"/>
          <w:color w:val="auto"/>
        </w:rPr>
      </w:pPr>
      <w:r>
        <w:rPr>
          <w:rFonts w:ascii="Arial" w:cs="Arial" w:eastAsia="Arial" w:hAnsi="Arial"/>
          <w:sz w:val="17"/>
          <w:szCs w:val="17"/>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$0.2 million for the three months ended June 30, 2022 and 2021, and $0.4 million for the six months ended June 30, 2022 and 2021.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19. Net Loss Per Share Attributable to Common Stockholders</w:t>
      </w:r>
    </w:p>
    <w:p>
      <w:pPr>
        <w:spacing w:after="0" w:line="114" w:lineRule="exact"/>
        <w:rPr>
          <w:sz w:val="20"/>
          <w:szCs w:val="20"/>
          <w:color w:val="auto"/>
        </w:rPr>
      </w:pPr>
    </w:p>
    <w:p>
      <w:pPr>
        <w:ind w:right="140" w:firstLine="1070"/>
        <w:spacing w:after="0" w:line="274"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8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Six Months Ended 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5,420,264</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3,842,588</w:t>
            </w: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Restricted stock awards granted and not purchased</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4,195</w:t>
            </w:r>
          </w:p>
        </w:tc>
      </w:tr>
      <w:tr>
        <w:trPr>
          <w:trHeight w:val="21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restricted shares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66,046</w:t>
            </w:r>
          </w:p>
        </w:tc>
      </w:tr>
      <w:tr>
        <w:trPr>
          <w:trHeight w:val="209"/>
        </w:trPr>
        <w:tc>
          <w:tcPr>
            <w:tcW w:w="7340" w:type="dxa"/>
            <w:vAlign w:val="bottom"/>
          </w:tcPr>
          <w:p>
            <w:pPr>
              <w:ind w:left="200"/>
              <w:spacing w:after="0"/>
              <w:rPr>
                <w:sz w:val="20"/>
                <w:szCs w:val="20"/>
                <w:color w:val="auto"/>
              </w:rPr>
            </w:pPr>
            <w:r>
              <w:rPr>
                <w:rFonts w:ascii="Arial" w:cs="Arial" w:eastAsia="Arial" w:hAnsi="Arial"/>
                <w:sz w:val="17"/>
                <w:szCs w:val="17"/>
                <w:color w:val="auto"/>
              </w:rPr>
              <w:t>Total</w:t>
            </w:r>
          </w:p>
        </w:tc>
        <w:tc>
          <w:tcPr>
            <w:tcW w:w="10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5,420,264</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3,912,829</w:t>
            </w:r>
          </w:p>
        </w:tc>
      </w:tr>
      <w:tr>
        <w:trPr>
          <w:trHeight w:val="20"/>
        </w:trPr>
        <w:tc>
          <w:tcPr>
            <w:tcW w:w="7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680" w:firstLine="1070"/>
        <w:spacing w:after="0" w:line="274" w:lineRule="auto"/>
        <w:rPr>
          <w:sz w:val="20"/>
          <w:szCs w:val="20"/>
          <w:color w:val="auto"/>
        </w:rPr>
      </w:pPr>
      <w:r>
        <w:rPr>
          <w:rFonts w:ascii="Arial" w:cs="Arial" w:eastAsia="Arial" w:hAnsi="Arial"/>
          <w:sz w:val="17"/>
          <w:szCs w:val="17"/>
          <w:color w:val="auto"/>
        </w:rPr>
        <w:t>A reconciliation of the numerator and denominator used in the calculation of the basic and diluted net loss per share attributable to common stockholders is as follows (in thousands, except share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5"/>
                <w:szCs w:val="15"/>
                <w:color w:val="auto"/>
              </w:rPr>
            </w:pPr>
          </w:p>
        </w:tc>
        <w:tc>
          <w:tcPr>
            <w:tcW w:w="260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loss per share: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(22,831)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80"/>
              <w:spacing w:after="0" w:line="152" w:lineRule="exact"/>
              <w:rPr>
                <w:sz w:val="20"/>
                <w:szCs w:val="20"/>
                <w:color w:val="auto"/>
              </w:rPr>
            </w:pPr>
            <w:r>
              <w:rPr>
                <w:rFonts w:ascii="Arial" w:cs="Arial" w:eastAsia="Arial" w:hAnsi="Arial"/>
                <w:sz w:val="17"/>
                <w:szCs w:val="17"/>
                <w:color w:val="auto"/>
                <w:w w:val="91"/>
              </w:rPr>
              <w:t>Weighted-average common shares outstanding used to calculate net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2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7"/>
                <w:szCs w:val="17"/>
                <w:color w:val="auto"/>
              </w:rPr>
              <w:t>per share attributable to common stockholders: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36,173,135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35,746,922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36,144,944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35,726,393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36,173,135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35,746,922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36,144,944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35,726,393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Net loss per share attributable to common stockholders: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114" w:lineRule="exact"/>
        <w:rPr>
          <w:sz w:val="20"/>
          <w:szCs w:val="20"/>
          <w:color w:val="auto"/>
        </w:rPr>
      </w:pPr>
    </w:p>
    <w:p>
      <w:pPr>
        <w:jc w:val="both"/>
        <w:ind w:right="20" w:firstLine="1070"/>
        <w:spacing w:after="0" w:line="262" w:lineRule="auto"/>
        <w:rPr>
          <w:sz w:val="20"/>
          <w:szCs w:val="20"/>
          <w:color w:val="auto"/>
        </w:rPr>
      </w:pPr>
      <w:r>
        <w:rPr>
          <w:rFonts w:ascii="Arial" w:cs="Arial" w:eastAsia="Arial" w:hAnsi="Arial"/>
          <w:sz w:val="17"/>
          <w:szCs w:val="17"/>
          <w:color w:val="auto"/>
        </w:rPr>
        <w:t>On July 15, 2022, the Company completed a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$215.7 million, net of underwriting discounts, commissions and offering expenses.</w:t>
      </w:r>
    </w:p>
    <w:p>
      <w:pPr>
        <w:spacing w:after="0" w:line="73" w:lineRule="exact"/>
        <w:rPr>
          <w:sz w:val="20"/>
          <w:szCs w:val="20"/>
          <w:color w:val="auto"/>
        </w:rPr>
      </w:pPr>
    </w:p>
    <w:p>
      <w:pPr>
        <w:ind w:right="40" w:firstLine="1070"/>
        <w:spacing w:after="0" w:line="256" w:lineRule="auto"/>
        <w:rPr>
          <w:sz w:val="20"/>
          <w:szCs w:val="20"/>
          <w:color w:val="auto"/>
        </w:rPr>
      </w:pPr>
      <w:r>
        <w:rPr>
          <w:rFonts w:ascii="Arial" w:cs="Arial" w:eastAsia="Arial" w:hAnsi="Arial"/>
          <w:sz w:val="17"/>
          <w:szCs w:val="17"/>
          <w:color w:val="auto"/>
        </w:rPr>
        <w:t>Subsequent to June 30, 2022, the Company initiated a retention award to employees consisting of 525,825 Restricted Stock Units (RSUs) with a 2 year vesting term. Additionally, senior management received a Performance RSU (PRSU) grant whereby the number of shares to vest is based on a target of 709,064 and will be increased or decreased based upon the Company's total shareholder return as measured against a relevant market index and according to the achievement of multiple clinical development milestones over the term of the award concluding in the second quarter of 2024. The minimum and maximum number of PRSUs to vest is 0% and 200% of target,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6" w:lineRule="exact"/>
        <w:rPr>
          <w:sz w:val="20"/>
          <w:szCs w:val="20"/>
          <w:color w:val="auto"/>
        </w:rPr>
      </w:pPr>
    </w:p>
    <w:p>
      <w:pPr>
        <w:ind w:right="80" w:firstLine="1070"/>
        <w:spacing w:after="0" w:line="253"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Annual Report on Form 10-K for the fiscal year ended December 31, 2021, filed with the Securities and Exchange Commission, or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Annual Report on Form 10-K for the fiscal year ended December 31, 2021.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right="60" w:firstLine="1070"/>
        <w:spacing w:after="0" w:line="279" w:lineRule="auto"/>
        <w:rPr>
          <w:sz w:val="20"/>
          <w:szCs w:val="20"/>
          <w:color w:val="auto"/>
        </w:rPr>
      </w:pPr>
      <w:r>
        <w:rPr>
          <w:rFonts w:ascii="Arial" w:cs="Arial" w:eastAsia="Arial" w:hAnsi="Arial"/>
          <w:sz w:val="16"/>
          <w:szCs w:val="16"/>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right="20" w:firstLine="611"/>
        <w:spacing w:after="0" w:line="273" w:lineRule="auto"/>
        <w:rPr>
          <w:sz w:val="20"/>
          <w:szCs w:val="20"/>
          <w:color w:val="auto"/>
        </w:rPr>
      </w:pPr>
      <w:r>
        <w:rPr>
          <w:rFonts w:ascii="Arial" w:cs="Arial" w:eastAsia="Arial" w:hAnsi="Arial"/>
          <w:sz w:val="16"/>
          <w:szCs w:val="16"/>
          <w:color w:val="auto"/>
        </w:rPr>
        <w:t xml:space="preserve">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αvß6 and αvß1 integrins that we are developing for the treatment of idiopathic pulmonary fibrosis, or IPF, and primary sclerosing cholangitis, or PSC. Our development of PLN-74809 in both IPF and PSC continues to progress as described in the </w:t>
      </w:r>
      <w:r>
        <w:rPr>
          <w:rFonts w:ascii="Arial" w:cs="Arial" w:eastAsia="Arial" w:hAnsi="Arial"/>
          <w:sz w:val="16"/>
          <w:szCs w:val="16"/>
          <w:i w:val="1"/>
          <w:iCs w:val="1"/>
          <w:color w:val="auto"/>
        </w:rPr>
        <w:t>"Second Quarter and Recent Highlights"</w:t>
      </w:r>
      <w:r>
        <w:rPr>
          <w:rFonts w:ascii="Arial" w:cs="Arial" w:eastAsia="Arial" w:hAnsi="Arial"/>
          <w:sz w:val="16"/>
          <w:szCs w:val="16"/>
          <w:color w:val="auto"/>
        </w:rPr>
        <w:t xml:space="preserve"> section below.</w:t>
      </w:r>
    </w:p>
    <w:p>
      <w:pPr>
        <w:spacing w:after="0" w:line="69" w:lineRule="exact"/>
        <w:rPr>
          <w:sz w:val="20"/>
          <w:szCs w:val="20"/>
          <w:color w:val="auto"/>
        </w:rPr>
      </w:pPr>
    </w:p>
    <w:p>
      <w:pPr>
        <w:ind w:right="240" w:firstLine="1070"/>
        <w:spacing w:after="0" w:line="303" w:lineRule="auto"/>
        <w:rPr>
          <w:sz w:val="20"/>
          <w:szCs w:val="20"/>
          <w:color w:val="auto"/>
        </w:rPr>
      </w:pPr>
      <w:r>
        <w:rPr>
          <w:rFonts w:ascii="Arial" w:cs="Arial" w:eastAsia="Arial" w:hAnsi="Arial"/>
          <w:sz w:val="15"/>
          <w:szCs w:val="15"/>
          <w:color w:val="auto"/>
        </w:rPr>
        <w:t>Our second product candidate, PLN-1474, is a small-molecule selective inhibitor of αvß1 for the treatment of liver fibrosis associated with nonalcoholic steatohepatitis, or NASH, which we have partnered with Novartis. PLN-1474 successfully completed a Phase 1 SAD/MAD trial in March 2021, and the Investigational New Drug, or IND, application was transferred to Novartis in the first quarter of 2021. Novartis is responsible for all PLN-1474 development, manufacturing and commercialization activities and we earn research and development services revenue in supporting certain aspects of the development plan.</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addition to our clinical programs, we currently have preclinical integrin-based programs targeting oncology and muscular dystrophies.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Second Quarter and Recent Highlights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PLN-74809 Highlights</w:t>
      </w:r>
    </w:p>
    <w:p>
      <w:pPr>
        <w:spacing w:after="0" w:line="106" w:lineRule="exact"/>
        <w:rPr>
          <w:sz w:val="20"/>
          <w:szCs w:val="20"/>
          <w:color w:val="auto"/>
        </w:rPr>
      </w:pPr>
    </w:p>
    <w:p>
      <w:pPr>
        <w:ind w:left="2140" w:hanging="1068"/>
        <w:spacing w:after="0" w:line="299" w:lineRule="auto"/>
        <w:tabs>
          <w:tab w:leader="none" w:pos="2136"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INTEGRIS-IPF Phase 2a trial results showed PLN-74809 was well tolerated with dose-dependent treatment effects on forced vital capacity (FVC) and quantitative lung fibrosis (QLF) in patients with idiopathic pulmonary fibrosis (IPF). </w:t>
      </w:r>
      <w:r>
        <w:rPr>
          <w:rFonts w:ascii="Arial" w:cs="Arial" w:eastAsia="Arial" w:hAnsi="Arial"/>
          <w:sz w:val="15"/>
          <w:szCs w:val="15"/>
          <w:color w:val="auto"/>
        </w:rPr>
        <w:t>Exploratory</w:t>
      </w:r>
      <w:r>
        <w:rPr>
          <w:rFonts w:ascii="Arial" w:cs="Arial" w:eastAsia="Arial" w:hAnsi="Arial"/>
          <w:sz w:val="15"/>
          <w:szCs w:val="15"/>
          <w:b w:val="1"/>
          <w:bCs w:val="1"/>
          <w:color w:val="auto"/>
        </w:rPr>
        <w:t xml:space="preserve"> </w:t>
      </w:r>
      <w:r>
        <w:rPr>
          <w:rFonts w:ascii="Arial" w:cs="Arial" w:eastAsia="Arial" w:hAnsi="Arial"/>
          <w:sz w:val="15"/>
          <w:szCs w:val="15"/>
          <w:color w:val="auto"/>
        </w:rPr>
        <w:t>endpoints a showed a dose-dependent treatment effect on FVC and QLF versus placebo in all PLN-74809 dose groups, both with and without standard of care therapy. In addition, a dose-dependent reduction in the proportion of patients with percent-predicted FVC (FVCpp) decline of ≥ 10%, a risk factor associated with increased mortality in IPF patients, was observed across all treatment groups.</w:t>
      </w:r>
    </w:p>
    <w:p>
      <w:pPr>
        <w:spacing w:after="0" w:line="46" w:lineRule="exact"/>
        <w:rPr>
          <w:rFonts w:ascii="Arial" w:cs="Arial" w:eastAsia="Arial" w:hAnsi="Arial"/>
          <w:sz w:val="15"/>
          <w:szCs w:val="15"/>
          <w:color w:val="auto"/>
        </w:rPr>
      </w:pPr>
    </w:p>
    <w:p>
      <w:pPr>
        <w:ind w:left="2140" w:right="40" w:hanging="1068"/>
        <w:spacing w:after="0" w:line="257" w:lineRule="auto"/>
        <w:tabs>
          <w:tab w:leader="none" w:pos="21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INTEGRIS-IPF Phase 2a trial of PLN-74809 at 320 mg completed enrollment in patients with IPF. </w:t>
      </w:r>
      <w:r>
        <w:rPr>
          <w:rFonts w:ascii="Arial" w:cs="Arial" w:eastAsia="Arial" w:hAnsi="Arial"/>
          <w:sz w:val="17"/>
          <w:szCs w:val="17"/>
          <w:color w:val="auto"/>
        </w:rPr>
        <w:t>Enrollment is complete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randomized, double-blind, placebo-controlled trial evaluating PLN-74809 at a once daily dose of 320 mg administered for at least six months and up to 48 weeks in approximately 28 patients with IPF. The trial will evaluate primary and secondary endpoints of safety, tolerability, and pharmacokinetics. Exploratory efficacy endpoints will include effect on FVC and QLF imaging as well as biomarkers. Interim 12-week data is anticipated in early 2023.</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2" w:name="page23"/>
    <w:bookmarkEnd w:id="22"/>
    <w:p>
      <w:pPr>
        <w:ind w:left="2140" w:right="40" w:hanging="1068"/>
        <w:spacing w:after="0" w:line="281" w:lineRule="auto"/>
        <w:tabs>
          <w:tab w:leader="none" w:pos="21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INTEGRIS-PSC Phase 2a data anticipated in the first half of 2023. </w:t>
      </w:r>
      <w:r>
        <w:rPr>
          <w:rFonts w:ascii="Arial" w:cs="Arial" w:eastAsia="Arial" w:hAnsi="Arial"/>
          <w:sz w:val="16"/>
          <w:szCs w:val="16"/>
          <w:color w:val="auto"/>
        </w:rPr>
        <w:t>This 12-week randomized, dose-ranging, double-blind,</w:t>
      </w:r>
      <w:r>
        <w:rPr>
          <w:rFonts w:ascii="Arial" w:cs="Arial" w:eastAsia="Arial" w:hAnsi="Arial"/>
          <w:sz w:val="16"/>
          <w:szCs w:val="16"/>
          <w:b w:val="1"/>
          <w:bCs w:val="1"/>
          <w:color w:val="auto"/>
        </w:rPr>
        <w:t xml:space="preserve"> </w:t>
      </w:r>
      <w:r>
        <w:rPr>
          <w:rFonts w:ascii="Arial" w:cs="Arial" w:eastAsia="Arial" w:hAnsi="Arial"/>
          <w:sz w:val="16"/>
          <w:szCs w:val="16"/>
          <w:color w:val="auto"/>
        </w:rPr>
        <w:t>placebo-controlled trial is evaluating the safety, tolerability, and pharmacokinetics of PLN-74809 in primary sclerosing cholangitis (PSC) patients. The trial is also evaluating exploratory endpoints including fibrosis biomarkers such as PRO-C3 and ELF, changes in ALP, and liver imaging. Topline data from this trial is expected in the first half of 2023.</w:t>
      </w:r>
    </w:p>
    <w:p>
      <w:pPr>
        <w:spacing w:after="0" w:line="55" w:lineRule="exact"/>
        <w:rPr>
          <w:rFonts w:ascii="Arial" w:cs="Arial" w:eastAsia="Arial" w:hAnsi="Arial"/>
          <w:sz w:val="16"/>
          <w:szCs w:val="16"/>
          <w:color w:val="auto"/>
        </w:rPr>
      </w:pPr>
    </w:p>
    <w:p>
      <w:pPr>
        <w:ind w:left="2140" w:hanging="1068"/>
        <w:spacing w:after="0" w:line="257" w:lineRule="auto"/>
        <w:tabs>
          <w:tab w:leader="none" w:pos="2136"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FDA Fast Track designation received for PLN-74809 for the treatment of PSC</w:t>
      </w:r>
      <w:r>
        <w:rPr>
          <w:rFonts w:ascii="Arial" w:cs="Arial" w:eastAsia="Arial" w:hAnsi="Arial"/>
          <w:sz w:val="17"/>
          <w:szCs w:val="17"/>
          <w:color w:val="auto"/>
        </w:rPr>
        <w:t>. FDA’s Fast Track designation is intended to</w:t>
      </w:r>
      <w:r>
        <w:rPr>
          <w:rFonts w:ascii="Arial" w:cs="Arial" w:eastAsia="Arial" w:hAnsi="Arial"/>
          <w:sz w:val="17"/>
          <w:szCs w:val="17"/>
          <w:b w:val="1"/>
          <w:bCs w:val="1"/>
          <w:color w:val="auto"/>
        </w:rPr>
        <w:t xml:space="preserve"> </w:t>
      </w:r>
      <w:r>
        <w:rPr>
          <w:rFonts w:ascii="Arial" w:cs="Arial" w:eastAsia="Arial" w:hAnsi="Arial"/>
          <w:sz w:val="17"/>
          <w:szCs w:val="17"/>
          <w:color w:val="auto"/>
        </w:rPr>
        <w:t>facilitate and expedite the development and review of new drugs to treat serious or life-threatening conditions. The benefits of Fast Track designation include opportunities for frequent meetings with the FDA to discuss trial design, development plans, and data needed to support drug approval, as well as the ability to submit a New Drug Application (NDA) on a rolling basis, and eligibility for priority review, if relevant criteria are met.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Early-Stage Development Programs</w:t>
      </w:r>
    </w:p>
    <w:p>
      <w:pPr>
        <w:spacing w:after="0" w:line="106" w:lineRule="exact"/>
        <w:rPr>
          <w:sz w:val="20"/>
          <w:szCs w:val="20"/>
          <w:color w:val="auto"/>
        </w:rPr>
      </w:pPr>
    </w:p>
    <w:p>
      <w:pPr>
        <w:ind w:left="2140" w:right="180" w:hanging="1068"/>
        <w:spacing w:after="0" w:line="264" w:lineRule="auto"/>
        <w:tabs>
          <w:tab w:leader="none" w:pos="213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Advancement of integrin target in fibrosis under strategic collaboration. </w:t>
      </w:r>
      <w:r>
        <w:rPr>
          <w:rFonts w:ascii="Arial" w:cs="Arial" w:eastAsia="Arial" w:hAnsi="Arial"/>
          <w:sz w:val="17"/>
          <w:szCs w:val="17"/>
          <w:color w:val="auto"/>
        </w:rPr>
        <w:t>A fibrosis-directed integrin target moved into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as part of Pliant’s 2019 research and development collaboration with Novartis. Pliant earned a $4.0 million milestone payment and research funding in support of the development work.</w:t>
      </w:r>
    </w:p>
    <w:p>
      <w:pPr>
        <w:spacing w:after="0" w:line="68" w:lineRule="exact"/>
        <w:rPr>
          <w:rFonts w:ascii="Arial" w:cs="Arial" w:eastAsia="Arial" w:hAnsi="Arial"/>
          <w:sz w:val="17"/>
          <w:szCs w:val="17"/>
          <w:color w:val="auto"/>
        </w:rPr>
      </w:pPr>
    </w:p>
    <w:p>
      <w:pPr>
        <w:ind w:left="2140" w:right="340" w:hanging="1068"/>
        <w:spacing w:after="0" w:line="279" w:lineRule="auto"/>
        <w:tabs>
          <w:tab w:leader="none" w:pos="213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Oncology and muscular dystrophy programs progressing through Investigational New Drug (IND) enabling studies. </w:t>
      </w:r>
      <w:r>
        <w:rPr>
          <w:rFonts w:ascii="Arial" w:cs="Arial" w:eastAsia="Arial" w:hAnsi="Arial"/>
          <w:sz w:val="17"/>
          <w:szCs w:val="17"/>
          <w:color w:val="auto"/>
        </w:rPr>
        <w:t>IND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submissions for both programs expected by the end of 2022.</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106" w:lineRule="exact"/>
        <w:rPr>
          <w:sz w:val="20"/>
          <w:szCs w:val="20"/>
          <w:color w:val="auto"/>
        </w:rPr>
      </w:pPr>
    </w:p>
    <w:p>
      <w:pPr>
        <w:ind w:left="2140" w:right="200" w:hanging="1068"/>
        <w:spacing w:after="0" w:line="288" w:lineRule="auto"/>
        <w:tabs>
          <w:tab w:leader="none" w:pos="213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Underwritten public offering raised approximately $215.7 million in net proceeds. </w:t>
      </w:r>
      <w:r>
        <w:rPr>
          <w:rFonts w:ascii="Arial" w:cs="Arial" w:eastAsia="Arial" w:hAnsi="Arial"/>
          <w:sz w:val="16"/>
          <w:szCs w:val="16"/>
          <w:color w:val="auto"/>
        </w:rPr>
        <w:t>In July 2022, the Company closed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of $230.0 million of common stock including the underwriter’s exercise in full of their overallotment option to support development of ongoing and future preclinical and clinical programs including PLN-74809.</w:t>
      </w:r>
    </w:p>
    <w:p>
      <w:pPr>
        <w:spacing w:after="0" w:line="50" w:lineRule="exact"/>
        <w:rPr>
          <w:rFonts w:ascii="Arial" w:cs="Arial" w:eastAsia="Arial" w:hAnsi="Arial"/>
          <w:sz w:val="16"/>
          <w:szCs w:val="16"/>
          <w:color w:val="auto"/>
        </w:rPr>
      </w:pPr>
    </w:p>
    <w:p>
      <w:pPr>
        <w:ind w:left="2140" w:right="160" w:hanging="1068"/>
        <w:spacing w:after="0" w:line="259" w:lineRule="auto"/>
        <w:tabs>
          <w:tab w:leader="none" w:pos="2136"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Loan facility agreement with Oxford Finance LLC provides up to $100 million of non-dilutive financing. </w:t>
      </w:r>
      <w:r>
        <w:rPr>
          <w:rFonts w:ascii="Arial" w:cs="Arial" w:eastAsia="Arial" w:hAnsi="Arial"/>
          <w:sz w:val="17"/>
          <w:szCs w:val="17"/>
          <w:color w:val="auto"/>
        </w:rPr>
        <w:t>The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support for the continued clinical development of PLN-74809 in the lead indications of IPF and PSC. The Company drew $10.0 million at closing of an initial $25.0 million tranche. Following the achievement of a development milestone, the Company now has access to the second $25.0 million tranche.</w:t>
      </w:r>
    </w:p>
    <w:p>
      <w:pPr>
        <w:spacing w:after="0" w:line="200" w:lineRule="exact"/>
        <w:rPr>
          <w:sz w:val="20"/>
          <w:szCs w:val="20"/>
          <w:color w:val="auto"/>
        </w:rPr>
      </w:pPr>
    </w:p>
    <w:p>
      <w:pPr>
        <w:spacing w:after="0" w:line="208" w:lineRule="exact"/>
        <w:rPr>
          <w:sz w:val="20"/>
          <w:szCs w:val="20"/>
          <w:color w:val="auto"/>
        </w:rPr>
      </w:pPr>
    </w:p>
    <w:p>
      <w:pPr>
        <w:ind w:right="120" w:firstLine="1070"/>
        <w:spacing w:after="0" w:line="279" w:lineRule="auto"/>
        <w:rPr>
          <w:sz w:val="20"/>
          <w:szCs w:val="20"/>
          <w:color w:val="auto"/>
        </w:rPr>
      </w:pPr>
      <w:r>
        <w:rPr>
          <w:rFonts w:ascii="Arial" w:cs="Arial" w:eastAsia="Arial" w:hAnsi="Arial"/>
          <w:sz w:val="16"/>
          <w:szCs w:val="16"/>
          <w:color w:val="auto"/>
        </w:rPr>
        <w:t>Since inception, we have had significant operating losses. Our net loss was $29.5 million and $57.6 million for the three and six months ended June 30, 2022, respectively. As of June 30, 2022, we had an accumulated deficit of $272.7 million and cash, cash equivalents and short-term investments of $163.6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61" w:lineRule="exact"/>
        <w:rPr>
          <w:sz w:val="20"/>
          <w:szCs w:val="20"/>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product candidates into and through clinical development;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the manufacture of supplies to support research and development, preclinical studies and clinical trials;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10" w:lineRule="exact"/>
        <w:rPr>
          <w:rFonts w:ascii="Arial" w:cs="Arial" w:eastAsia="Arial" w:hAnsi="Arial"/>
          <w:sz w:val="17"/>
          <w:szCs w:val="17"/>
          <w:color w:val="auto"/>
        </w:rPr>
      </w:pPr>
    </w:p>
    <w:p>
      <w:pPr>
        <w:ind w:left="2140" w:right="960" w:hanging="1068"/>
        <w:spacing w:after="0" w:line="274" w:lineRule="auto"/>
        <w:tabs>
          <w:tab w:leader="none" w:pos="21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to support our clinical development, manufacturing and commercialization efforts and our operations as a public company;</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Components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23" w:name="page24"/>
    <w:bookmarkEnd w:id="23"/>
    <w:p>
      <w:pPr>
        <w:ind w:right="20" w:firstLine="1070"/>
        <w:spacing w:after="0" w:line="270" w:lineRule="auto"/>
        <w:rPr>
          <w:sz w:val="20"/>
          <w:szCs w:val="20"/>
          <w:color w:val="auto"/>
        </w:rPr>
      </w:pPr>
      <w:r>
        <w:rPr>
          <w:rFonts w:ascii="Arial" w:cs="Arial" w:eastAsia="Arial" w:hAnsi="Arial"/>
          <w:sz w:val="16"/>
          <w:szCs w:val="16"/>
          <w:color w:val="auto"/>
        </w:rPr>
        <w:t>We have not generated any revenue from product sales and do not expect to do so in the near future. Our revenue to date is derived from a Collaboration and License Agreement with Novartis (the "Novartis Agreement") that was executed in 2019. 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first-patient dosed in our Phase 1 trial of PLN-1474 in the first quarter of 2020. In the second quarter of 2022 we recognized a $4.0 million target validation fee as Novartis exercised their right to opt-in to a research program and secured an exclusive license to compounds associated with an integrin research target. We are eligible to receive additional milestone payments of up to $387.0 million in total, if defined developmental, regulatory and commercialization milestones are achieved, and tiered royalties on a product-by-product basis based on annual nets sales of products. Additionally, Novartis is providing up to $20.0 million and up to $16.8 million in funding for research and development activities associated with PLN-1474 and integrin research targets, respectively. As of June 30, 2022, we estimate an additional $2.3 million of aggregate research and development funding will be utilized over the effective term of the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 Research and development expenses include:</w:t>
      </w:r>
    </w:p>
    <w:p>
      <w:pPr>
        <w:spacing w:after="0" w:line="63" w:lineRule="exact"/>
        <w:rPr>
          <w:sz w:val="20"/>
          <w:szCs w:val="20"/>
          <w:color w:val="auto"/>
        </w:rPr>
      </w:pPr>
    </w:p>
    <w:p>
      <w:pPr>
        <w:ind w:left="2140" w:right="560" w:hanging="1068"/>
        <w:spacing w:after="0" w:line="274" w:lineRule="auto"/>
        <w:tabs>
          <w:tab w:leader="none" w:pos="21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 for our research and development personnel;</w:t>
      </w:r>
    </w:p>
    <w:p>
      <w:pPr>
        <w:spacing w:after="0" w:line="63" w:lineRule="exact"/>
        <w:rPr>
          <w:rFonts w:ascii="Arial" w:cs="Arial" w:eastAsia="Arial" w:hAnsi="Arial"/>
          <w:sz w:val="17"/>
          <w:szCs w:val="17"/>
          <w:color w:val="auto"/>
        </w:rPr>
      </w:pPr>
    </w:p>
    <w:p>
      <w:pPr>
        <w:ind w:left="2140" w:hanging="1068"/>
        <w:spacing w:after="0" w:line="274" w:lineRule="auto"/>
        <w:tabs>
          <w:tab w:leader="none" w:pos="21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organizations for pre-clinical studies, clinical trials and consultants that conduct research and development activities on our behalf;</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associated with the manufacture of supplies to support research and development, preclinical studies and clinical trials;</w:t>
      </w:r>
    </w:p>
    <w:p>
      <w:pPr>
        <w:spacing w:after="0" w:line="121" w:lineRule="exact"/>
        <w:rPr>
          <w:rFonts w:ascii="Arial" w:cs="Arial" w:eastAsia="Arial" w:hAnsi="Arial"/>
          <w:sz w:val="16"/>
          <w:szCs w:val="16"/>
          <w:color w:val="auto"/>
        </w:rPr>
      </w:pPr>
    </w:p>
    <w:p>
      <w:pPr>
        <w:ind w:left="2140" w:hanging="1068"/>
        <w:spacing w:after="0"/>
        <w:tabs>
          <w:tab w:leader="none" w:pos="2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depreciation of laboratory equipment and costs of equipment and supplies;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associated with technology and intellectual property licenses;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220" w:firstLine="1070"/>
        <w:spacing w:after="0" w:line="306" w:lineRule="auto"/>
        <w:rPr>
          <w:sz w:val="20"/>
          <w:szCs w:val="20"/>
          <w:color w:val="auto"/>
        </w:rPr>
      </w:pPr>
      <w:r>
        <w:rPr>
          <w:rFonts w:ascii="Arial" w:cs="Arial" w:eastAsia="Arial" w:hAnsi="Arial"/>
          <w:sz w:val="16"/>
          <w:szCs w:val="16"/>
          <w:color w:val="auto"/>
        </w:rPr>
        <w:t>Our interest and other income (expense), net consists of interest income earned on cash and cash equivalents, money market funds and short-term investments, realized gains and losses on investments and interest expense from a term loan entered into under our Oxford Loan Agreement.</w:t>
      </w:r>
    </w:p>
    <w:p>
      <w:pPr>
        <w:spacing w:after="0" w:line="24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2022 and 2021 (in thousands)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24" w:name="page25"/>
    <w:bookmarkEnd w:id="24"/>
    <w:tbl>
      <w:tblPr>
        <w:tblLayout w:type="fixed"/>
        <w:tblInd w:w="22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3"/>
        </w:trPr>
        <w:tc>
          <w:tcPr>
            <w:tcW w:w="6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r>
      <w:tr>
        <w:trPr>
          <w:trHeight w:val="216"/>
        </w:trPr>
        <w:tc>
          <w:tcPr>
            <w:tcW w:w="6340" w:type="dxa"/>
            <w:vAlign w:val="bottom"/>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(7,117)</w:t>
            </w:r>
          </w:p>
        </w:tc>
      </w:tr>
      <w:tr>
        <w:trPr>
          <w:trHeight w:val="216"/>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(2,821)</w:t>
            </w: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(9,938)</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(6,738)</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(6,715)</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2" w:lineRule="exact"/>
        <w:rPr>
          <w:sz w:val="20"/>
          <w:szCs w:val="20"/>
          <w:color w:val="auto"/>
        </w:rPr>
      </w:pPr>
    </w:p>
    <w:p>
      <w:pPr>
        <w:ind w:right="180" w:firstLine="1070"/>
        <w:spacing w:after="0" w:line="262" w:lineRule="auto"/>
        <w:rPr>
          <w:sz w:val="20"/>
          <w:szCs w:val="20"/>
          <w:color w:val="auto"/>
        </w:rPr>
      </w:pPr>
      <w:r>
        <w:rPr>
          <w:rFonts w:ascii="Arial" w:cs="Arial" w:eastAsia="Arial" w:hAnsi="Arial"/>
          <w:sz w:val="17"/>
          <w:szCs w:val="17"/>
          <w:color w:val="auto"/>
        </w:rPr>
        <w:t>Revenue was $5.0 million for the three months ended June 30, 2022 compared to $1.8 million for the three months ended June 30, 2021. The increase of $3.2 million is attributable to the recognition of a $4.0 million research target validation fee in the second quarter of 2022 which was partially offset by lower research and development services revenue, in each case, associated with the Novartis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June 30,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93345</wp:posOffset>
            </wp:positionV>
            <wp:extent cx="1875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w:t>
            </w:r>
          </w:p>
        </w:tc>
        <w:tc>
          <w:tcPr>
            <w:tcW w:w="0" w:type="dxa"/>
            <w:vAlign w:val="bottom"/>
          </w:tcPr>
          <w:p>
            <w:pPr>
              <w:spacing w:after="0"/>
              <w:rPr>
                <w:sz w:val="1"/>
                <w:szCs w:val="1"/>
                <w:color w:val="auto"/>
              </w:rPr>
            </w:pP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7"/>
                <w:szCs w:val="17"/>
                <w:color w:val="auto"/>
                <w:w w:val="97"/>
              </w:rPr>
              <w:t>Outside and consulting services for preclinical studies and research and development</w:t>
            </w:r>
          </w:p>
        </w:tc>
        <w:tc>
          <w:tcPr>
            <w:tcW w:w="8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9,197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3,536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5,661</w:t>
            </w:r>
          </w:p>
        </w:tc>
        <w:tc>
          <w:tcPr>
            <w:tcW w:w="0" w:type="dxa"/>
            <w:vAlign w:val="bottom"/>
          </w:tcPr>
          <w:p>
            <w:pPr>
              <w:spacing w:after="0"/>
              <w:rPr>
                <w:sz w:val="1"/>
                <w:szCs w:val="1"/>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7"/>
                <w:szCs w:val="17"/>
                <w:color w:val="auto"/>
              </w:rPr>
              <w:t>activities by third-party contract organizations</w:t>
            </w:r>
          </w:p>
        </w:tc>
        <w:tc>
          <w:tcPr>
            <w:tcW w:w="8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26,335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19,218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200" w:firstLine="1070"/>
        <w:spacing w:after="0" w:line="303" w:lineRule="auto"/>
        <w:rPr>
          <w:sz w:val="20"/>
          <w:szCs w:val="20"/>
          <w:color w:val="auto"/>
        </w:rPr>
      </w:pPr>
      <w:r>
        <w:rPr>
          <w:rFonts w:ascii="Arial" w:cs="Arial" w:eastAsia="Arial" w:hAnsi="Arial"/>
          <w:sz w:val="15"/>
          <w:szCs w:val="15"/>
          <w:color w:val="auto"/>
        </w:rPr>
        <w:t>Research and development expenses for the three months ended June 30, 2022 was $26.3 million compared to $19.2 million for the three months ended June 30, 2021. The increase of $7.1 million is primarily attributable to third-party costs incurred for the advancement of preclinical programs, notably manufacturing related activities, and employee-related expenses, driven by headcount, salaries and stock-based compensation expense. This increase was partially offset by a reduction in clinical trial expenses of $1.1 million resulting from the completion of certain Phase 1 trials prior to the second quarter of 2022.</w:t>
      </w:r>
    </w:p>
    <w:p>
      <w:pPr>
        <w:spacing w:after="0" w:line="148" w:lineRule="exact"/>
        <w:rPr>
          <w:sz w:val="20"/>
          <w:szCs w:val="20"/>
          <w:color w:val="auto"/>
        </w:rPr>
      </w:pPr>
    </w:p>
    <w:p>
      <w:pPr>
        <w:ind w:right="80" w:firstLine="1070"/>
        <w:spacing w:after="0" w:line="303"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jc w:val="both"/>
        <w:ind w:firstLine="1070"/>
        <w:spacing w:after="0" w:line="286" w:lineRule="auto"/>
        <w:rPr>
          <w:sz w:val="20"/>
          <w:szCs w:val="20"/>
          <w:color w:val="auto"/>
        </w:rPr>
      </w:pPr>
      <w:r>
        <w:rPr>
          <w:rFonts w:ascii="Arial" w:cs="Arial" w:eastAsia="Arial" w:hAnsi="Arial"/>
          <w:sz w:val="16"/>
          <w:szCs w:val="16"/>
          <w:color w:val="auto"/>
        </w:rPr>
        <w:t>General and administrative expenses for the three months ended June 30, 2022 was $8.3 million compared to $5.5 million for the three months ended June 30, 2021. The increase of $2.8 million is primarily attributable to employee-related costs, driven by salaries and stock-based compensation expense, consulting and other professional services expense, and charitable contributions to support academic research associated with fibrosis.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60" w:right="359" w:bottom="1440" w:gutter="0" w:footer="0" w:header="0"/>
        </w:sectPr>
      </w:pPr>
    </w:p>
    <w:bookmarkStart w:id="25" w:name="page26"/>
    <w:bookmarkEnd w:id="25"/>
    <w:p>
      <w:pPr>
        <w:ind w:right="480" w:firstLine="1070"/>
        <w:spacing w:after="0" w:line="274"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firstLine="1070"/>
        <w:spacing w:after="0" w:line="262" w:lineRule="auto"/>
        <w:rPr>
          <w:sz w:val="20"/>
          <w:szCs w:val="20"/>
          <w:color w:val="auto"/>
        </w:rPr>
      </w:pPr>
      <w:r>
        <w:rPr>
          <w:rFonts w:ascii="Arial" w:cs="Arial" w:eastAsia="Arial" w:hAnsi="Arial"/>
          <w:sz w:val="17"/>
          <w:szCs w:val="17"/>
          <w:color w:val="auto"/>
        </w:rPr>
        <w:t>Interest and other income (expense), net for the three months ended June 30, 2022 was $96,000 compared to $73,000 for the three months ended June 30, 2021. The increase of $23,000 resulted from higher interest income in the current period which was partially offset by interest expense associated with the term loan issued under the Oxford Loan Agreement that was executed in the second quarter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2022 and 2021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3"/>
        </w:trPr>
        <w:tc>
          <w:tcPr>
            <w:tcW w:w="6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r>
      <w:tr>
        <w:trPr>
          <w:trHeight w:val="216"/>
        </w:trPr>
        <w:tc>
          <w:tcPr>
            <w:tcW w:w="6340" w:type="dxa"/>
            <w:vAlign w:val="bottom"/>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(9,471)</w:t>
            </w:r>
          </w:p>
        </w:tc>
      </w:tr>
      <w:tr>
        <w:trPr>
          <w:trHeight w:val="216"/>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(4,834)</w:t>
            </w: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(14,305)</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(12,030)</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(11,959)</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2" w:lineRule="exact"/>
        <w:rPr>
          <w:sz w:val="20"/>
          <w:szCs w:val="20"/>
          <w:color w:val="auto"/>
        </w:rPr>
      </w:pPr>
    </w:p>
    <w:p>
      <w:pPr>
        <w:ind w:right="80" w:firstLine="1070"/>
        <w:spacing w:after="0" w:line="262" w:lineRule="auto"/>
        <w:rPr>
          <w:sz w:val="20"/>
          <w:szCs w:val="20"/>
          <w:color w:val="auto"/>
        </w:rPr>
      </w:pPr>
      <w:r>
        <w:rPr>
          <w:rFonts w:ascii="Arial" w:cs="Arial" w:eastAsia="Arial" w:hAnsi="Arial"/>
          <w:sz w:val="17"/>
          <w:szCs w:val="17"/>
          <w:color w:val="auto"/>
        </w:rPr>
        <w:t>Revenue was $6.2 million for the six months ended June 30, 2022 compared to $4.0 million for the six months ended June 30, 2021. The increase of $2.3 million is attributable to the recognition of a $4.0 million research target validation fee in the second quarter of 2022 which was partially offset by lower research and development services revenue, in each case, associated with the Novartis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summarizes our research and development expenses for the six months ended June 30,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93345</wp:posOffset>
            </wp:positionV>
            <wp:extent cx="1875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12,467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10,313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0" w:type="dxa"/>
            <w:vAlign w:val="bottom"/>
          </w:tcPr>
          <w:p>
            <w:pPr>
              <w:spacing w:after="0"/>
              <w:rPr>
                <w:sz w:val="1"/>
                <w:szCs w:val="1"/>
                <w:color w:val="auto"/>
              </w:rPr>
            </w:pP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7"/>
                <w:szCs w:val="17"/>
                <w:color w:val="auto"/>
                <w:w w:val="97"/>
              </w:rPr>
              <w:t>Outside and consulting services for preclinical studies and research and development</w:t>
            </w:r>
          </w:p>
        </w:tc>
        <w:tc>
          <w:tcPr>
            <w:tcW w:w="8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w w:val="88"/>
              </w:rPr>
              <w:t>16,812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6,227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10,585</w:t>
            </w:r>
          </w:p>
        </w:tc>
        <w:tc>
          <w:tcPr>
            <w:tcW w:w="0" w:type="dxa"/>
            <w:vAlign w:val="bottom"/>
          </w:tcPr>
          <w:p>
            <w:pPr>
              <w:spacing w:after="0"/>
              <w:rPr>
                <w:sz w:val="1"/>
                <w:szCs w:val="1"/>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7"/>
                <w:szCs w:val="17"/>
                <w:color w:val="auto"/>
              </w:rPr>
              <w:t>activities by third-party contract organizations</w:t>
            </w:r>
          </w:p>
        </w:tc>
        <w:tc>
          <w:tcPr>
            <w:tcW w:w="8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11,311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47,216</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37,745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firstLine="1070"/>
        <w:spacing w:after="0" w:line="279" w:lineRule="auto"/>
        <w:rPr>
          <w:sz w:val="20"/>
          <w:szCs w:val="20"/>
          <w:color w:val="auto"/>
        </w:rPr>
      </w:pPr>
      <w:r>
        <w:rPr>
          <w:rFonts w:ascii="Arial" w:cs="Arial" w:eastAsia="Arial" w:hAnsi="Arial"/>
          <w:sz w:val="16"/>
          <w:szCs w:val="16"/>
          <w:color w:val="auto"/>
        </w:rPr>
        <w:t>Research and development expenses for the six months ended June 30, 2022 was $47.2 million compared to $37.7 million for the six months ended June 30, 2021. The increase of $9.5 million is primarily attributable to third-party costs incurred for the advancement of preclinical programs, notably manufacturing related activities, and employee-related expenses, driven by headcount, salaries and stock-based compensation expense. These increases were partially offset by a reduction in clinical trial expenses of $4.0 million resulting from the completion of certain Phase 1 trials prior to 2022.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6" w:name="page27"/>
    <w:bookmarkEnd w:id="26"/>
    <w:p>
      <w:pPr>
        <w:ind w:right="60" w:firstLine="1070"/>
        <w:spacing w:after="0" w:line="303"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jc w:val="both"/>
        <w:ind w:right="40" w:firstLine="1070"/>
        <w:spacing w:after="0" w:line="286" w:lineRule="auto"/>
        <w:rPr>
          <w:sz w:val="20"/>
          <w:szCs w:val="20"/>
          <w:color w:val="auto"/>
        </w:rPr>
      </w:pPr>
      <w:r>
        <w:rPr>
          <w:rFonts w:ascii="Arial" w:cs="Arial" w:eastAsia="Arial" w:hAnsi="Arial"/>
          <w:sz w:val="16"/>
          <w:szCs w:val="16"/>
          <w:color w:val="auto"/>
        </w:rPr>
        <w:t>General and administrative expenses for the six months ended June 30, 2022 was $16.9 million compared to $12.0 million for the six months ended June 30, 2021. The increase of $4.8 million is primarily attributable to employee-related costs, driven by salaries and stock-based compensation expense, consulting and other professional services expense, and charitable contributions to support academic research associated with fibrosis.</w:t>
      </w:r>
    </w:p>
    <w:p>
      <w:pPr>
        <w:spacing w:after="0" w:line="55" w:lineRule="exact"/>
        <w:rPr>
          <w:sz w:val="20"/>
          <w:szCs w:val="20"/>
          <w:color w:val="auto"/>
        </w:rPr>
      </w:pPr>
    </w:p>
    <w:p>
      <w:pPr>
        <w:ind w:right="440" w:firstLine="1070"/>
        <w:spacing w:after="0" w:line="274"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jc w:val="both"/>
        <w:ind w:right="60" w:firstLine="1070"/>
        <w:spacing w:after="0" w:line="262" w:lineRule="auto"/>
        <w:rPr>
          <w:sz w:val="20"/>
          <w:szCs w:val="20"/>
          <w:color w:val="auto"/>
        </w:rPr>
      </w:pPr>
      <w:r>
        <w:rPr>
          <w:rFonts w:ascii="Arial" w:cs="Arial" w:eastAsia="Arial" w:hAnsi="Arial"/>
          <w:sz w:val="17"/>
          <w:szCs w:val="17"/>
          <w:color w:val="auto"/>
        </w:rPr>
        <w:t>Interest and other income (expense), net for the six months ended June 30, 2022 was $207,000 compared to $136,000 for the six months ended June 30, 2021. The increase of $71,000 resulted from higher interest income in the current period which was partially offset by interest expense associated with the term loan issued under the Oxford Loan Agreement that was executed in the second quarter 2022.</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 of June 30, 2022, we had $163.6 million of cash, cash equivalents and short-term investments. Our short-term investments consist of U.S.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Treasury securities, U.S. Government agency securities and highly rated, investment-grade corporate debt securities.</w:t>
      </w:r>
    </w:p>
    <w:p>
      <w:pPr>
        <w:spacing w:after="0" w:line="99" w:lineRule="exact"/>
        <w:rPr>
          <w:sz w:val="20"/>
          <w:szCs w:val="20"/>
          <w:color w:val="auto"/>
        </w:rPr>
      </w:pPr>
    </w:p>
    <w:p>
      <w:pPr>
        <w:ind w:right="200" w:firstLine="1070"/>
        <w:spacing w:after="0" w:line="313" w:lineRule="auto"/>
        <w:rPr>
          <w:sz w:val="20"/>
          <w:szCs w:val="20"/>
          <w:color w:val="auto"/>
        </w:rPr>
      </w:pPr>
      <w:r>
        <w:rPr>
          <w:rFonts w:ascii="Arial" w:cs="Arial" w:eastAsia="Arial" w:hAnsi="Arial"/>
          <w:sz w:val="15"/>
          <w:szCs w:val="15"/>
          <w:color w:val="auto"/>
        </w:rPr>
        <w:t>In May 2022 we entered into a Loan and Security Agreement (the “Oxford Loan Agreement”) with Oxford Finance LLC (or "Oxford"). Upon closing of the Oxford Loan Agreement, the Company drew $10.0 million and we have access to draw an additional $40.0 million in 2022. A further $50.0 million may become available to us, $25.0 million upon the achievement of a pre-determined development milestone and $25.0 million at Oxford's discretion.</w:t>
      </w:r>
    </w:p>
    <w:p>
      <w:pPr>
        <w:spacing w:after="0" w:line="38" w:lineRule="exact"/>
        <w:rPr>
          <w:sz w:val="20"/>
          <w:szCs w:val="20"/>
          <w:color w:val="auto"/>
        </w:rPr>
      </w:pPr>
    </w:p>
    <w:p>
      <w:pPr>
        <w:ind w:right="360" w:firstLine="1070"/>
        <w:spacing w:after="0" w:line="262" w:lineRule="auto"/>
        <w:rPr>
          <w:sz w:val="20"/>
          <w:szCs w:val="20"/>
          <w:color w:val="auto"/>
        </w:rPr>
      </w:pPr>
      <w:r>
        <w:rPr>
          <w:rFonts w:ascii="Arial" w:cs="Arial" w:eastAsia="Arial" w:hAnsi="Arial"/>
          <w:sz w:val="17"/>
          <w:szCs w:val="17"/>
          <w:color w:val="auto"/>
        </w:rPr>
        <w:t>In July 2022, we completed a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$215.7 million, net of underwriting discounts, commissions and offering expenses.</w:t>
      </w:r>
    </w:p>
    <w:p>
      <w:pPr>
        <w:spacing w:after="0" w:line="73" w:lineRule="exact"/>
        <w:rPr>
          <w:sz w:val="20"/>
          <w:szCs w:val="20"/>
          <w:color w:val="auto"/>
        </w:rPr>
      </w:pPr>
    </w:p>
    <w:p>
      <w:pPr>
        <w:ind w:firstLine="1070"/>
        <w:spacing w:after="0" w:line="256" w:lineRule="auto"/>
        <w:rPr>
          <w:sz w:val="20"/>
          <w:szCs w:val="20"/>
          <w:color w:val="auto"/>
        </w:rPr>
      </w:pPr>
      <w:r>
        <w:rPr>
          <w:rFonts w:ascii="Arial" w:cs="Arial" w:eastAsia="Arial" w:hAnsi="Arial"/>
          <w:sz w:val="17"/>
          <w:szCs w:val="17"/>
          <w:color w:val="auto"/>
        </w:rPr>
        <w:t>We believe that our existing capital resources, together with the proceeds from our July 2022 public offering and term loans available or contingently available to us under the Oxford Loan Agreement, will be sufficient to meet our projected operating requirements to the middle of 2025.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78" w:lineRule="exact"/>
        <w:rPr>
          <w:sz w:val="20"/>
          <w:szCs w:val="20"/>
          <w:color w:val="auto"/>
        </w:rPr>
      </w:pPr>
    </w:p>
    <w:p>
      <w:pPr>
        <w:ind w:right="20" w:firstLine="1070"/>
        <w:spacing w:after="0" w:line="255" w:lineRule="auto"/>
        <w:rPr>
          <w:sz w:val="20"/>
          <w:szCs w:val="20"/>
          <w:color w:val="auto"/>
        </w:rPr>
      </w:pPr>
      <w:r>
        <w:rPr>
          <w:rFonts w:ascii="Arial" w:cs="Arial" w:eastAsia="Arial" w:hAnsi="Arial"/>
          <w:sz w:val="16"/>
          <w:szCs w:val="16"/>
          <w:color w:val="auto"/>
        </w:rPr>
        <w:t>Our operations have been financed primarily through the issuance and sale of convertible preferred stock, issuance of common stock and our collaboration with Novartis. During the third quarter of 2021, we entered into a Controlled Equity Offering</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Sales Agreement (the “Sales Agreement”) with Cantor Fitzgerald &amp; Co., as sales agent, pursuant to which we may issue and sell up to $150.0 million of shares of common stock from time to time. The issuance and sale of these shares pursuant to the Sales Agreement are deemed an “at-the-market” offering and are registered under the Securities Act of 1933, as amended. We have not issued any shares pursuant to any at-the-market offerings but may do so at a future date.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110" w:lineRule="exact"/>
        <w:rPr>
          <w:sz w:val="20"/>
          <w:szCs w:val="20"/>
          <w:color w:val="auto"/>
        </w:rPr>
      </w:pPr>
    </w:p>
    <w:p>
      <w:pPr>
        <w:ind w:right="220" w:firstLine="1070"/>
        <w:spacing w:after="0" w:line="342" w:lineRule="auto"/>
        <w:rPr>
          <w:sz w:val="20"/>
          <w:szCs w:val="20"/>
          <w:color w:val="auto"/>
        </w:rPr>
      </w:pPr>
      <w:r>
        <w:rPr>
          <w:rFonts w:ascii="Arial" w:cs="Arial" w:eastAsia="Arial" w:hAnsi="Arial"/>
          <w:sz w:val="15"/>
          <w:szCs w:val="15"/>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future funding requirements will depend on many factors, including the following:</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7" w:name="page28"/>
    <w:bookmarkEnd w:id="27"/>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10" w:lineRule="exact"/>
        <w:rPr>
          <w:rFonts w:ascii="Arial" w:cs="Arial" w:eastAsia="Arial" w:hAnsi="Arial"/>
          <w:sz w:val="17"/>
          <w:szCs w:val="17"/>
          <w:color w:val="auto"/>
        </w:rPr>
      </w:pPr>
    </w:p>
    <w:p>
      <w:pPr>
        <w:ind w:left="1980" w:right="540" w:hanging="908"/>
        <w:spacing w:after="0" w:line="274" w:lineRule="auto"/>
        <w:tabs>
          <w:tab w:leader="none" w:pos="19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timelines of our clinical trials and the overall costs to conduct and complete the clinical trials, which may be impacted by the COVID-19 pandemic;</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1980" w:right="160" w:hanging="908"/>
        <w:spacing w:after="0" w:line="274" w:lineRule="auto"/>
        <w:tabs>
          <w:tab w:leader="none" w:pos="19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U.S. Food and Drug Administration, or FDA, and other comparable foreign regulatory authorities;</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we enter into any collaboration agreements and the terms of any such agreements;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1980" w:right="380" w:hanging="908"/>
        <w:spacing w:after="0" w:line="274" w:lineRule="auto"/>
        <w:tabs>
          <w:tab w:leader="none" w:pos="19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w:t>
      </w:r>
    </w:p>
    <w:p>
      <w:pPr>
        <w:spacing w:after="0" w:line="110" w:lineRule="exact"/>
        <w:rPr>
          <w:rFonts w:ascii="Arial" w:cs="Arial" w:eastAsia="Arial" w:hAnsi="Arial"/>
          <w:sz w:val="17"/>
          <w:szCs w:val="17"/>
          <w:color w:val="auto"/>
        </w:rPr>
      </w:pPr>
    </w:p>
    <w:p>
      <w:pPr>
        <w:ind w:left="1980" w:right="240" w:hanging="908"/>
        <w:spacing w:after="0" w:line="274" w:lineRule="auto"/>
        <w:tabs>
          <w:tab w:leader="none" w:pos="19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operating as a public company.</w:t>
      </w:r>
    </w:p>
    <w:p>
      <w:pPr>
        <w:spacing w:after="0" w:line="212"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2022 and 2021</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summarizes our cash flows for the periods indicated (in thousands):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6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(33,068)</w:t>
            </w: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8,026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15,816</w:t>
            </w:r>
          </w:p>
        </w:tc>
      </w:tr>
      <w:tr>
        <w:trPr>
          <w:trHeight w:val="217"/>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10,273</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1,562</w:t>
            </w:r>
          </w:p>
        </w:tc>
      </w:tr>
      <w:tr>
        <w:trPr>
          <w:trHeight w:val="209"/>
        </w:trPr>
        <w:tc>
          <w:tcPr>
            <w:tcW w:w="6360" w:type="dxa"/>
            <w:vAlign w:val="bottom"/>
          </w:tcPr>
          <w:p>
            <w:pPr>
              <w:ind w:left="220"/>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(15,690)</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Operating Activities</w:t>
      </w:r>
    </w:p>
    <w:p>
      <w:pPr>
        <w:spacing w:after="0" w:line="110" w:lineRule="exact"/>
        <w:rPr>
          <w:sz w:val="20"/>
          <w:szCs w:val="20"/>
          <w:color w:val="auto"/>
        </w:rPr>
      </w:pPr>
    </w:p>
    <w:p>
      <w:pPr>
        <w:jc w:val="both"/>
        <w:ind w:right="160" w:firstLine="1070"/>
        <w:spacing w:after="0" w:line="262" w:lineRule="auto"/>
        <w:rPr>
          <w:sz w:val="20"/>
          <w:szCs w:val="20"/>
          <w:color w:val="auto"/>
        </w:rPr>
      </w:pPr>
      <w:r>
        <w:rPr>
          <w:rFonts w:ascii="Arial" w:cs="Arial" w:eastAsia="Arial" w:hAnsi="Arial"/>
          <w:sz w:val="17"/>
          <w:szCs w:val="17"/>
          <w:color w:val="auto"/>
        </w:rPr>
        <w:t>Net cash used in operating activities was $44.9 million for the six months ended June 30, 2022 compared to $33.1 million for the six months ended June 30, 2021. The increase in cash used in operating activities of $11.8 million over the prior year is attributable to an increase in the net loss of $12.0 million and the timing of revenue related cash receipts and cash outlay to settle accrued liabilities.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Investing Activities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8" w:name="page29"/>
    <w:bookmarkEnd w:id="28"/>
    <w:p>
      <w:pPr>
        <w:ind w:right="180" w:firstLine="1070"/>
        <w:spacing w:after="0" w:line="262" w:lineRule="auto"/>
        <w:rPr>
          <w:sz w:val="20"/>
          <w:szCs w:val="20"/>
          <w:color w:val="auto"/>
        </w:rPr>
      </w:pPr>
      <w:r>
        <w:rPr>
          <w:rFonts w:ascii="Arial" w:cs="Arial" w:eastAsia="Arial" w:hAnsi="Arial"/>
          <w:sz w:val="17"/>
          <w:szCs w:val="17"/>
          <w:color w:val="auto"/>
        </w:rPr>
        <w:t>Net cash provided by investing activities was $8.0 million for the six months ended June 30, 2022 compared to net cash provided by investing activities of $15.8 million for the same period in 2021. The decrease of $7.8 million is attributable to a significant reduction in the amount of maturities relative to purchases of short-term investments during the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110" w:lineRule="exact"/>
        <w:rPr>
          <w:sz w:val="20"/>
          <w:szCs w:val="20"/>
          <w:color w:val="auto"/>
        </w:rPr>
      </w:pPr>
    </w:p>
    <w:p>
      <w:pPr>
        <w:ind w:right="120" w:firstLine="1070"/>
        <w:spacing w:after="0" w:line="262" w:lineRule="auto"/>
        <w:rPr>
          <w:sz w:val="20"/>
          <w:szCs w:val="20"/>
          <w:color w:val="auto"/>
        </w:rPr>
      </w:pPr>
      <w:r>
        <w:rPr>
          <w:rFonts w:ascii="Arial" w:cs="Arial" w:eastAsia="Arial" w:hAnsi="Arial"/>
          <w:sz w:val="17"/>
          <w:szCs w:val="17"/>
          <w:color w:val="auto"/>
        </w:rPr>
        <w:t>Net cash provided by financing activities was $10.3 million for the six months ended June 30, 2022 compared to cash provided by financing activities of $1.6 million for the same period in 2021. The increase of $8.7 million is mainly attributable to the cash inflow from entering into a term loan under the Oxford Loan Agreement in May 2022.</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78" w:lineRule="exact"/>
        <w:rPr>
          <w:sz w:val="20"/>
          <w:szCs w:val="20"/>
          <w:color w:val="auto"/>
        </w:rPr>
      </w:pPr>
    </w:p>
    <w:p>
      <w:pPr>
        <w:ind w:right="100" w:firstLine="1070"/>
        <w:spacing w:after="0" w:line="262" w:lineRule="auto"/>
        <w:rPr>
          <w:sz w:val="20"/>
          <w:szCs w:val="20"/>
          <w:color w:val="auto"/>
        </w:rPr>
      </w:pPr>
      <w:r>
        <w:rPr>
          <w:rFonts w:ascii="Arial" w:cs="Arial" w:eastAsia="Arial" w:hAnsi="Arial"/>
          <w:sz w:val="17"/>
          <w:szCs w:val="17"/>
          <w:color w:val="auto"/>
        </w:rPr>
        <w:t xml:space="preserve">There have been no material changes to our contractual obligations and other commitments as of June 30, 2022, as compared to those disclosed in our Annual Report on Form 10-K for the fiscal year ended December 31, 2021 other than those associated with the Oxford Loan Agreement as described in Item 1, Note 7, </w:t>
      </w:r>
      <w:r>
        <w:rPr>
          <w:rFonts w:ascii="Arial" w:cs="Arial" w:eastAsia="Arial" w:hAnsi="Arial"/>
          <w:sz w:val="17"/>
          <w:szCs w:val="17"/>
          <w:i w:val="1"/>
          <w:iCs w:val="1"/>
          <w:color w:val="auto"/>
        </w:rPr>
        <w:t>Debt</w:t>
      </w:r>
      <w:r>
        <w:rPr>
          <w:rFonts w:ascii="Arial" w:cs="Arial" w:eastAsia="Arial" w:hAnsi="Arial"/>
          <w:sz w:val="17"/>
          <w:szCs w:val="17"/>
          <w:color w:val="auto"/>
        </w:rPr>
        <w:t>, in this Report.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During the periods presented, we did not have, nor do we currently have, any off-balance sheet arrangements or holdings in any variable interest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entities.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114" w:lineRule="exact"/>
        <w:rPr>
          <w:sz w:val="20"/>
          <w:szCs w:val="20"/>
          <w:color w:val="auto"/>
        </w:rPr>
      </w:pPr>
    </w:p>
    <w:p>
      <w:pPr>
        <w:ind w:firstLine="1070"/>
        <w:spacing w:after="0" w:line="27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right="260" w:firstLine="1070"/>
        <w:spacing w:after="0" w:line="262" w:lineRule="auto"/>
        <w:rPr>
          <w:sz w:val="20"/>
          <w:szCs w:val="20"/>
          <w:color w:val="auto"/>
        </w:rPr>
      </w:pPr>
      <w:r>
        <w:rPr>
          <w:rFonts w:ascii="Arial" w:cs="Arial" w:eastAsia="Arial" w:hAnsi="Arial"/>
          <w:sz w:val="17"/>
          <w:szCs w:val="17"/>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2021 filed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See Note 2 to our condensed financial statements appearing elsewhere in this Report for more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 and JOBS Act Accounting Election</w:t>
      </w:r>
    </w:p>
    <w:p>
      <w:pPr>
        <w:spacing w:after="0" w:line="114" w:lineRule="exact"/>
        <w:rPr>
          <w:sz w:val="20"/>
          <w:szCs w:val="20"/>
          <w:color w:val="auto"/>
        </w:rPr>
      </w:pPr>
    </w:p>
    <w:p>
      <w:pPr>
        <w:ind w:right="20" w:firstLine="611"/>
        <w:spacing w:after="0" w:line="279" w:lineRule="auto"/>
        <w:rPr>
          <w:sz w:val="20"/>
          <w:szCs w:val="20"/>
          <w:color w:val="auto"/>
        </w:rPr>
      </w:pPr>
      <w:r>
        <w:rPr>
          <w:rFonts w:ascii="Arial" w:cs="Arial" w:eastAsia="Arial" w:hAnsi="Arial"/>
          <w:sz w:val="16"/>
          <w:szCs w:val="16"/>
          <w:color w:val="auto"/>
        </w:rPr>
        <w:t>Based on the market value of our common stock held by our non-affiliates as of June 30, 2021, we were considered a “large accelerated filer” on December 31, 2021 and thus lost, and will not regain, our status as an emerging growth company. Additionally, based on the market value of our common stock held by our non-affiliates as of June 30, 2022 we will be considered a "non-accelerated filer" and “smaller reporting company” on December 31, 2022, and thus will not be subject to accelerated filing deadlines nor the requirements of section 404(b)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4" w:lineRule="exact"/>
        <w:rPr>
          <w:sz w:val="20"/>
          <w:szCs w:val="20"/>
          <w:color w:val="auto"/>
        </w:rPr>
      </w:pPr>
    </w:p>
    <w:p>
      <w:pPr>
        <w:ind w:firstLine="1070"/>
        <w:spacing w:after="0" w:line="275" w:lineRule="auto"/>
        <w:rPr>
          <w:sz w:val="20"/>
          <w:szCs w:val="20"/>
          <w:color w:val="auto"/>
        </w:rPr>
      </w:pPr>
      <w:r>
        <w:rPr>
          <w:rFonts w:ascii="Arial" w:cs="Arial" w:eastAsia="Arial" w:hAnsi="Arial"/>
          <w:sz w:val="16"/>
          <w:szCs w:val="16"/>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$163.6 million as of June 30, 2022 which consisted of bank deposits, highly liquid money market funds and short-term investments in U.S. treasury securities, U.S. government agency securities and corporate debt securities. Under the Oxford Loan Agreement, we had a $10.0 million term loan outstanding as of June 30, 2022 which is subject to the movement in interest rates, however the exposure is capped at 2.0%. Due to the short-term</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29" w:name="page30"/>
    <w:bookmarkEnd w:id="29"/>
    <w:p>
      <w:pPr>
        <w:ind w:right="400"/>
        <w:spacing w:after="0" w:line="274" w:lineRule="auto"/>
        <w:rPr>
          <w:sz w:val="20"/>
          <w:szCs w:val="20"/>
          <w:color w:val="auto"/>
        </w:rPr>
      </w:pPr>
      <w:r>
        <w:rPr>
          <w:rFonts w:ascii="Arial" w:cs="Arial" w:eastAsia="Arial" w:hAnsi="Arial"/>
          <w:sz w:val="17"/>
          <w:szCs w:val="17"/>
          <w:color w:val="auto"/>
        </w:rPr>
        <w:t>maturities of our cash equivalents and short-term investments, an immediate 100 basis point change in interest rates would not have a material effect on the fair market value of our cash equivalents or short-term investments.</w:t>
      </w:r>
    </w:p>
    <w:p>
      <w:pPr>
        <w:spacing w:after="0" w:line="63" w:lineRule="exact"/>
        <w:rPr>
          <w:sz w:val="20"/>
          <w:szCs w:val="20"/>
          <w:color w:val="auto"/>
        </w:rPr>
      </w:pPr>
    </w:p>
    <w:p>
      <w:pPr>
        <w:ind w:right="200" w:firstLine="1070"/>
        <w:spacing w:after="0" w:line="256" w:lineRule="auto"/>
        <w:rPr>
          <w:sz w:val="20"/>
          <w:szCs w:val="20"/>
          <w:color w:val="auto"/>
        </w:rPr>
      </w:pPr>
      <w:r>
        <w:rPr>
          <w:rFonts w:ascii="Arial" w:cs="Arial" w:eastAsia="Arial" w:hAnsi="Arial"/>
          <w:sz w:val="17"/>
          <w:szCs w:val="17"/>
          <w:color w:val="auto"/>
        </w:rPr>
        <w:t>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4" w:lineRule="exact"/>
        <w:rPr>
          <w:sz w:val="20"/>
          <w:szCs w:val="20"/>
          <w:color w:val="auto"/>
        </w:rPr>
      </w:pPr>
    </w:p>
    <w:p>
      <w:pPr>
        <w:ind w:right="100" w:firstLine="1070"/>
        <w:spacing w:after="0" w:line="298" w:lineRule="auto"/>
        <w:rPr>
          <w:sz w:val="20"/>
          <w:szCs w:val="20"/>
          <w:color w:val="auto"/>
        </w:rPr>
      </w:pPr>
      <w:r>
        <w:rPr>
          <w:rFonts w:ascii="Arial" w:cs="Arial" w:eastAsia="Arial" w:hAnsi="Arial"/>
          <w:sz w:val="15"/>
          <w:szCs w:val="15"/>
          <w:color w:val="auto"/>
        </w:rPr>
        <w:t>As of June 30, 2022,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152" w:lineRule="exact"/>
        <w:rPr>
          <w:sz w:val="20"/>
          <w:szCs w:val="20"/>
          <w:color w:val="auto"/>
        </w:rPr>
      </w:pPr>
    </w:p>
    <w:p>
      <w:pPr>
        <w:ind w:firstLine="1070"/>
        <w:spacing w:after="0" w:line="25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2022, the design and operation of our disclosure controls and procedures were effective at a reasonable assurance level.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4" w:lineRule="exact"/>
        <w:rPr>
          <w:sz w:val="20"/>
          <w:szCs w:val="20"/>
          <w:color w:val="auto"/>
        </w:rPr>
      </w:pPr>
    </w:p>
    <w:p>
      <w:pPr>
        <w:ind w:right="120" w:firstLine="1070"/>
        <w:spacing w:after="0" w:line="279" w:lineRule="auto"/>
        <w:rPr>
          <w:sz w:val="20"/>
          <w:szCs w:val="20"/>
          <w:color w:val="auto"/>
        </w:rPr>
      </w:pPr>
      <w:r>
        <w:rPr>
          <w:rFonts w:ascii="Arial" w:cs="Arial" w:eastAsia="Arial" w:hAnsi="Arial"/>
          <w:sz w:val="16"/>
          <w:szCs w:val="16"/>
          <w:color w:val="auto"/>
        </w:rPr>
        <w:t>There was no change in our internal controls over financial reporting identified in connection with the evaluation required by Rule 13a-15(d) and 15d-15(d) under the Exchange Act that occurred during the quarter ended June 30, 2022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4" w:lineRule="exact"/>
        <w:rPr>
          <w:sz w:val="20"/>
          <w:szCs w:val="20"/>
          <w:color w:val="auto"/>
        </w:rPr>
      </w:pPr>
    </w:p>
    <w:p>
      <w:pPr>
        <w:jc w:val="both"/>
        <w:ind w:right="100" w:firstLine="1070"/>
        <w:spacing w:after="0" w:line="286"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spacing w:after="0" w:line="278"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RISK FACTORS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We have incurred significant net losses since inception and we expect to continue to incur significant net losses for the foreseeable future.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30" w:name="page31"/>
    <w:bookmarkEnd w:id="30"/>
    <w:p>
      <w:pPr>
        <w:ind w:firstLine="917"/>
        <w:spacing w:after="0" w:line="295" w:lineRule="auto"/>
        <w:rPr>
          <w:sz w:val="20"/>
          <w:szCs w:val="20"/>
          <w:color w:val="auto"/>
        </w:rPr>
      </w:pPr>
      <w:r>
        <w:rPr>
          <w:rFonts w:ascii="Arial" w:cs="Arial" w:eastAsia="Arial" w:hAnsi="Arial"/>
          <w:sz w:val="15"/>
          <w:szCs w:val="15"/>
          <w:color w:val="auto"/>
        </w:rPr>
        <w:t>We have incurred significant net losses since our inception and have financed our operations principally through equity and debt financing and our collaboration with Novartis. We continue to incur significant research and development and other expenses related to our ongoing operations. Our net loss was $97.3 million and $41.5 million for the years ended December 31, 2021 and 2020, respectively. As of June 30, 2022, we had an accumulated deficit of $272.7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expect to continue to incur significant losses for the foreseeable future, and we anticipate that our expenses will increase substantially if, and as, we:</w:t>
      </w:r>
    </w:p>
    <w:p>
      <w:pPr>
        <w:spacing w:after="0" w:line="133" w:lineRule="exact"/>
        <w:rPr>
          <w:sz w:val="20"/>
          <w:szCs w:val="20"/>
          <w:color w:val="auto"/>
        </w:rPr>
      </w:pPr>
    </w:p>
    <w:p>
      <w:pPr>
        <w:ind w:left="2140" w:right="16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advance our lead product candidate, PLN-74809, and our other product candidates through clinical development, and, if successful, later-stage clinical trials;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discover and develop new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advance our preclinical development programs into clinical development;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further develop manufacturing processes and manufacture our product candidates;</w:t>
      </w:r>
    </w:p>
    <w:p>
      <w:pPr>
        <w:spacing w:after="0" w:line="110"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experience delays or interruptions to preclinical studies, clinical trials, our receipt of services from our third-party service providers on whom we rely, or our supply chain due to the COVID-19 pandemic;</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commercialize PLN-74809, our other product candidates and any future product candidates, if approved;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 the amount of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hire additional clinical development, quality control, scientific and management personnel;</w:t>
      </w:r>
    </w:p>
    <w:p>
      <w:pPr>
        <w:spacing w:after="0" w:line="110" w:lineRule="exact"/>
        <w:rPr>
          <w:rFonts w:ascii="Arial" w:cs="Arial" w:eastAsia="Arial" w:hAnsi="Arial"/>
          <w:sz w:val="17"/>
          <w:szCs w:val="17"/>
          <w:color w:val="auto"/>
        </w:rPr>
      </w:pPr>
    </w:p>
    <w:p>
      <w:pPr>
        <w:ind w:left="2140" w:right="52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and manufacturing efforts and our operations as a public company;</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build out our organization to engage in such activities.</w:t>
      </w:r>
    </w:p>
    <w:p>
      <w:pPr>
        <w:spacing w:after="0" w:line="110" w:lineRule="exact"/>
        <w:rPr>
          <w:sz w:val="20"/>
          <w:szCs w:val="20"/>
          <w:color w:val="auto"/>
        </w:rPr>
      </w:pPr>
    </w:p>
    <w:p>
      <w:pPr>
        <w:ind w:firstLine="917"/>
        <w:spacing w:after="0" w:line="295" w:lineRule="auto"/>
        <w:rPr>
          <w:sz w:val="20"/>
          <w:szCs w:val="20"/>
          <w:color w:val="auto"/>
        </w:rPr>
      </w:pPr>
      <w:r>
        <w:rPr>
          <w:rFonts w:ascii="Arial" w:cs="Arial" w:eastAsia="Arial" w:hAnsi="Arial"/>
          <w:sz w:val="15"/>
          <w:szCs w:val="15"/>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52"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3"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1" w:name="page32"/>
    <w:bookmarkEnd w:id="31"/>
    <w:p>
      <w:pPr>
        <w:spacing w:after="0" w:line="274" w:lineRule="auto"/>
        <w:rPr>
          <w:sz w:val="20"/>
          <w:szCs w:val="20"/>
          <w:color w:val="auto"/>
        </w:rPr>
      </w:pPr>
      <w:r>
        <w:rPr>
          <w:rFonts w:ascii="Arial" w:cs="Arial" w:eastAsia="Arial" w:hAnsi="Arial"/>
          <w:sz w:val="17"/>
          <w:szCs w:val="17"/>
          <w:color w:val="auto"/>
        </w:rPr>
        <w:t>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63" w:lineRule="exact"/>
        <w:rPr>
          <w:sz w:val="20"/>
          <w:szCs w:val="20"/>
          <w:color w:val="auto"/>
        </w:rPr>
      </w:pPr>
    </w:p>
    <w:p>
      <w:pPr>
        <w:ind w:right="40" w:firstLine="917"/>
        <w:spacing w:after="0" w:line="292" w:lineRule="auto"/>
        <w:rPr>
          <w:sz w:val="20"/>
          <w:szCs w:val="20"/>
          <w:color w:val="auto"/>
        </w:rPr>
      </w:pPr>
      <w:r>
        <w:rPr>
          <w:rFonts w:ascii="Arial" w:cs="Arial" w:eastAsia="Arial" w:hAnsi="Arial"/>
          <w:sz w:val="15"/>
          <w:szCs w:val="15"/>
          <w:color w:val="auto"/>
        </w:rPr>
        <w:t>As of June 30, 2022, we had approximately $163.6 million in cash, cash equivalents and short-term investments. Based on our current operating plan, we believe that our existing cash, cash equivalents and short-term investments, together with proceeds from the Oxford Loan Agreement executed in the second quarter of 2022 and the secondary offering in July 2022, will be sufficient to fund our anticipated operating expenses and capital expenditure requirements into the middle of 2025.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53" w:lineRule="exact"/>
        <w:rPr>
          <w:sz w:val="20"/>
          <w:szCs w:val="20"/>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timelines of our clinical trials and the overall costs to conduct and complete the clinical trials due to the COVID-19 pandemic;</w:t>
      </w:r>
    </w:p>
    <w:p>
      <w:pPr>
        <w:spacing w:after="0" w:line="121" w:lineRule="exact"/>
        <w:rPr>
          <w:rFonts w:ascii="Arial" w:cs="Arial" w:eastAsia="Arial" w:hAnsi="Arial"/>
          <w:sz w:val="16"/>
          <w:szCs w:val="16"/>
          <w:color w:val="auto"/>
        </w:rPr>
      </w:pPr>
    </w:p>
    <w:p>
      <w:pPr>
        <w:ind w:left="2140" w:hanging="1062"/>
        <w:spacing w:after="0" w:line="274" w:lineRule="auto"/>
        <w:tabs>
          <w:tab w:leader="none" w:pos="2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and capital commitments required for developing manufacturing processes for our product candidates and manufacturing our product candidates at clinical and commercial scales;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and other comparable foreign regulatory authorities;</w:t>
      </w:r>
    </w:p>
    <w:p>
      <w:pPr>
        <w:spacing w:after="0" w:line="63"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we are able to maintain our existing collaboration with Novartis and enter into additional collaboration agreements and the terms of any such agreements;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 and</w:t>
      </w:r>
    </w:p>
    <w:p>
      <w:pPr>
        <w:spacing w:after="0" w:line="110" w:lineRule="exact"/>
        <w:rPr>
          <w:rFonts w:ascii="Arial" w:cs="Arial" w:eastAsia="Arial" w:hAnsi="Arial"/>
          <w:sz w:val="17"/>
          <w:szCs w:val="17"/>
          <w:color w:val="auto"/>
        </w:rPr>
      </w:pPr>
    </w:p>
    <w:p>
      <w:pPr>
        <w:ind w:left="2140" w:right="40" w:hanging="1062"/>
        <w:spacing w:after="0" w:line="274" w:lineRule="auto"/>
        <w:tabs>
          <w:tab w:leader="none" w:pos="21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63" w:lineRule="exact"/>
        <w:rPr>
          <w:sz w:val="20"/>
          <w:szCs w:val="20"/>
          <w:color w:val="auto"/>
        </w:rPr>
      </w:pPr>
    </w:p>
    <w:p>
      <w:pPr>
        <w:ind w:right="40" w:firstLine="917"/>
        <w:spacing w:after="0" w:line="288" w:lineRule="auto"/>
        <w:rPr>
          <w:sz w:val="20"/>
          <w:szCs w:val="20"/>
          <w:color w:val="auto"/>
        </w:rPr>
      </w:pPr>
      <w:r>
        <w:rPr>
          <w:rFonts w:ascii="Arial" w:cs="Arial" w:eastAsia="Arial" w:hAnsi="Arial"/>
          <w:sz w:val="15"/>
          <w:szCs w:val="15"/>
          <w:color w:val="auto"/>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future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financial markets factors could also</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32" w:name="page33"/>
    <w:bookmarkEnd w:id="32"/>
    <w:p>
      <w:pPr>
        <w:ind w:right="160"/>
        <w:spacing w:after="0" w:line="258" w:lineRule="auto"/>
        <w:rPr>
          <w:sz w:val="20"/>
          <w:szCs w:val="20"/>
          <w:color w:val="auto"/>
        </w:rPr>
      </w:pPr>
      <w:r>
        <w:rPr>
          <w:rFonts w:ascii="Arial" w:cs="Arial" w:eastAsia="Arial" w:hAnsi="Arial"/>
          <w:sz w:val="17"/>
          <w:szCs w:val="17"/>
          <w:color w:val="auto"/>
        </w:rPr>
        <w:t>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76"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73" w:lineRule="exact"/>
        <w:rPr>
          <w:sz w:val="20"/>
          <w:szCs w:val="20"/>
          <w:color w:val="auto"/>
        </w:rPr>
      </w:pPr>
    </w:p>
    <w:p>
      <w:pPr>
        <w:ind w:right="240" w:firstLine="917"/>
        <w:spacing w:after="0" w:line="258" w:lineRule="auto"/>
        <w:rPr>
          <w:sz w:val="20"/>
          <w:szCs w:val="20"/>
          <w:color w:val="auto"/>
        </w:rPr>
      </w:pPr>
      <w:r>
        <w:rPr>
          <w:rFonts w:ascii="Arial" w:cs="Arial" w:eastAsia="Arial" w:hAnsi="Arial"/>
          <w:sz w:val="17"/>
          <w:szCs w:val="17"/>
          <w:color w:val="auto"/>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spacing w:after="0" w:line="76" w:lineRule="exact"/>
        <w:rPr>
          <w:sz w:val="20"/>
          <w:szCs w:val="20"/>
          <w:color w:val="auto"/>
        </w:rPr>
      </w:pPr>
    </w:p>
    <w:p>
      <w:pPr>
        <w:ind w:right="120" w:firstLine="917"/>
        <w:spacing w:after="0" w:line="254" w:lineRule="auto"/>
        <w:rPr>
          <w:sz w:val="20"/>
          <w:szCs w:val="20"/>
          <w:color w:val="auto"/>
        </w:rPr>
      </w:pPr>
      <w:r>
        <w:rPr>
          <w:rFonts w:ascii="Arial" w:cs="Arial" w:eastAsia="Arial" w:hAnsi="Arial"/>
          <w:sz w:val="17"/>
          <w:szCs w:val="17"/>
          <w:color w:val="auto"/>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if we are unable to comply with certain financial and operating restrictions in the Oxford Loan Agreement, we may be limited in our</w:t>
      </w:r>
    </w:p>
    <w:p>
      <w:pPr>
        <w:spacing w:after="0" w:line="5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business activities and access to credit or may default under the Oxford Loan Agreement. Provisions in the Oxford Loan Agreement impose restrictions or require prior approval on our ability, and the ability of certain of our subsidiaries to, among other things:</w:t>
      </w:r>
    </w:p>
    <w:p>
      <w:pPr>
        <w:spacing w:after="0" w:line="63" w:lineRule="exact"/>
        <w:rPr>
          <w:sz w:val="20"/>
          <w:szCs w:val="20"/>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certain investments and acquisitions;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Guarantee the indebtedness of others or our subsidiaries;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Create liens or encumbrances;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Engage in new lines of business;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 cash dividends and make distributions;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Redeem or repurchase capital shares;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Sell, lease or transfer certain parts of our business or property, including equity interests of our subsidiaries;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Prepay other indebtedness;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Acquire new companies and merge or consolidate.</w:t>
      </w:r>
    </w:p>
    <w:p>
      <w:pPr>
        <w:spacing w:after="0" w:line="148" w:lineRule="exact"/>
        <w:rPr>
          <w:sz w:val="20"/>
          <w:szCs w:val="20"/>
          <w:color w:val="auto"/>
        </w:rPr>
      </w:pPr>
    </w:p>
    <w:p>
      <w:pPr>
        <w:ind w:right="20" w:firstLine="917"/>
        <w:spacing w:after="0" w:line="273" w:lineRule="auto"/>
        <w:rPr>
          <w:sz w:val="20"/>
          <w:szCs w:val="20"/>
          <w:color w:val="auto"/>
        </w:rPr>
      </w:pPr>
      <w:r>
        <w:rPr>
          <w:rFonts w:ascii="Arial" w:cs="Arial" w:eastAsia="Arial" w:hAnsi="Arial"/>
          <w:sz w:val="16"/>
          <w:szCs w:val="16"/>
          <w:color w:val="auto"/>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spacing w:after="0" w:line="69"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3" w:name="page34"/>
    <w:bookmarkEnd w:id="33"/>
    <w:p>
      <w:pPr>
        <w:ind w:right="60" w:firstLine="917"/>
        <w:spacing w:after="0" w:line="274" w:lineRule="auto"/>
        <w:rPr>
          <w:sz w:val="20"/>
          <w:szCs w:val="20"/>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63" w:lineRule="exact"/>
        <w:rPr>
          <w:sz w:val="20"/>
          <w:szCs w:val="20"/>
          <w:color w:val="auto"/>
        </w:rPr>
      </w:pPr>
    </w:p>
    <w:p>
      <w:pPr>
        <w:ind w:left="2140" w:right="8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3" w:lineRule="exact"/>
        <w:rPr>
          <w:rFonts w:ascii="Arial" w:cs="Arial" w:eastAsia="Arial" w:hAnsi="Arial"/>
          <w:sz w:val="17"/>
          <w:szCs w:val="17"/>
          <w:color w:val="auto"/>
        </w:rPr>
      </w:pPr>
    </w:p>
    <w:p>
      <w:pPr>
        <w:ind w:left="2140" w:hanging="1063"/>
        <w:spacing w:after="0"/>
        <w:tabs>
          <w:tab w:leader="none" w:pos="2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successfully recruit and retain subjects for clinical trials, and any delays caused by difficulties in such efforts;</w:t>
      </w:r>
    </w:p>
    <w:p>
      <w:pPr>
        <w:spacing w:after="0" w:line="121" w:lineRule="exact"/>
        <w:rPr>
          <w:rFonts w:ascii="Arial" w:cs="Arial" w:eastAsia="Arial" w:hAnsi="Arial"/>
          <w:sz w:val="16"/>
          <w:szCs w:val="16"/>
          <w:color w:val="auto"/>
        </w:rPr>
      </w:pPr>
    </w:p>
    <w:p>
      <w:pPr>
        <w:ind w:left="2140" w:hanging="1062"/>
        <w:spacing w:after="0"/>
        <w:tabs>
          <w:tab w:leader="none" w:pos="2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obtain marketing approval for our product candidates, and the timing and scope of any such approvals we may receive;</w:t>
      </w:r>
    </w:p>
    <w:p>
      <w:pPr>
        <w:spacing w:after="0" w:line="133" w:lineRule="exact"/>
        <w:rPr>
          <w:rFonts w:ascii="Arial" w:cs="Arial" w:eastAsia="Arial" w:hAnsi="Arial"/>
          <w:sz w:val="15"/>
          <w:szCs w:val="15"/>
          <w:color w:val="auto"/>
        </w:rPr>
      </w:pPr>
    </w:p>
    <w:p>
      <w:pPr>
        <w:ind w:left="2140" w:right="8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63" w:lineRule="exact"/>
        <w:rPr>
          <w:rFonts w:ascii="Arial" w:cs="Arial" w:eastAsia="Arial" w:hAnsi="Arial"/>
          <w:sz w:val="17"/>
          <w:szCs w:val="17"/>
          <w:color w:val="auto"/>
        </w:rPr>
      </w:pPr>
    </w:p>
    <w:p>
      <w:pPr>
        <w:ind w:left="2140" w:right="2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difficulty of manufacture, quantity of production and the terms of our agreements with manufacturers;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0" w:lineRule="exact"/>
        <w:rPr>
          <w:rFonts w:ascii="Arial" w:cs="Arial" w:eastAsia="Arial" w:hAnsi="Arial"/>
          <w:sz w:val="17"/>
          <w:szCs w:val="17"/>
          <w:color w:val="auto"/>
        </w:rPr>
      </w:pPr>
    </w:p>
    <w:p>
      <w:pPr>
        <w:ind w:left="2140" w:right="60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market conditions or extraordinary external events, such as recessions or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changing and volatile U.S. and global economic environments;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10" w:lineRule="exact"/>
        <w:rPr>
          <w:sz w:val="20"/>
          <w:szCs w:val="20"/>
          <w:color w:val="auto"/>
        </w:rPr>
      </w:pPr>
    </w:p>
    <w:p>
      <w:pPr>
        <w:ind w:right="100" w:firstLine="917"/>
        <w:spacing w:after="0" w:line="298"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Research and Development and the Biopharmaceutical Industry</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have a limited operating history, which may make it difficult to evaluate our prospects and likelihood of success.</w:t>
      </w:r>
    </w:p>
    <w:p>
      <w:pPr>
        <w:spacing w:after="0" w:line="110" w:lineRule="exact"/>
        <w:rPr>
          <w:sz w:val="20"/>
          <w:szCs w:val="20"/>
          <w:color w:val="auto"/>
        </w:rPr>
      </w:pPr>
    </w:p>
    <w:p>
      <w:pPr>
        <w:ind w:firstLine="917"/>
        <w:spacing w:after="0" w:line="268"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a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34" w:name="page35"/>
    <w:bookmarkEnd w:id="34"/>
    <w:p>
      <w:pPr>
        <w:ind w:right="180"/>
        <w:spacing w:after="0" w:line="258" w:lineRule="auto"/>
        <w:rPr>
          <w:sz w:val="20"/>
          <w:szCs w:val="20"/>
          <w:color w:val="auto"/>
        </w:rPr>
      </w:pPr>
      <w:r>
        <w:rPr>
          <w:rFonts w:ascii="Arial" w:cs="Arial" w:eastAsia="Arial" w:hAnsi="Arial"/>
          <w:sz w:val="17"/>
          <w:szCs w:val="17"/>
          <w:color w:val="auto"/>
        </w:rPr>
        <w:t>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76"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3" w:lineRule="exact"/>
        <w:rPr>
          <w:sz w:val="20"/>
          <w:szCs w:val="20"/>
          <w:color w:val="auto"/>
        </w:rPr>
      </w:pPr>
    </w:p>
    <w:p>
      <w:pPr>
        <w:ind w:firstLine="917"/>
        <w:spacing w:after="0" w:line="252"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and have completed enrollment of two Phase 2a trials in IPF, including INTEGRIS-IPF and a PET imaging trial. We are also conducting a Phase 2a PSC trial which is currently enrolling patients. We are also collaborating with Novartis to develop PLN-1474 for liver fibrosis associated with NASH and have completed a Phase 1a SAD/MAD study evaluating PLN-1474 in healthy volunteers. The IND for this candidate was transferred to Novartis in the first quarter of 2021, and Novartis is responsible for all PLN-1474 development, manufacturing, and commercialization activities after the initial development period. All of the risks and uncertainties that apply to PLN-74809 or any candidates that we develop independently apply equally to our collaborator with respect to advancement of PLN-1474. In addition, we also face risks resulting from our reliance on Novartis for development of this candidate. See “Risks Related to Our Reliance on Third Parties.”</w:t>
      </w:r>
    </w:p>
    <w:p>
      <w:pPr>
        <w:spacing w:after="0" w:line="87" w:lineRule="exact"/>
        <w:rPr>
          <w:sz w:val="20"/>
          <w:szCs w:val="20"/>
          <w:color w:val="auto"/>
        </w:rPr>
      </w:pPr>
    </w:p>
    <w:p>
      <w:pPr>
        <w:ind w:firstLine="917"/>
        <w:spacing w:after="0" w:line="303" w:lineRule="auto"/>
        <w:rPr>
          <w:sz w:val="20"/>
          <w:szCs w:val="20"/>
          <w:color w:val="auto"/>
        </w:rPr>
      </w:pPr>
      <w:r>
        <w:rPr>
          <w:rFonts w:ascii="Arial" w:cs="Arial" w:eastAsia="Arial" w:hAnsi="Arial"/>
          <w:sz w:val="15"/>
          <w:szCs w:val="15"/>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46"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color w:val="auto"/>
        </w:rPr>
        <w:t>We may experience setbacks that could delay or prevent regulatory approval of, or the extent of regulatory protection or our ability to commercialize, our product candidates, including:</w:t>
      </w:r>
    </w:p>
    <w:p>
      <w:pPr>
        <w:spacing w:after="0" w:line="63" w:lineRule="exact"/>
        <w:rPr>
          <w:sz w:val="20"/>
          <w:szCs w:val="20"/>
          <w:color w:val="auto"/>
        </w:rPr>
      </w:pPr>
    </w:p>
    <w:p>
      <w:pPr>
        <w:ind w:left="2140" w:right="160" w:hanging="1062"/>
        <w:spacing w:after="0" w:line="342" w:lineRule="auto"/>
        <w:tabs>
          <w:tab w:leader="none" w:pos="21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7" w:lineRule="exact"/>
        <w:rPr>
          <w:rFonts w:ascii="Arial" w:cs="Arial" w:eastAsia="Arial" w:hAnsi="Arial"/>
          <w:sz w:val="15"/>
          <w:szCs w:val="15"/>
          <w:color w:val="auto"/>
        </w:rPr>
      </w:pPr>
    </w:p>
    <w:p>
      <w:pPr>
        <w:ind w:left="2140" w:right="200" w:hanging="1062"/>
        <w:spacing w:after="0" w:line="274" w:lineRule="auto"/>
        <w:tabs>
          <w:tab w:leader="none" w:pos="2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product-related side effects experienced by subjects in our clinical trials or by individuals using drugs or therapeutics similar to our product candidates;</w:t>
      </w:r>
    </w:p>
    <w:p>
      <w:pPr>
        <w:spacing w:after="0" w:line="63" w:lineRule="exact"/>
        <w:rPr>
          <w:rFonts w:ascii="Arial" w:cs="Arial" w:eastAsia="Arial" w:hAnsi="Arial"/>
          <w:sz w:val="17"/>
          <w:szCs w:val="17"/>
          <w:color w:val="auto"/>
        </w:rPr>
      </w:pPr>
    </w:p>
    <w:p>
      <w:pPr>
        <w:ind w:left="2140" w:right="680" w:hanging="1062"/>
        <w:spacing w:after="0" w:line="306" w:lineRule="auto"/>
        <w:tabs>
          <w:tab w:leader="none" w:pos="21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enrolling subjects in clinical trials, including due to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 drop-out rates of subjects from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inadequate supply or quality of product candidates or other materials necessary for the conduct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manufacturing our product candidates to regulatory requirements in a cost effective manner;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compete with other therapies;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secure or maintain orphan designation in some jurisdictions;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poor efficacy of our product candidates during clinical trials;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5" w:name="page36"/>
    <w:bookmarkEnd w:id="35"/>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10"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3" w:lineRule="exact"/>
        <w:rPr>
          <w:rFonts w:ascii="Arial" w:cs="Arial" w:eastAsia="Arial" w:hAnsi="Arial"/>
          <w:sz w:val="17"/>
          <w:szCs w:val="17"/>
          <w:color w:val="auto"/>
        </w:rPr>
      </w:pPr>
    </w:p>
    <w:p>
      <w:pPr>
        <w:ind w:left="2140" w:right="30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10" w:lineRule="exact"/>
        <w:rPr>
          <w:sz w:val="20"/>
          <w:szCs w:val="20"/>
          <w:color w:val="auto"/>
        </w:rPr>
      </w:pPr>
    </w:p>
    <w:p>
      <w:pPr>
        <w:ind w:right="100" w:firstLine="917"/>
        <w:spacing w:after="0" w:line="306"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40" w:lineRule="exact"/>
        <w:rPr>
          <w:sz w:val="20"/>
          <w:szCs w:val="20"/>
          <w:color w:val="auto"/>
        </w:rPr>
      </w:pPr>
    </w:p>
    <w:p>
      <w:pPr>
        <w:ind w:right="220" w:firstLine="917"/>
        <w:spacing w:after="0" w:line="274" w:lineRule="auto"/>
        <w:rPr>
          <w:sz w:val="20"/>
          <w:szCs w:val="20"/>
          <w:color w:val="auto"/>
        </w:rPr>
      </w:pPr>
      <w:r>
        <w:rPr>
          <w:rFonts w:ascii="Arial" w:cs="Arial" w:eastAsia="Arial" w:hAnsi="Arial"/>
          <w:sz w:val="17"/>
          <w:szCs w:val="17"/>
          <w:b w:val="1"/>
          <w:bCs w:val="1"/>
          <w:i w:val="1"/>
          <w:iCs w:val="1"/>
          <w:color w:val="auto"/>
        </w:rPr>
        <w:t>Our approach to drug discovery and development in the area of fibrotic diseases, with an initial focus on tissue-specific integrin modulation and TGF-β signaling inhibition, is unproven and may not result in marketable products.</w:t>
      </w:r>
    </w:p>
    <w:p>
      <w:pPr>
        <w:spacing w:after="0" w:line="63" w:lineRule="exact"/>
        <w:rPr>
          <w:sz w:val="20"/>
          <w:szCs w:val="20"/>
          <w:color w:val="auto"/>
        </w:rPr>
      </w:pPr>
    </w:p>
    <w:p>
      <w:pPr>
        <w:ind w:right="20" w:firstLine="917"/>
        <w:spacing w:after="0" w:line="293" w:lineRule="auto"/>
        <w:rPr>
          <w:sz w:val="20"/>
          <w:szCs w:val="20"/>
          <w:color w:val="auto"/>
        </w:rPr>
      </w:pPr>
      <w:r>
        <w:rPr>
          <w:rFonts w:ascii="Arial" w:cs="Arial" w:eastAsia="Arial" w:hAnsi="Arial"/>
          <w:sz w:val="15"/>
          <w:szCs w:val="15"/>
          <w:color w:val="auto"/>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54"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70"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Clinical development involves a lengthy, complex, and expensive process, with an uncertain outcome.</w:t>
      </w:r>
    </w:p>
    <w:p>
      <w:pPr>
        <w:spacing w:after="0" w:line="110" w:lineRule="exact"/>
        <w:rPr>
          <w:sz w:val="20"/>
          <w:szCs w:val="20"/>
          <w:color w:val="auto"/>
        </w:rPr>
      </w:pPr>
    </w:p>
    <w:p>
      <w:pPr>
        <w:ind w:right="100" w:firstLine="917"/>
        <w:spacing w:after="0" w:line="289" w:lineRule="auto"/>
        <w:rPr>
          <w:sz w:val="20"/>
          <w:szCs w:val="20"/>
          <w:color w:val="auto"/>
        </w:rPr>
      </w:pPr>
      <w:r>
        <w:rPr>
          <w:rFonts w:ascii="Arial" w:cs="Arial" w:eastAsia="Arial" w:hAnsi="Arial"/>
          <w:sz w:val="15"/>
          <w:szCs w:val="15"/>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36" w:name="page37"/>
    <w:bookmarkEnd w:id="36"/>
    <w:p>
      <w:pPr>
        <w:ind w:right="180"/>
        <w:spacing w:after="0" w:line="274" w:lineRule="auto"/>
        <w:rPr>
          <w:sz w:val="20"/>
          <w:szCs w:val="20"/>
          <w:color w:val="auto"/>
        </w:rPr>
      </w:pPr>
      <w:r>
        <w:rPr>
          <w:rFonts w:ascii="Arial" w:cs="Arial" w:eastAsia="Arial" w:hAnsi="Arial"/>
          <w:sz w:val="17"/>
          <w:szCs w:val="17"/>
          <w:color w:val="auto"/>
        </w:rPr>
        <w:t>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63" w:lineRule="exact"/>
        <w:rPr>
          <w:sz w:val="20"/>
          <w:szCs w:val="20"/>
          <w:color w:val="auto"/>
        </w:rPr>
      </w:pPr>
    </w:p>
    <w:p>
      <w:pPr>
        <w:ind w:left="2140" w:right="12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establish clinical endpoints that applicable regulatory authorities would consider clinically meaningful;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receive the necessary regulatory approvals;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development of competing products in the same disease state;</w:t>
      </w:r>
    </w:p>
    <w:p>
      <w:pPr>
        <w:spacing w:after="0" w:line="110" w:lineRule="exact"/>
        <w:rPr>
          <w:rFonts w:ascii="Arial" w:cs="Arial" w:eastAsia="Arial" w:hAnsi="Arial"/>
          <w:sz w:val="17"/>
          <w:szCs w:val="17"/>
          <w:color w:val="auto"/>
        </w:rPr>
      </w:pPr>
    </w:p>
    <w:p>
      <w:pPr>
        <w:ind w:left="2140" w:right="94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a product candidate uneconomical; and</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one of our product candidates from being commercialized.</w:t>
      </w:r>
    </w:p>
    <w:p>
      <w:pPr>
        <w:spacing w:after="0" w:line="63"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75"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70" w:lineRule="exact"/>
        <w:rPr>
          <w:sz w:val="20"/>
          <w:szCs w:val="20"/>
          <w:color w:val="auto"/>
        </w:rPr>
      </w:pPr>
    </w:p>
    <w:p>
      <w:pPr>
        <w:ind w:right="80" w:firstLine="917"/>
        <w:spacing w:after="0" w:line="298" w:lineRule="auto"/>
        <w:rPr>
          <w:sz w:val="20"/>
          <w:szCs w:val="20"/>
          <w:color w:val="auto"/>
        </w:rPr>
      </w:pPr>
      <w:r>
        <w:rPr>
          <w:rFonts w:ascii="Arial" w:cs="Arial" w:eastAsia="Arial" w:hAnsi="Arial"/>
          <w:sz w:val="15"/>
          <w:szCs w:val="15"/>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50" w:lineRule="exact"/>
        <w:rPr>
          <w:sz w:val="20"/>
          <w:szCs w:val="20"/>
          <w:color w:val="auto"/>
        </w:rPr>
      </w:pPr>
    </w:p>
    <w:p>
      <w:pPr>
        <w:ind w:right="40" w:firstLine="917"/>
        <w:spacing w:after="0" w:line="279" w:lineRule="auto"/>
        <w:rPr>
          <w:sz w:val="20"/>
          <w:szCs w:val="20"/>
          <w:color w:val="auto"/>
        </w:rPr>
      </w:pPr>
      <w:r>
        <w:rPr>
          <w:rFonts w:ascii="Arial" w:cs="Arial" w:eastAsia="Arial" w:hAnsi="Arial"/>
          <w:sz w:val="16"/>
          <w:szCs w:val="16"/>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7" w:name="page38"/>
    <w:bookmarkEnd w:id="37"/>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63" w:lineRule="exact"/>
        <w:rPr>
          <w:sz w:val="20"/>
          <w:szCs w:val="20"/>
          <w:color w:val="auto"/>
        </w:rPr>
      </w:pPr>
    </w:p>
    <w:p>
      <w:pPr>
        <w:ind w:right="120" w:firstLine="917"/>
        <w:spacing w:after="0" w:line="342" w:lineRule="auto"/>
        <w:rPr>
          <w:sz w:val="20"/>
          <w:szCs w:val="20"/>
          <w:color w:val="auto"/>
        </w:rPr>
      </w:pPr>
      <w:r>
        <w:rPr>
          <w:rFonts w:ascii="Arial" w:cs="Arial" w:eastAsia="Arial" w:hAnsi="Arial"/>
          <w:sz w:val="15"/>
          <w:szCs w:val="15"/>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8" w:lineRule="exact"/>
        <w:rPr>
          <w:sz w:val="20"/>
          <w:szCs w:val="20"/>
          <w:color w:val="auto"/>
        </w:rPr>
      </w:pPr>
    </w:p>
    <w:p>
      <w:pPr>
        <w:ind w:left="2140" w:right="38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3" w:lineRule="exact"/>
        <w:rPr>
          <w:rFonts w:ascii="Arial" w:cs="Arial" w:eastAsia="Arial" w:hAnsi="Arial"/>
          <w:sz w:val="17"/>
          <w:szCs w:val="17"/>
          <w:color w:val="auto"/>
        </w:rPr>
      </w:pPr>
    </w:p>
    <w:p>
      <w:pPr>
        <w:ind w:left="2140" w:hanging="1062"/>
        <w:spacing w:after="0" w:line="262"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72" w:lineRule="exact"/>
        <w:rPr>
          <w:rFonts w:ascii="Arial" w:cs="Arial" w:eastAsia="Arial" w:hAnsi="Arial"/>
          <w:sz w:val="17"/>
          <w:szCs w:val="17"/>
          <w:color w:val="auto"/>
        </w:rPr>
      </w:pPr>
    </w:p>
    <w:p>
      <w:pPr>
        <w:ind w:left="2140" w:right="300" w:hanging="1062"/>
        <w:spacing w:after="0" w:line="342" w:lineRule="auto"/>
        <w:tabs>
          <w:tab w:leader="none" w:pos="21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17" w:lineRule="exact"/>
        <w:rPr>
          <w:rFonts w:ascii="Arial" w:cs="Arial" w:eastAsia="Arial" w:hAnsi="Arial"/>
          <w:sz w:val="15"/>
          <w:szCs w:val="15"/>
          <w:color w:val="auto"/>
        </w:rPr>
      </w:pPr>
    </w:p>
    <w:p>
      <w:pPr>
        <w:ind w:left="2140" w:right="2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63" w:lineRule="exact"/>
        <w:rPr>
          <w:rFonts w:ascii="Arial" w:cs="Arial" w:eastAsia="Arial" w:hAnsi="Arial"/>
          <w:sz w:val="17"/>
          <w:szCs w:val="17"/>
          <w:color w:val="auto"/>
        </w:rPr>
      </w:pPr>
    </w:p>
    <w:p>
      <w:pPr>
        <w:ind w:left="2140" w:right="220" w:hanging="1062"/>
        <w:spacing w:after="0" w:line="262"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2" w:lineRule="exact"/>
        <w:rPr>
          <w:rFonts w:ascii="Arial" w:cs="Arial" w:eastAsia="Arial" w:hAnsi="Arial"/>
          <w:sz w:val="17"/>
          <w:szCs w:val="17"/>
          <w:color w:val="auto"/>
        </w:rPr>
      </w:pPr>
    </w:p>
    <w:p>
      <w:pPr>
        <w:ind w:left="2140" w:hanging="1062"/>
        <w:spacing w:after="0" w:line="313" w:lineRule="auto"/>
        <w:tabs>
          <w:tab w:leader="none" w:pos="21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38" w:lineRule="exact"/>
        <w:rPr>
          <w:rFonts w:ascii="Arial" w:cs="Arial" w:eastAsia="Arial" w:hAnsi="Arial"/>
          <w:sz w:val="15"/>
          <w:szCs w:val="15"/>
          <w:color w:val="auto"/>
        </w:rPr>
      </w:pPr>
    </w:p>
    <w:p>
      <w:pPr>
        <w:ind w:left="2140" w:right="16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additional delays and interruptions to our clinical trials could extend the duration of the trials and increase the overall costs to finish the trials as our fixed costs are not substantially reduced during delays;</w:t>
      </w:r>
    </w:p>
    <w:p>
      <w:pPr>
        <w:spacing w:after="0" w:line="63" w:lineRule="exact"/>
        <w:rPr>
          <w:rFonts w:ascii="Arial" w:cs="Arial" w:eastAsia="Arial" w:hAnsi="Arial"/>
          <w:sz w:val="17"/>
          <w:szCs w:val="17"/>
          <w:color w:val="auto"/>
        </w:rPr>
      </w:pPr>
    </w:p>
    <w:p>
      <w:pPr>
        <w:ind w:left="2140" w:right="280" w:hanging="1062"/>
        <w:spacing w:after="0" w:line="286" w:lineRule="auto"/>
        <w:tabs>
          <w:tab w:leader="none" w:pos="21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55" w:lineRule="exact"/>
        <w:rPr>
          <w:rFonts w:ascii="Arial" w:cs="Arial" w:eastAsia="Arial" w:hAnsi="Arial"/>
          <w:sz w:val="16"/>
          <w:szCs w:val="16"/>
          <w:color w:val="auto"/>
        </w:rPr>
      </w:pPr>
    </w:p>
    <w:p>
      <w:pPr>
        <w:ind w:left="2140" w:right="2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not have the financial resources available to begin and complete the planned trials, or the cost of clinical trials of any product candidates may be greater than we anticipate;</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to initiate or complete a given clinical trial; and</w:t>
      </w:r>
    </w:p>
    <w:p>
      <w:pPr>
        <w:spacing w:after="0" w:line="63" w:lineRule="exact"/>
        <w:rPr>
          <w:rFonts w:ascii="Arial" w:cs="Arial" w:eastAsia="Arial" w:hAnsi="Arial"/>
          <w:sz w:val="17"/>
          <w:szCs w:val="17"/>
          <w:color w:val="auto"/>
        </w:rPr>
      </w:pPr>
    </w:p>
    <w:p>
      <w:pPr>
        <w:ind w:left="2140" w:right="28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require us to submit additional data such as long-term toxicology studies, or impose other requirements before permitting us to initiate a clinical trial.</w:t>
      </w:r>
    </w:p>
    <w:p>
      <w:pPr>
        <w:spacing w:after="0" w:line="63" w:lineRule="exact"/>
        <w:rPr>
          <w:sz w:val="20"/>
          <w:szCs w:val="20"/>
          <w:color w:val="auto"/>
        </w:rPr>
      </w:pPr>
    </w:p>
    <w:p>
      <w:pPr>
        <w:ind w:right="40" w:firstLine="917"/>
        <w:spacing w:after="0" w:line="254"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80" w:lineRule="exact"/>
        <w:rPr>
          <w:sz w:val="20"/>
          <w:szCs w:val="20"/>
          <w:color w:val="auto"/>
        </w:rPr>
      </w:pPr>
    </w:p>
    <w:p>
      <w:pPr>
        <w:ind w:right="500" w:firstLine="917"/>
        <w:spacing w:after="0" w:line="384" w:lineRule="auto"/>
        <w:rPr>
          <w:sz w:val="20"/>
          <w:szCs w:val="20"/>
          <w:color w:val="auto"/>
        </w:rPr>
      </w:pPr>
      <w:r>
        <w:rPr>
          <w:rFonts w:ascii="Arial" w:cs="Arial" w:eastAsia="Arial" w:hAnsi="Arial"/>
          <w:sz w:val="14"/>
          <w:szCs w:val="14"/>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8" w:name="page39"/>
    <w:bookmarkEnd w:id="38"/>
    <w:p>
      <w:pPr>
        <w:ind w:firstLine="917"/>
        <w:spacing w:after="0" w:line="271" w:lineRule="auto"/>
        <w:rPr>
          <w:sz w:val="20"/>
          <w:szCs w:val="20"/>
          <w:color w:val="auto"/>
        </w:rPr>
      </w:pPr>
      <w:r>
        <w:rPr>
          <w:rFonts w:ascii="Arial" w:cs="Arial" w:eastAsia="Arial" w:hAnsi="Arial"/>
          <w:sz w:val="16"/>
          <w:szCs w:val="16"/>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In addition, we recently completed three cohorts of a Phase 2a clinical trial of PLN-74809 in patients with IPF, in which the product candidate was observed to be well-tolerated over a 12-week treatment period in the 67 patients treated with PLN-74809.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w:t>
      </w:r>
    </w:p>
    <w:p>
      <w:pPr>
        <w:spacing w:after="0" w:line="70" w:lineRule="exact"/>
        <w:rPr>
          <w:sz w:val="20"/>
          <w:szCs w:val="20"/>
          <w:color w:val="auto"/>
        </w:rPr>
      </w:pPr>
    </w:p>
    <w:p>
      <w:pPr>
        <w:ind w:right="160" w:firstLine="917"/>
        <w:spacing w:after="0" w:line="313" w:lineRule="auto"/>
        <w:rPr>
          <w:sz w:val="20"/>
          <w:szCs w:val="20"/>
          <w:color w:val="auto"/>
        </w:rPr>
      </w:pPr>
      <w:r>
        <w:rPr>
          <w:rFonts w:ascii="Arial" w:cs="Arial" w:eastAsia="Arial" w:hAnsi="Arial"/>
          <w:sz w:val="15"/>
          <w:szCs w:val="15"/>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affected.</w:t>
      </w:r>
    </w:p>
    <w:p>
      <w:pPr>
        <w:spacing w:after="0" w:line="99" w:lineRule="exact"/>
        <w:rPr>
          <w:sz w:val="20"/>
          <w:szCs w:val="20"/>
          <w:color w:val="auto"/>
        </w:rPr>
      </w:pPr>
    </w:p>
    <w:p>
      <w:pPr>
        <w:jc w:val="both"/>
        <w:ind w:right="60" w:firstLine="917"/>
        <w:spacing w:after="0" w:line="262" w:lineRule="auto"/>
        <w:rPr>
          <w:sz w:val="20"/>
          <w:szCs w:val="20"/>
          <w:color w:val="auto"/>
        </w:rPr>
      </w:pPr>
      <w:r>
        <w:rPr>
          <w:rFonts w:ascii="Arial" w:cs="Arial" w:eastAsia="Arial" w:hAnsi="Arial"/>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73" w:lineRule="exact"/>
        <w:rPr>
          <w:sz w:val="20"/>
          <w:szCs w:val="20"/>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patient eligibility and exclusion criteria defined in the protocol;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size of the patient population required for analysis of the trial’s primary endpoints and the process for identifying patients;</w:t>
      </w:r>
    </w:p>
    <w:p>
      <w:pPr>
        <w:spacing w:after="0" w:line="121" w:lineRule="exact"/>
        <w:rPr>
          <w:rFonts w:ascii="Arial" w:cs="Arial" w:eastAsia="Arial" w:hAnsi="Arial"/>
          <w:sz w:val="16"/>
          <w:szCs w:val="16"/>
          <w:color w:val="auto"/>
        </w:rPr>
      </w:pPr>
    </w:p>
    <w:p>
      <w:pPr>
        <w:ind w:left="2140" w:right="60" w:hanging="1062"/>
        <w:spacing w:after="0" w:line="274" w:lineRule="auto"/>
        <w:tabs>
          <w:tab w:leader="none" w:pos="21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or availability (including legality under any future or reinstated COVID-19 shelter-in-place regulations) of patients to participate in our trials (including due to fears of contracting COVID-19);</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0" w:lineRule="exact"/>
        <w:rPr>
          <w:rFonts w:ascii="Arial" w:cs="Arial" w:eastAsia="Arial" w:hAnsi="Arial"/>
          <w:sz w:val="17"/>
          <w:szCs w:val="17"/>
          <w:color w:val="auto"/>
        </w:rPr>
      </w:pPr>
    </w:p>
    <w:p>
      <w:pPr>
        <w:ind w:left="2140" w:right="20" w:hanging="1062"/>
        <w:spacing w:after="0" w:line="306" w:lineRule="auto"/>
        <w:tabs>
          <w:tab w:leader="none" w:pos="21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availability of competing commercially available therapies and other competing product candidates’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obtain and maintain patient informed consents;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0" w:lineRule="exact"/>
        <w:rPr>
          <w:sz w:val="20"/>
          <w:szCs w:val="20"/>
          <w:color w:val="auto"/>
        </w:rPr>
      </w:pPr>
    </w:p>
    <w:p>
      <w:pPr>
        <w:ind w:right="20" w:firstLine="917"/>
        <w:spacing w:after="0" w:line="292" w:lineRule="auto"/>
        <w:rPr>
          <w:sz w:val="20"/>
          <w:szCs w:val="20"/>
          <w:color w:val="auto"/>
        </w:rPr>
      </w:pPr>
      <w:r>
        <w:rPr>
          <w:rFonts w:ascii="Arial" w:cs="Arial" w:eastAsia="Arial" w:hAnsi="Arial"/>
          <w:sz w:val="15"/>
          <w:szCs w:val="15"/>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Moreover, our Phase 2a PET imaging IPF trial is being conducted at a single site, which could limit the availability of IPF patients at the site and may slow enrollment in that specific trial.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53" w:lineRule="exact"/>
        <w:rPr>
          <w:sz w:val="20"/>
          <w:szCs w:val="20"/>
          <w:color w:val="auto"/>
        </w:rPr>
      </w:pPr>
    </w:p>
    <w:p>
      <w:pPr>
        <w:ind w:right="160" w:firstLine="917"/>
        <w:spacing w:after="0" w:line="258" w:lineRule="auto"/>
        <w:rPr>
          <w:sz w:val="20"/>
          <w:szCs w:val="20"/>
          <w:color w:val="auto"/>
        </w:rPr>
      </w:pPr>
      <w:r>
        <w:rPr>
          <w:rFonts w:ascii="Arial" w:cs="Arial" w:eastAsia="Arial" w:hAnsi="Arial"/>
          <w:sz w:val="17"/>
          <w:szCs w:val="17"/>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and in some cases completed enrollment, we believe we have experienced and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9" w:name="page40"/>
    <w:bookmarkEnd w:id="39"/>
    <w:p>
      <w:pPr>
        <w:ind w:right="40"/>
        <w:spacing w:after="0" w:line="255" w:lineRule="auto"/>
        <w:rPr>
          <w:sz w:val="20"/>
          <w:szCs w:val="20"/>
          <w:color w:val="auto"/>
        </w:rPr>
      </w:pPr>
      <w:r>
        <w:rPr>
          <w:rFonts w:ascii="Arial" w:cs="Arial" w:eastAsia="Arial" w:hAnsi="Arial"/>
          <w:sz w:val="17"/>
          <w:szCs w:val="17"/>
          <w:color w:val="auto"/>
        </w:rPr>
        <w:t>may continue to experience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Some factors from the COVID-19 pandemic that we believe may adversely affect enrollment in our trials include:</w:t>
      </w:r>
    </w:p>
    <w:p>
      <w:pPr>
        <w:spacing w:after="0" w:line="110" w:lineRule="exact"/>
        <w:rPr>
          <w:sz w:val="20"/>
          <w:szCs w:val="20"/>
          <w:color w:val="auto"/>
        </w:rPr>
      </w:pPr>
    </w:p>
    <w:p>
      <w:pPr>
        <w:ind w:left="2140" w:right="280" w:hanging="1062"/>
        <w:spacing w:after="0" w:line="262"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72" w:lineRule="exact"/>
        <w:rPr>
          <w:rFonts w:ascii="Arial" w:cs="Arial" w:eastAsia="Arial" w:hAnsi="Arial"/>
          <w:sz w:val="17"/>
          <w:szCs w:val="17"/>
          <w:color w:val="auto"/>
        </w:rPr>
      </w:pPr>
    </w:p>
    <w:p>
      <w:pPr>
        <w:ind w:left="2140" w:right="140" w:hanging="1062"/>
        <w:spacing w:after="0" w:line="262"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72" w:lineRule="exact"/>
        <w:rPr>
          <w:rFonts w:ascii="Arial" w:cs="Arial" w:eastAsia="Arial" w:hAnsi="Arial"/>
          <w:sz w:val="17"/>
          <w:szCs w:val="17"/>
          <w:color w:val="auto"/>
        </w:rPr>
      </w:pPr>
    </w:p>
    <w:p>
      <w:pPr>
        <w:ind w:left="2140" w:right="30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inability of patients to come to hospitals and universities to participate in our trial, which may force us to conduct our trials in patients’ homes, rendering the trials more difficult and costly to conduct;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limitations on travel that interrupt key trial activities, such as clinical trial site initiations and monitoring;</w:t>
      </w:r>
    </w:p>
    <w:p>
      <w:pPr>
        <w:spacing w:after="0" w:line="110"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interruption in global shipping affecting the transport of clinical trial materials, such as investigational drug product and comparator drugs used in our trials; and</w:t>
      </w:r>
    </w:p>
    <w:p>
      <w:pPr>
        <w:spacing w:after="0" w:line="63"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employee furlough days that delay necessary interactions with local regulators, ethics committees and other important agencies and contractors.</w:t>
      </w:r>
    </w:p>
    <w:p>
      <w:pPr>
        <w:spacing w:after="0" w:line="63" w:lineRule="exact"/>
        <w:rPr>
          <w:sz w:val="20"/>
          <w:szCs w:val="20"/>
          <w:color w:val="auto"/>
        </w:rPr>
      </w:pPr>
    </w:p>
    <w:p>
      <w:pPr>
        <w:ind w:right="20" w:firstLine="917"/>
        <w:spacing w:after="0" w:line="274" w:lineRule="auto"/>
        <w:rPr>
          <w:sz w:val="20"/>
          <w:szCs w:val="20"/>
          <w:color w:val="auto"/>
        </w:rPr>
      </w:pPr>
      <w:r>
        <w:rPr>
          <w:rFonts w:ascii="Arial" w:cs="Arial" w:eastAsia="Arial" w:hAnsi="Arial"/>
          <w:sz w:val="17"/>
          <w:szCs w:val="17"/>
          <w:color w:val="auto"/>
        </w:rPr>
        <w:t>The global outbreak of the COVID-19 pandemic continues to evolve and the conduct of our trials may continue to be adversely affected, despite efforts to mitigate this impact.</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design or execution of our ongoing and future clinical trials may not support marketing approval.</w:t>
      </w:r>
    </w:p>
    <w:p>
      <w:pPr>
        <w:spacing w:after="0" w:line="110"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The design or execution of a clinical trial can determine whether its results will support marketing approval, and flaws in the design or execution of a clinical trial may not become apparent until the clinical trial is well advanced. We recently completed enrollment of two Phase 2a trials of PLN-74809 in IPF. In the first of these trials, the study is designed to enroll IPF patients and utilize a positron emission tomography, or PET, ligand to measure αvß6 target engagement by PLN-74809 in the lungs post-treatment. The second trial is a six-month and up to 48-week double-blind placebo-controlled trial to evaluate safety, tolerability and PK of a 320mg dose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our Phase 1a trial and may not be able to do so.</w:t>
      </w:r>
    </w:p>
    <w:p>
      <w:pPr>
        <w:spacing w:after="0" w:line="68"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76" w:lineRule="exact"/>
        <w:rPr>
          <w:sz w:val="20"/>
          <w:szCs w:val="20"/>
          <w:color w:val="auto"/>
        </w:rPr>
      </w:pPr>
    </w:p>
    <w:p>
      <w:pPr>
        <w:ind w:right="20" w:firstLine="917"/>
        <w:spacing w:after="0" w:line="271"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0" w:name="page41"/>
    <w:bookmarkEnd w:id="40"/>
    <w:p>
      <w:pPr>
        <w:ind w:right="620" w:firstLine="917"/>
        <w:spacing w:after="0" w:line="274"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63" w:lineRule="exact"/>
        <w:rPr>
          <w:sz w:val="20"/>
          <w:szCs w:val="20"/>
          <w:color w:val="auto"/>
        </w:rPr>
      </w:pPr>
    </w:p>
    <w:p>
      <w:pPr>
        <w:jc w:val="both"/>
        <w:ind w:right="20" w:firstLine="917"/>
        <w:spacing w:after="0" w:line="313" w:lineRule="auto"/>
        <w:rPr>
          <w:sz w:val="20"/>
          <w:szCs w:val="20"/>
          <w:color w:val="auto"/>
        </w:rPr>
      </w:pPr>
      <w:r>
        <w:rPr>
          <w:rFonts w:ascii="Arial" w:cs="Arial" w:eastAsia="Arial" w:hAnsi="Arial"/>
          <w:sz w:val="15"/>
          <w:szCs w:val="15"/>
          <w:b w:val="1"/>
          <w:bCs w:val="1"/>
          <w:i w:val="1"/>
          <w:iCs w:val="1"/>
          <w:color w:val="auto"/>
        </w:rPr>
        <w:t>Although we have received U.S. orphan drug designation for PLN-74809 for IPF and PSC indications and EEA orphan drug designation for PLN-74809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ind w:right="40" w:firstLine="917"/>
        <w:spacing w:after="0" w:line="289" w:lineRule="auto"/>
        <w:rPr>
          <w:sz w:val="20"/>
          <w:szCs w:val="20"/>
          <w:color w:val="auto"/>
        </w:rPr>
      </w:pPr>
      <w:r>
        <w:rPr>
          <w:rFonts w:ascii="Arial" w:cs="Arial" w:eastAsia="Arial" w:hAnsi="Arial"/>
          <w:sz w:val="15"/>
          <w:szCs w:val="15"/>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or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58" w:lineRule="exact"/>
        <w:rPr>
          <w:sz w:val="20"/>
          <w:szCs w:val="20"/>
          <w:color w:val="auto"/>
        </w:rPr>
      </w:pPr>
    </w:p>
    <w:p>
      <w:pPr>
        <w:ind w:right="80" w:firstLine="917"/>
        <w:spacing w:after="0" w:line="258" w:lineRule="auto"/>
        <w:rPr>
          <w:sz w:val="20"/>
          <w:szCs w:val="20"/>
          <w:color w:val="auto"/>
        </w:rPr>
      </w:pPr>
      <w:r>
        <w:rPr>
          <w:rFonts w:ascii="Arial" w:cs="Arial" w:eastAsia="Arial" w:hAnsi="Arial"/>
          <w:sz w:val="17"/>
          <w:szCs w:val="17"/>
          <w:color w:val="auto"/>
        </w:rPr>
        <w:t>Although we have received U.S. orphan drug designation for PLN-74809 for IPF and PSC and EEA orphan drug designation for PLN-74809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76" w:lineRule="exact"/>
        <w:rPr>
          <w:sz w:val="20"/>
          <w:szCs w:val="20"/>
          <w:color w:val="auto"/>
        </w:rPr>
      </w:pPr>
    </w:p>
    <w:p>
      <w:pPr>
        <w:ind w:right="20" w:firstLine="917"/>
        <w:spacing w:after="0" w:line="293" w:lineRule="auto"/>
        <w:rPr>
          <w:sz w:val="20"/>
          <w:szCs w:val="20"/>
          <w:color w:val="auto"/>
        </w:rPr>
      </w:pPr>
      <w:r>
        <w:rPr>
          <w:rFonts w:ascii="Arial" w:cs="Arial" w:eastAsia="Arial" w:hAnsi="Arial"/>
          <w:sz w:val="15"/>
          <w:szCs w:val="15"/>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 year period of market exclusivity in the EEA can be extended by a further two years if the product qualifies for a pediatric extension, but can be reduced to a period of six years if the orphan designation criteria are no-longer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54" w:lineRule="exact"/>
        <w:rPr>
          <w:sz w:val="20"/>
          <w:szCs w:val="20"/>
          <w:color w:val="auto"/>
        </w:rPr>
      </w:pPr>
    </w:p>
    <w:p>
      <w:pPr>
        <w:ind w:right="120" w:firstLine="917"/>
        <w:spacing w:after="0" w:line="258"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or EEA. Even after an orphan drug is approved, the FDA or EMA may subsequently approve another drug for the same condition if the FDA or EMA, as applicable, concludes that the latter drug is not a similar medicinal product or is clinically superior in that it is shown to be safer, more effective or makes a major contribution to patient care.</w:t>
      </w:r>
    </w:p>
    <w:p>
      <w:pPr>
        <w:spacing w:after="0" w:line="76" w:lineRule="exact"/>
        <w:rPr>
          <w:sz w:val="20"/>
          <w:szCs w:val="20"/>
          <w:color w:val="auto"/>
        </w:rPr>
      </w:pPr>
    </w:p>
    <w:p>
      <w:pPr>
        <w:ind w:right="480" w:firstLine="917"/>
        <w:spacing w:after="0" w:line="342" w:lineRule="auto"/>
        <w:rPr>
          <w:sz w:val="20"/>
          <w:szCs w:val="20"/>
          <w:color w:val="auto"/>
        </w:rPr>
      </w:pPr>
      <w:r>
        <w:rPr>
          <w:rFonts w:ascii="Arial" w:cs="Arial" w:eastAsia="Arial" w:hAnsi="Arial"/>
          <w:sz w:val="15"/>
          <w:szCs w:val="15"/>
          <w:b w:val="1"/>
          <w:bCs w:val="1"/>
          <w:i w:val="1"/>
          <w:iCs w:val="1"/>
          <w:color w:val="auto"/>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spacing w:after="0" w:line="18"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We may seek Fast Track designation for one or more of our future product candidates. In April 2022, PLN-74809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1" w:name="page42"/>
    <w:bookmarkEnd w:id="41"/>
    <w:p>
      <w:pPr>
        <w:ind w:right="240"/>
        <w:spacing w:after="0" w:line="274" w:lineRule="auto"/>
        <w:rPr>
          <w:sz w:val="20"/>
          <w:szCs w:val="20"/>
          <w:color w:val="auto"/>
        </w:rPr>
      </w:pPr>
      <w:r>
        <w:rPr>
          <w:rFonts w:ascii="Arial" w:cs="Arial" w:eastAsia="Arial" w:hAnsi="Arial"/>
          <w:sz w:val="17"/>
          <w:szCs w:val="17"/>
          <w:color w:val="auto"/>
        </w:rPr>
        <w:t>that the designation is no longer supported by data from our clinical development program. In addition, the FDA may withdraw any Fast Track designation at any time.</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0" w:lineRule="exact"/>
        <w:rPr>
          <w:sz w:val="20"/>
          <w:szCs w:val="20"/>
          <w:color w:val="auto"/>
        </w:rPr>
      </w:pPr>
    </w:p>
    <w:p>
      <w:pPr>
        <w:ind w:firstLine="917"/>
        <w:spacing w:after="0" w:line="295" w:lineRule="auto"/>
        <w:rPr>
          <w:sz w:val="20"/>
          <w:szCs w:val="20"/>
          <w:color w:val="auto"/>
        </w:rPr>
      </w:pPr>
      <w:r>
        <w:rPr>
          <w:rFonts w:ascii="Arial" w:cs="Arial" w:eastAsia="Arial" w:hAnsi="Arial"/>
          <w:sz w:val="15"/>
          <w:szCs w:val="15"/>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52"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0" w:lineRule="exact"/>
        <w:rPr>
          <w:sz w:val="20"/>
          <w:szCs w:val="20"/>
          <w:color w:val="auto"/>
        </w:rPr>
      </w:pPr>
    </w:p>
    <w:p>
      <w:pPr>
        <w:ind w:right="720" w:firstLine="917"/>
        <w:spacing w:after="0" w:line="274"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for a number of reasons, including:</w:t>
      </w:r>
    </w:p>
    <w:p>
      <w:pPr>
        <w:spacing w:after="0" w:line="63" w:lineRule="exact"/>
        <w:rPr>
          <w:sz w:val="20"/>
          <w:szCs w:val="20"/>
          <w:color w:val="auto"/>
        </w:rPr>
      </w:pPr>
    </w:p>
    <w:p>
      <w:pPr>
        <w:ind w:left="2140" w:hanging="1062"/>
        <w:spacing w:after="0"/>
        <w:tabs>
          <w:tab w:leader="none" w:pos="21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inability to design such product candidates with the pharmacological properties that we desire or attractive pharmacokinetics; or</w:t>
      </w:r>
    </w:p>
    <w:p>
      <w:pPr>
        <w:spacing w:after="0" w:line="133" w:lineRule="exact"/>
        <w:rPr>
          <w:rFonts w:ascii="Arial" w:cs="Arial" w:eastAsia="Arial" w:hAnsi="Arial"/>
          <w:sz w:val="15"/>
          <w:szCs w:val="15"/>
          <w:color w:val="auto"/>
        </w:rPr>
      </w:pPr>
    </w:p>
    <w:p>
      <w:pPr>
        <w:ind w:left="2140" w:right="260" w:hanging="1062"/>
        <w:spacing w:after="0" w:line="274" w:lineRule="auto"/>
        <w:tabs>
          <w:tab w:leader="none" w:pos="21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63" w:lineRule="exact"/>
        <w:rPr>
          <w:sz w:val="20"/>
          <w:szCs w:val="20"/>
          <w:color w:val="auto"/>
        </w:rPr>
      </w:pPr>
    </w:p>
    <w:p>
      <w:pPr>
        <w:ind w:right="40" w:firstLine="917"/>
        <w:spacing w:after="0" w:line="262"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3" w:lineRule="exact"/>
        <w:rPr>
          <w:sz w:val="20"/>
          <w:szCs w:val="20"/>
          <w:color w:val="auto"/>
        </w:rPr>
      </w:pPr>
    </w:p>
    <w:p>
      <w:pPr>
        <w:ind w:right="660" w:firstLine="917"/>
        <w:spacing w:after="0" w:line="274"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63" w:lineRule="exact"/>
        <w:rPr>
          <w:sz w:val="20"/>
          <w:szCs w:val="20"/>
          <w:color w:val="auto"/>
        </w:rPr>
      </w:pPr>
    </w:p>
    <w:p>
      <w:pPr>
        <w:ind w:right="100" w:firstLine="917"/>
        <w:spacing w:after="0" w:line="295" w:lineRule="auto"/>
        <w:rPr>
          <w:sz w:val="20"/>
          <w:szCs w:val="20"/>
          <w:color w:val="auto"/>
        </w:rPr>
      </w:pPr>
      <w:r>
        <w:rPr>
          <w:rFonts w:ascii="Arial" w:cs="Arial" w:eastAsia="Arial" w:hAnsi="Arial"/>
          <w:sz w:val="15"/>
          <w:szCs w:val="15"/>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52" w:lineRule="exact"/>
        <w:rPr>
          <w:sz w:val="20"/>
          <w:szCs w:val="20"/>
          <w:color w:val="auto"/>
        </w:rPr>
      </w:pPr>
    </w:p>
    <w:p>
      <w:pPr>
        <w:ind w:right="100" w:firstLine="917"/>
        <w:spacing w:after="0" w:line="286" w:lineRule="auto"/>
        <w:rPr>
          <w:sz w:val="20"/>
          <w:szCs w:val="20"/>
          <w:color w:val="auto"/>
        </w:rPr>
      </w:pPr>
      <w:r>
        <w:rPr>
          <w:rFonts w:ascii="Arial" w:cs="Arial" w:eastAsia="Arial" w:hAnsi="Arial"/>
          <w:sz w:val="16"/>
          <w:szCs w:val="16"/>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55" w:lineRule="exact"/>
        <w:rPr>
          <w:sz w:val="20"/>
          <w:szCs w:val="20"/>
          <w:color w:val="auto"/>
        </w:rPr>
      </w:pPr>
    </w:p>
    <w:p>
      <w:pPr>
        <w:ind w:right="980" w:firstLine="917"/>
        <w:spacing w:after="0" w:line="274"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2" w:name="page43"/>
    <w:bookmarkEnd w:id="42"/>
    <w:p>
      <w:pPr>
        <w:ind w:right="60" w:firstLine="917"/>
        <w:spacing w:after="0" w:line="254"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inability to bring a product candidate to the market;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withdrawal of clinical trial participants and inability to continue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fines, injunctions or criminal penalties;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diversion of management’s time and our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substantial monetary awards to trial participants;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if approved;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decline in our share price.</w:t>
      </w:r>
    </w:p>
    <w:p>
      <w:pPr>
        <w:spacing w:after="0" w:line="110"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w:t>
      </w:r>
    </w:p>
    <w:p>
      <w:pPr>
        <w:spacing w:after="0" w:line="99" w:lineRule="exact"/>
        <w:rPr>
          <w:sz w:val="20"/>
          <w:szCs w:val="20"/>
          <w:color w:val="auto"/>
        </w:rPr>
      </w:pPr>
    </w:p>
    <w:p>
      <w:pPr>
        <w:ind w:right="100" w:firstLine="917"/>
        <w:spacing w:after="0" w:line="303" w:lineRule="auto"/>
        <w:rPr>
          <w:sz w:val="20"/>
          <w:szCs w:val="20"/>
          <w:color w:val="auto"/>
        </w:rPr>
      </w:pPr>
      <w:r>
        <w:rPr>
          <w:rFonts w:ascii="Arial" w:cs="Arial" w:eastAsia="Arial" w:hAnsi="Arial"/>
          <w:sz w:val="15"/>
          <w:szCs w:val="15"/>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46" w:lineRule="exact"/>
        <w:rPr>
          <w:sz w:val="20"/>
          <w:szCs w:val="20"/>
          <w:color w:val="auto"/>
        </w:rPr>
      </w:pPr>
    </w:p>
    <w:p>
      <w:pPr>
        <w:ind w:right="260" w:firstLine="917"/>
        <w:spacing w:after="0" w:line="310" w:lineRule="auto"/>
        <w:rPr>
          <w:sz w:val="20"/>
          <w:szCs w:val="20"/>
          <w:color w:val="auto"/>
        </w:rPr>
      </w:pPr>
      <w:r>
        <w:rPr>
          <w:rFonts w:ascii="Arial" w:cs="Arial" w:eastAsia="Arial" w:hAnsi="Arial"/>
          <w:sz w:val="15"/>
          <w:szCs w:val="15"/>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w:t>
      </w:r>
    </w:p>
    <w:p>
      <w:pPr>
        <w:spacing w:after="0" w:line="306" w:lineRule="auto"/>
        <w:rPr>
          <w:sz w:val="20"/>
          <w:szCs w:val="20"/>
          <w:color w:val="auto"/>
        </w:rPr>
      </w:pPr>
      <w:r>
        <w:rPr>
          <w:rFonts w:ascii="Arial" w:cs="Arial" w:eastAsia="Arial" w:hAnsi="Arial"/>
          <w:sz w:val="16"/>
          <w:szCs w:val="16"/>
          <w:color w:val="auto"/>
        </w:rPr>
        <w:t>include companies with significant financial resources such as AbbVie Inc., AstraZeneca plc, Bristol Myers Squibb Co., Corbus Pharmaceutical, DiCE Therapeutics, Inc., FibroGen, Inc., Gilead Sciences, Inc., Galapagos NV, Morphic Therapeutics, Inc., Novartis AG, and Takeda Pharmaceutical Company.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3" w:name="page44"/>
    <w:bookmarkEnd w:id="43"/>
    <w:p>
      <w:pPr>
        <w:ind w:right="60" w:firstLine="917"/>
        <w:spacing w:after="0" w:line="262"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73"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Marketing, Reimbursement, Healthcare Regulations and Ongoing Regulatory Compliance</w:t>
      </w:r>
    </w:p>
    <w:p>
      <w:pPr>
        <w:spacing w:after="0" w:line="114" w:lineRule="exact"/>
        <w:rPr>
          <w:sz w:val="20"/>
          <w:szCs w:val="20"/>
          <w:color w:val="auto"/>
        </w:rPr>
      </w:pPr>
    </w:p>
    <w:p>
      <w:pPr>
        <w:ind w:right="60" w:firstLine="917"/>
        <w:spacing w:after="0" w:line="274"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Even if PLN-74809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34" w:lineRule="exact"/>
        <w:rPr>
          <w:sz w:val="20"/>
          <w:szCs w:val="20"/>
          <w:color w:val="auto"/>
        </w:rPr>
      </w:pPr>
    </w:p>
    <w:p>
      <w:pPr>
        <w:ind w:left="2140" w:hanging="1062"/>
        <w:spacing w:after="0"/>
        <w:tabs>
          <w:tab w:leader="none" w:pos="2140" w:val="left"/>
        </w:tabs>
        <w:numPr>
          <w:ilvl w:val="0"/>
          <w:numId w:val="32"/>
        </w:numPr>
        <w:rPr>
          <w:rFonts w:ascii="Arial" w:cs="Arial" w:eastAsia="Arial" w:hAnsi="Arial"/>
          <w:sz w:val="20"/>
          <w:szCs w:val="20"/>
          <w:color w:val="auto"/>
        </w:rPr>
      </w:pPr>
      <w:r>
        <w:rPr>
          <w:rFonts w:ascii="Arial" w:cs="Arial" w:eastAsia="Arial" w:hAnsi="Arial"/>
          <w:sz w:val="17"/>
          <w:szCs w:val="17"/>
          <w:color w:val="auto"/>
        </w:rPr>
        <w:t>efficacy and potential advantages compared to alternative treatments;</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0"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63" w:lineRule="exact"/>
        <w:rPr>
          <w:sz w:val="20"/>
          <w:szCs w:val="20"/>
          <w:color w:val="auto"/>
        </w:rPr>
      </w:pPr>
    </w:p>
    <w:p>
      <w:pPr>
        <w:ind w:right="60" w:firstLine="917"/>
        <w:spacing w:after="0" w:line="274" w:lineRule="auto"/>
        <w:rPr>
          <w:sz w:val="20"/>
          <w:szCs w:val="20"/>
          <w:color w:val="auto"/>
        </w:rPr>
      </w:pPr>
      <w:r>
        <w:rPr>
          <w:rFonts w:ascii="Arial" w:cs="Arial" w:eastAsia="Arial" w:hAnsi="Arial"/>
          <w:sz w:val="17"/>
          <w:szCs w:val="17"/>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3" w:lineRule="exact"/>
        <w:rPr>
          <w:sz w:val="20"/>
          <w:szCs w:val="20"/>
          <w:color w:val="auto"/>
        </w:rPr>
      </w:pPr>
    </w:p>
    <w:p>
      <w:pPr>
        <w:ind w:right="80" w:firstLine="917"/>
        <w:spacing w:after="0" w:line="27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4" w:name="page45"/>
    <w:bookmarkEnd w:id="44"/>
    <w:p>
      <w:pPr>
        <w:ind w:right="300"/>
        <w:spacing w:after="0" w:line="262" w:lineRule="auto"/>
        <w:rPr>
          <w:sz w:val="20"/>
          <w:szCs w:val="20"/>
          <w:color w:val="auto"/>
        </w:rPr>
      </w:pPr>
      <w:r>
        <w:rPr>
          <w:rFonts w:ascii="Arial" w:cs="Arial" w:eastAsia="Arial" w:hAnsi="Arial"/>
          <w:sz w:val="17"/>
          <w:szCs w:val="17"/>
          <w:color w:val="auto"/>
        </w:rPr>
        <w:t>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73" w:lineRule="exact"/>
        <w:rPr>
          <w:sz w:val="20"/>
          <w:szCs w:val="20"/>
          <w:color w:val="auto"/>
        </w:rPr>
      </w:pPr>
    </w:p>
    <w:p>
      <w:pPr>
        <w:ind w:right="220" w:firstLine="917"/>
        <w:spacing w:after="0" w:line="342" w:lineRule="auto"/>
        <w:rPr>
          <w:sz w:val="20"/>
          <w:szCs w:val="20"/>
          <w:color w:val="auto"/>
        </w:rPr>
      </w:pPr>
      <w:r>
        <w:rPr>
          <w:rFonts w:ascii="Arial" w:cs="Arial" w:eastAsia="Arial" w:hAnsi="Arial"/>
          <w:sz w:val="15"/>
          <w:szCs w:val="15"/>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41" w:lineRule="exact"/>
        <w:rPr>
          <w:sz w:val="20"/>
          <w:szCs w:val="20"/>
          <w:color w:val="auto"/>
        </w:rPr>
      </w:pPr>
    </w:p>
    <w:p>
      <w:pPr>
        <w:ind w:left="2140" w:hanging="1062"/>
        <w:spacing w:after="0"/>
        <w:tabs>
          <w:tab w:leader="none" w:pos="2140" w:val="left"/>
        </w:tabs>
        <w:numPr>
          <w:ilvl w:val="0"/>
          <w:numId w:val="33"/>
        </w:numPr>
        <w:rPr>
          <w:rFonts w:ascii="Arial" w:cs="Arial" w:eastAsia="Arial" w:hAnsi="Arial"/>
          <w:sz w:val="20"/>
          <w:szCs w:val="20"/>
          <w:color w:val="auto"/>
        </w:rPr>
      </w:pPr>
      <w:r>
        <w:rPr>
          <w:rFonts w:ascii="Arial" w:cs="Arial" w:eastAsia="Arial" w:hAnsi="Arial"/>
          <w:sz w:val="17"/>
          <w:szCs w:val="17"/>
          <w:color w:val="auto"/>
        </w:rPr>
        <w:t>a covered benefit under its health plan;</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the United States, no uniform policy of coverage and reimbursement for products exists among third-party payors.</w:t>
      </w:r>
    </w:p>
    <w:p>
      <w:pPr>
        <w:spacing w:after="0" w:line="110" w:lineRule="exact"/>
        <w:rPr>
          <w:sz w:val="20"/>
          <w:szCs w:val="20"/>
          <w:color w:val="auto"/>
        </w:rPr>
      </w:pPr>
    </w:p>
    <w:p>
      <w:pPr>
        <w:jc w:val="both"/>
        <w:ind w:right="100" w:firstLine="917"/>
        <w:spacing w:after="0" w:line="286" w:lineRule="auto"/>
        <w:rPr>
          <w:sz w:val="20"/>
          <w:szCs w:val="20"/>
          <w:color w:val="auto"/>
        </w:rPr>
      </w:pPr>
      <w:r>
        <w:rPr>
          <w:rFonts w:ascii="Arial" w:cs="Arial" w:eastAsia="Arial" w:hAnsi="Arial"/>
          <w:sz w:val="15"/>
          <w:szCs w:val="15"/>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A primary trend in the healthcare industry is cost containment as government authorities and third-party payors have attempted to control costs by limiting coverage and the amount of reimbursement available for certain medications. Even if we obtain coverage for a given product, the resulting reimbursement payment rates might not be adequate for us to achieve or sustain profitability or may require co-payments that patients find unacceptably high.</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79" w:lineRule="exact"/>
        <w:rPr>
          <w:sz w:val="20"/>
          <w:szCs w:val="20"/>
          <w:color w:val="auto"/>
        </w:rPr>
      </w:pPr>
    </w:p>
    <w:p>
      <w:pPr>
        <w:ind w:right="80" w:firstLine="917"/>
        <w:spacing w:after="0" w:line="294" w:lineRule="auto"/>
        <w:rPr>
          <w:sz w:val="20"/>
          <w:szCs w:val="20"/>
          <w:color w:val="auto"/>
        </w:rPr>
      </w:pPr>
      <w:r>
        <w:rPr>
          <w:rFonts w:ascii="Arial" w:cs="Arial" w:eastAsia="Arial" w:hAnsi="Arial"/>
          <w:sz w:val="15"/>
          <w:szCs w:val="15"/>
          <w:color w:val="auto"/>
        </w:rPr>
        <w:t>A primary trend in the United States health care industry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w:t>
      </w:r>
    </w:p>
    <w:p>
      <w:pPr>
        <w:ind w:right="120"/>
        <w:spacing w:after="0" w:line="313" w:lineRule="auto"/>
        <w:rPr>
          <w:sz w:val="20"/>
          <w:szCs w:val="20"/>
          <w:color w:val="auto"/>
        </w:rPr>
      </w:pPr>
      <w:r>
        <w:rPr>
          <w:rFonts w:ascii="Arial" w:cs="Arial" w:eastAsia="Arial" w:hAnsi="Arial"/>
          <w:sz w:val="15"/>
          <w:szCs w:val="15"/>
          <w:color w:val="auto"/>
        </w:rPr>
        <w:t>reduced by mandatory discounts or rebates required by government healthcare programs or private payers, by any future laws limiting drug prices. 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spacing w:after="0" w:line="38" w:lineRule="exact"/>
        <w:rPr>
          <w:sz w:val="20"/>
          <w:szCs w:val="20"/>
          <w:color w:val="auto"/>
        </w:rPr>
      </w:pPr>
    </w:p>
    <w:p>
      <w:pPr>
        <w:ind w:right="260" w:firstLine="917"/>
        <w:spacing w:after="0" w:line="313" w:lineRule="auto"/>
        <w:rPr>
          <w:sz w:val="20"/>
          <w:szCs w:val="20"/>
          <w:color w:val="auto"/>
        </w:rPr>
      </w:pPr>
      <w:r>
        <w:rPr>
          <w:rFonts w:ascii="Arial" w:cs="Arial" w:eastAsia="Arial" w:hAnsi="Arial"/>
          <w:sz w:val="15"/>
          <w:szCs w:val="15"/>
          <w:color w:val="auto"/>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67"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3"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5" w:name="page46"/>
    <w:bookmarkEnd w:id="45"/>
    <w:p>
      <w:pPr>
        <w:ind w:right="20"/>
        <w:spacing w:after="0" w:line="262" w:lineRule="auto"/>
        <w:rPr>
          <w:sz w:val="20"/>
          <w:szCs w:val="20"/>
          <w:color w:val="auto"/>
        </w:rPr>
      </w:pPr>
      <w:r>
        <w:rPr>
          <w:rFonts w:ascii="Arial" w:cs="Arial" w:eastAsia="Arial" w:hAnsi="Arial"/>
          <w:sz w:val="17"/>
          <w:szCs w:val="17"/>
          <w:color w:val="auto"/>
        </w:rPr>
        <w:t>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3"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73"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60"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60" w:firstLine="917"/>
        <w:spacing w:after="0" w:line="292" w:lineRule="auto"/>
        <w:rPr>
          <w:sz w:val="20"/>
          <w:szCs w:val="20"/>
          <w:color w:val="auto"/>
        </w:rPr>
      </w:pPr>
      <w:r>
        <w:rPr>
          <w:rFonts w:ascii="Arial" w:cs="Arial" w:eastAsia="Arial" w:hAnsi="Arial"/>
          <w:sz w:val="15"/>
          <w:szCs w:val="15"/>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in our Annual Report on form 10-K for the year ended December 31, 2021.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spacing w:after="0" w:line="53" w:lineRule="exact"/>
        <w:rPr>
          <w:sz w:val="20"/>
          <w:szCs w:val="20"/>
          <w:color w:val="auto"/>
        </w:rPr>
      </w:pPr>
    </w:p>
    <w:p>
      <w:pPr>
        <w:ind w:right="300" w:firstLine="917"/>
        <w:spacing w:after="0" w:line="274" w:lineRule="auto"/>
        <w:rPr>
          <w:sz w:val="20"/>
          <w:szCs w:val="20"/>
          <w:color w:val="auto"/>
        </w:rPr>
      </w:pPr>
      <w:r>
        <w:rPr>
          <w:rFonts w:ascii="Arial" w:cs="Arial" w:eastAsia="Arial" w:hAnsi="Arial"/>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63" w:lineRule="exact"/>
        <w:rPr>
          <w:sz w:val="20"/>
          <w:szCs w:val="20"/>
          <w:color w:val="auto"/>
        </w:rPr>
      </w:pPr>
    </w:p>
    <w:p>
      <w:pPr>
        <w:ind w:right="260" w:firstLine="917"/>
        <w:spacing w:after="0" w:line="262"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Ensuring business arrangements comply with applicable healthcare laws, as well as responding to possible investigations by government authorities, can be time- and resource-consuming and can divert a company’s attention from the business.</w:t>
      </w:r>
    </w:p>
    <w:p>
      <w:pPr>
        <w:spacing w:after="0" w:line="73" w:lineRule="exact"/>
        <w:rPr>
          <w:sz w:val="20"/>
          <w:szCs w:val="20"/>
          <w:color w:val="auto"/>
        </w:rPr>
      </w:pPr>
    </w:p>
    <w:p>
      <w:pPr>
        <w:ind w:right="100" w:firstLine="917"/>
        <w:spacing w:after="0" w:line="271" w:lineRule="auto"/>
        <w:rPr>
          <w:sz w:val="20"/>
          <w:szCs w:val="20"/>
          <w:color w:val="auto"/>
        </w:rPr>
      </w:pPr>
      <w:r>
        <w:rPr>
          <w:rFonts w:ascii="Arial" w:cs="Arial" w:eastAsia="Arial" w:hAnsi="Arial"/>
          <w:sz w:val="16"/>
          <w:szCs w:val="16"/>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6" w:name="page47"/>
    <w:bookmarkEnd w:id="46"/>
    <w:p>
      <w:pPr>
        <w:ind w:right="240"/>
        <w:spacing w:after="0" w:line="262" w:lineRule="auto"/>
        <w:rPr>
          <w:sz w:val="20"/>
          <w:szCs w:val="20"/>
          <w:color w:val="auto"/>
        </w:rPr>
      </w:pPr>
      <w:r>
        <w:rPr>
          <w:rFonts w:ascii="Arial" w:cs="Arial" w:eastAsia="Arial" w:hAnsi="Arial"/>
          <w:sz w:val="17"/>
          <w:szCs w:val="17"/>
          <w:color w:val="auto"/>
        </w:rPr>
        <w:t>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73"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3"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78" w:lineRule="exact"/>
        <w:rPr>
          <w:sz w:val="20"/>
          <w:szCs w:val="20"/>
          <w:color w:val="auto"/>
        </w:rPr>
      </w:pPr>
    </w:p>
    <w:p>
      <w:pPr>
        <w:ind w:right="180" w:firstLine="917"/>
        <w:spacing w:after="0" w:line="256"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8"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68"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05" w:lineRule="exact"/>
        <w:rPr>
          <w:sz w:val="20"/>
          <w:szCs w:val="20"/>
          <w:color w:val="auto"/>
        </w:rPr>
      </w:pPr>
    </w:p>
    <w:p>
      <w:pPr>
        <w:ind w:left="2140" w:right="20" w:hanging="1062"/>
        <w:spacing w:after="0" w:line="236" w:lineRule="auto"/>
        <w:tabs>
          <w:tab w:leader="none" w:pos="2135" w:val="left"/>
        </w:tabs>
        <w:numPr>
          <w:ilvl w:val="0"/>
          <w:numId w:val="34"/>
        </w:numPr>
        <w:rPr>
          <w:rFonts w:ascii="Arial" w:cs="Arial" w:eastAsia="Arial" w:hAnsi="Arial"/>
          <w:sz w:val="20"/>
          <w:szCs w:val="20"/>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91" w:lineRule="exact"/>
        <w:rPr>
          <w:rFonts w:ascii="Arial" w:cs="Arial" w:eastAsia="Arial" w:hAnsi="Arial"/>
          <w:sz w:val="20"/>
          <w:szCs w:val="20"/>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10" w:lineRule="exact"/>
        <w:rPr>
          <w:rFonts w:ascii="Arial" w:cs="Arial" w:eastAsia="Arial" w:hAnsi="Arial"/>
          <w:sz w:val="17"/>
          <w:szCs w:val="17"/>
          <w:color w:val="auto"/>
        </w:rPr>
      </w:pPr>
    </w:p>
    <w:p>
      <w:pPr>
        <w:ind w:left="2140" w:right="100" w:hanging="1062"/>
        <w:spacing w:after="0" w:line="274" w:lineRule="auto"/>
        <w:tabs>
          <w:tab w:leader="none" w:pos="21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voluntary or mandatory product recalls and related publicity requirements;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0" w:lineRule="exact"/>
        <w:rPr>
          <w:sz w:val="20"/>
          <w:szCs w:val="20"/>
          <w:color w:val="auto"/>
        </w:rPr>
      </w:pPr>
    </w:p>
    <w:p>
      <w:pPr>
        <w:ind w:right="80" w:firstLine="917"/>
        <w:spacing w:after="0" w:line="255"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7" w:name="page48"/>
    <w:bookmarkEnd w:id="47"/>
    <w:p>
      <w:pPr>
        <w:ind w:right="100"/>
        <w:spacing w:after="0" w:line="262" w:lineRule="auto"/>
        <w:rPr>
          <w:sz w:val="20"/>
          <w:szCs w:val="20"/>
          <w:color w:val="auto"/>
        </w:rPr>
      </w:pPr>
      <w:r>
        <w:rPr>
          <w:rFonts w:ascii="Arial" w:cs="Arial" w:eastAsia="Arial" w:hAnsi="Arial"/>
          <w:sz w:val="17"/>
          <w:szCs w:val="17"/>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33"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61" w:lineRule="exact"/>
        <w:rPr>
          <w:sz w:val="20"/>
          <w:szCs w:val="20"/>
          <w:color w:val="auto"/>
        </w:rPr>
      </w:pPr>
    </w:p>
    <w:p>
      <w:pPr>
        <w:ind w:right="80" w:firstLine="917"/>
        <w:spacing w:after="0" w:line="342" w:lineRule="auto"/>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as detailed in Part I, Item 1 – Business – Government Regulation – Current and Future Healthcare Reform Legislation in our annual Report on Form 10-K for the year ended December 31, 2021.</w:t>
      </w:r>
    </w:p>
    <w:p>
      <w:pPr>
        <w:spacing w:after="0" w:line="18"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We cannot predict the likelihood, nature, or extent of health reform initiatives that may arise from future legislation or administrative action. However, we expect these initiatives to increase pressure on drug pricing. Further, certain broader legislation that is not targeted to the health 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8" w:lineRule="exact"/>
        <w:rPr>
          <w:sz w:val="20"/>
          <w:szCs w:val="20"/>
          <w:color w:val="auto"/>
        </w:rPr>
      </w:pPr>
    </w:p>
    <w:p>
      <w:pPr>
        <w:ind w:right="100" w:firstLine="917"/>
        <w:spacing w:after="0" w:line="313"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8" w:lineRule="exact"/>
        <w:rPr>
          <w:sz w:val="20"/>
          <w:szCs w:val="20"/>
          <w:color w:val="auto"/>
        </w:rPr>
      </w:pPr>
    </w:p>
    <w:p>
      <w:pPr>
        <w:jc w:val="both"/>
        <w:ind w:right="120" w:firstLine="917"/>
        <w:spacing w:after="0" w:line="27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1" w:lineRule="exact"/>
        <w:rPr>
          <w:sz w:val="20"/>
          <w:szCs w:val="20"/>
          <w:color w:val="auto"/>
        </w:rPr>
      </w:pPr>
    </w:p>
    <w:p>
      <w:pPr>
        <w:ind w:right="60" w:firstLine="917"/>
        <w:spacing w:after="0" w:line="267"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Acknowledging the need for transparency an planning for the resumption of inspection activities, FDA released a roadmap plan in May 2021, and an update in November 2021, to address FDA’s risk-based approach to addressing postponed inspection work and its goal of transitioning back to conducting domestic surveillance inspections as quickly as possible.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Ongoing surges in COVID-19 case numbers with the emergence of new variants (e.g., the Omicron variant in late 2021) have contributed to interruptions in FDA’s surveillance capabilities. In light of high positivity rates and hospitalizations, FDA made temporary changes in late 2021, including temporarily postponing certain inspection activities from December 29, 2021 to January 19, 2022, and extended to February 4, 2022. Accordingly, during the COVID-19 pandemic, several companies have announced receipt of complete response letters due to the FDA's inability to complete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8" w:name="page49"/>
    <w:bookmarkEnd w:id="48"/>
    <w:p>
      <w:pPr>
        <w:ind w:right="660"/>
        <w:spacing w:after="0" w:line="306" w:lineRule="auto"/>
        <w:rPr>
          <w:sz w:val="20"/>
          <w:szCs w:val="20"/>
          <w:color w:val="auto"/>
        </w:rPr>
      </w:pPr>
      <w:r>
        <w:rPr>
          <w:rFonts w:ascii="Arial" w:cs="Arial" w:eastAsia="Arial" w:hAnsi="Arial"/>
          <w:sz w:val="16"/>
          <w:szCs w:val="16"/>
          <w:color w:val="auto"/>
        </w:rPr>
        <w:t>required inspections for their applications. However, as of February 7, 2022, FDA has resumed conducting domestic surveillance inspections. FDA has also indicated that it may continue to utilize remote regulatory assessments for some of its regulatory oversight activities.</w:t>
      </w:r>
    </w:p>
    <w:p>
      <w:pPr>
        <w:spacing w:after="0" w:line="40"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Drug marketing and reimbursement regulations may materially affect our ability to market and secure reimbursement for our products.</w:t>
      </w:r>
    </w:p>
    <w:p>
      <w:pPr>
        <w:spacing w:after="0" w:line="122" w:lineRule="exact"/>
        <w:rPr>
          <w:sz w:val="20"/>
          <w:szCs w:val="20"/>
          <w:color w:val="auto"/>
        </w:rPr>
      </w:pPr>
    </w:p>
    <w:p>
      <w:pPr>
        <w:ind w:right="20" w:firstLine="917"/>
        <w:spacing w:after="0" w:line="273"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9"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70"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1" w:lineRule="exact"/>
        <w:rPr>
          <w:sz w:val="20"/>
          <w:szCs w:val="20"/>
          <w:color w:val="auto"/>
        </w:rPr>
      </w:pPr>
    </w:p>
    <w:p>
      <w:pPr>
        <w:ind w:right="100" w:firstLine="917"/>
        <w:spacing w:after="0" w:line="269" w:lineRule="auto"/>
        <w:rPr>
          <w:sz w:val="20"/>
          <w:szCs w:val="20"/>
          <w:color w:val="auto"/>
        </w:rPr>
      </w:pPr>
      <w:r>
        <w:rPr>
          <w:rFonts w:ascii="Arial" w:cs="Arial" w:eastAsia="Arial" w:hAnsi="Arial"/>
          <w:sz w:val="16"/>
          <w:szCs w:val="16"/>
          <w:color w:val="auto"/>
        </w:rPr>
        <w:t>In addition, in most foreign countries, including the EEA, the proposed pricing for a drug must be approved before it may be lawfully marketed. The requirements governing drug pricing and reimbursement are the prerogative of the member states and it varies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9" w:name="page50"/>
    <w:bookmarkEnd w:id="49"/>
    <w:p>
      <w:pPr>
        <w:ind w:firstLine="917"/>
        <w:spacing w:after="0" w:line="254"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0" w:lineRule="exact"/>
        <w:rPr>
          <w:sz w:val="20"/>
          <w:szCs w:val="20"/>
          <w:color w:val="auto"/>
        </w:rPr>
      </w:pPr>
    </w:p>
    <w:p>
      <w:pPr>
        <w:ind w:right="300" w:firstLine="917"/>
        <w:spacing w:after="0" w:line="279"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61" w:lineRule="exact"/>
        <w:rPr>
          <w:sz w:val="20"/>
          <w:szCs w:val="20"/>
          <w:color w:val="auto"/>
        </w:rPr>
      </w:pPr>
    </w:p>
    <w:p>
      <w:pPr>
        <w:ind w:firstLine="917"/>
        <w:spacing w:after="0" w:line="256"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8" w:lineRule="exact"/>
        <w:rPr>
          <w:sz w:val="20"/>
          <w:szCs w:val="20"/>
          <w:color w:val="auto"/>
        </w:rPr>
      </w:pPr>
    </w:p>
    <w:p>
      <w:pPr>
        <w:ind w:right="420" w:firstLine="917"/>
        <w:spacing w:after="0" w:line="262"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 face serious consequences for violations.</w:t>
      </w:r>
    </w:p>
    <w:p>
      <w:pPr>
        <w:spacing w:after="0" w:line="99" w:lineRule="exact"/>
        <w:rPr>
          <w:sz w:val="20"/>
          <w:szCs w:val="20"/>
          <w:color w:val="auto"/>
        </w:rPr>
      </w:pPr>
    </w:p>
    <w:p>
      <w:pPr>
        <w:ind w:right="20" w:firstLine="917"/>
        <w:spacing w:after="0" w:line="27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4"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3" w:lineRule="exact"/>
        <w:rPr>
          <w:sz w:val="20"/>
          <w:szCs w:val="20"/>
          <w:color w:val="auto"/>
        </w:rPr>
      </w:pPr>
    </w:p>
    <w:p>
      <w:pPr>
        <w:ind w:right="40" w:firstLine="917"/>
        <w:spacing w:after="0" w:line="272" w:lineRule="auto"/>
        <w:rPr>
          <w:sz w:val="20"/>
          <w:szCs w:val="20"/>
          <w:color w:val="auto"/>
        </w:rPr>
      </w:pPr>
      <w:r>
        <w:rPr>
          <w:rFonts w:ascii="Arial" w:cs="Arial" w:eastAsia="Arial" w:hAnsi="Arial"/>
          <w:sz w:val="16"/>
          <w:szCs w:val="16"/>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0" w:name="page51"/>
    <w:bookmarkEnd w:id="50"/>
    <w:p>
      <w:pPr>
        <w:ind w:firstLine="917"/>
        <w:spacing w:after="0" w:line="271"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63" w:lineRule="exact"/>
        <w:rPr>
          <w:sz w:val="20"/>
          <w:szCs w:val="20"/>
          <w:color w:val="auto"/>
        </w:rPr>
      </w:pPr>
    </w:p>
    <w:p>
      <w:pPr>
        <w:ind w:right="40" w:firstLine="917"/>
        <w:spacing w:after="0" w:line="298" w:lineRule="auto"/>
        <w:rPr>
          <w:sz w:val="20"/>
          <w:szCs w:val="20"/>
          <w:color w:val="auto"/>
        </w:rPr>
      </w:pPr>
      <w:r>
        <w:rPr>
          <w:rFonts w:ascii="Arial" w:cs="Arial" w:eastAsia="Arial" w:hAnsi="Arial"/>
          <w:sz w:val="15"/>
          <w:szCs w:val="15"/>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0" w:lineRule="exact"/>
        <w:rPr>
          <w:sz w:val="20"/>
          <w:szCs w:val="20"/>
          <w:color w:val="auto"/>
        </w:rPr>
      </w:pPr>
    </w:p>
    <w:p>
      <w:pPr>
        <w:ind w:right="20" w:firstLine="917"/>
        <w:spacing w:after="0" w:line="290" w:lineRule="auto"/>
        <w:rPr>
          <w:sz w:val="20"/>
          <w:szCs w:val="20"/>
          <w:color w:val="auto"/>
        </w:rPr>
      </w:pPr>
      <w:r>
        <w:rPr>
          <w:rFonts w:ascii="Arial" w:cs="Arial" w:eastAsia="Arial" w:hAnsi="Arial"/>
          <w:sz w:val="15"/>
          <w:szCs w:val="15"/>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60"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5" w:lineRule="exact"/>
        <w:rPr>
          <w:sz w:val="20"/>
          <w:szCs w:val="20"/>
          <w:color w:val="auto"/>
        </w:rPr>
      </w:pPr>
    </w:p>
    <w:p>
      <w:pPr>
        <w:ind w:right="500" w:firstLine="917"/>
        <w:spacing w:after="0" w:line="274"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01" w:lineRule="exact"/>
        <w:rPr>
          <w:sz w:val="20"/>
          <w:szCs w:val="20"/>
          <w:color w:val="auto"/>
        </w:rPr>
      </w:pPr>
    </w:p>
    <w:p>
      <w:pPr>
        <w:ind w:left="2140" w:right="100" w:hanging="1062"/>
        <w:spacing w:after="0" w:line="236" w:lineRule="auto"/>
        <w:tabs>
          <w:tab w:leader="none" w:pos="2135" w:val="left"/>
        </w:tabs>
        <w:numPr>
          <w:ilvl w:val="0"/>
          <w:numId w:val="35"/>
        </w:numPr>
        <w:rPr>
          <w:rFonts w:ascii="Arial" w:cs="Arial" w:eastAsia="Arial" w:hAnsi="Arial"/>
          <w:sz w:val="20"/>
          <w:szCs w:val="20"/>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91" w:lineRule="exact"/>
        <w:rPr>
          <w:rFonts w:ascii="Arial" w:cs="Arial" w:eastAsia="Arial" w:hAnsi="Arial"/>
          <w:sz w:val="20"/>
          <w:szCs w:val="20"/>
          <w:color w:val="auto"/>
        </w:rPr>
      </w:pPr>
    </w:p>
    <w:p>
      <w:pPr>
        <w:ind w:left="2140" w:right="80" w:hanging="1062"/>
        <w:spacing w:after="0" w:line="274" w:lineRule="auto"/>
        <w:tabs>
          <w:tab w:leader="none" w:pos="21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1" w:name="page52"/>
    <w:bookmarkEnd w:id="51"/>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be able to extend the patent term in some jurisdictions;</w:t>
      </w:r>
    </w:p>
    <w:p>
      <w:pPr>
        <w:spacing w:after="0" w:line="110"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10" w:lineRule="exact"/>
        <w:rPr>
          <w:rFonts w:ascii="Arial" w:cs="Arial" w:eastAsia="Arial" w:hAnsi="Arial"/>
          <w:sz w:val="17"/>
          <w:szCs w:val="17"/>
          <w:color w:val="auto"/>
        </w:rPr>
      </w:pPr>
    </w:p>
    <w:p>
      <w:pPr>
        <w:ind w:left="2140" w:right="34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63" w:lineRule="exact"/>
        <w:rPr>
          <w:rFonts w:ascii="Arial" w:cs="Arial" w:eastAsia="Arial" w:hAnsi="Arial"/>
          <w:sz w:val="17"/>
          <w:szCs w:val="17"/>
          <w:color w:val="auto"/>
        </w:rPr>
      </w:pPr>
    </w:p>
    <w:p>
      <w:pPr>
        <w:ind w:left="2140" w:right="26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63" w:lineRule="exact"/>
        <w:rPr>
          <w:rFonts w:ascii="Arial" w:cs="Arial" w:eastAsia="Arial" w:hAnsi="Arial"/>
          <w:sz w:val="17"/>
          <w:szCs w:val="17"/>
          <w:color w:val="auto"/>
        </w:rPr>
      </w:pPr>
    </w:p>
    <w:p>
      <w:pPr>
        <w:ind w:left="2140" w:right="72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63"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63" w:lineRule="exact"/>
        <w:rPr>
          <w:rFonts w:ascii="Arial" w:cs="Arial" w:eastAsia="Arial" w:hAnsi="Arial"/>
          <w:sz w:val="17"/>
          <w:szCs w:val="17"/>
          <w:color w:val="auto"/>
        </w:rPr>
      </w:pPr>
    </w:p>
    <w:p>
      <w:pPr>
        <w:jc w:val="both"/>
        <w:ind w:left="2140" w:right="60" w:hanging="1062"/>
        <w:spacing w:after="0" w:line="262"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2" w:lineRule="exact"/>
        <w:rPr>
          <w:rFonts w:ascii="Arial" w:cs="Arial" w:eastAsia="Arial" w:hAnsi="Arial"/>
          <w:sz w:val="17"/>
          <w:szCs w:val="17"/>
          <w:color w:val="auto"/>
        </w:rPr>
      </w:pPr>
    </w:p>
    <w:p>
      <w:pPr>
        <w:ind w:left="2140" w:right="320" w:hanging="1062"/>
        <w:spacing w:after="0" w:line="262"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2"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0" w:lineRule="exact"/>
        <w:rPr>
          <w:rFonts w:ascii="Arial" w:cs="Arial" w:eastAsia="Arial" w:hAnsi="Arial"/>
          <w:sz w:val="17"/>
          <w:szCs w:val="17"/>
          <w:color w:val="auto"/>
        </w:rPr>
      </w:pPr>
    </w:p>
    <w:p>
      <w:pPr>
        <w:ind w:left="214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0" w:lineRule="exact"/>
        <w:rPr>
          <w:sz w:val="20"/>
          <w:szCs w:val="20"/>
          <w:color w:val="auto"/>
        </w:rPr>
      </w:pPr>
    </w:p>
    <w:p>
      <w:pPr>
        <w:ind w:right="120" w:firstLine="917"/>
        <w:spacing w:after="0" w:line="342" w:lineRule="auto"/>
        <w:rPr>
          <w:sz w:val="20"/>
          <w:szCs w:val="20"/>
          <w:color w:val="auto"/>
        </w:rPr>
      </w:pPr>
      <w:r>
        <w:rPr>
          <w:rFonts w:ascii="Arial" w:cs="Arial" w:eastAsia="Arial" w:hAnsi="Arial"/>
          <w:sz w:val="15"/>
          <w:szCs w:val="15"/>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8" w:lineRule="exact"/>
        <w:rPr>
          <w:sz w:val="20"/>
          <w:szCs w:val="20"/>
          <w:color w:val="auto"/>
        </w:rPr>
      </w:pPr>
    </w:p>
    <w:p>
      <w:pPr>
        <w:jc w:val="both"/>
        <w:ind w:right="40" w:firstLine="917"/>
        <w:spacing w:after="0" w:line="279"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34" w:lineRule="exact"/>
        <w:rPr>
          <w:sz w:val="20"/>
          <w:szCs w:val="20"/>
          <w:color w:val="auto"/>
        </w:rPr>
      </w:pPr>
    </w:p>
    <w:p>
      <w:pPr>
        <w:ind w:left="2140" w:hanging="1062"/>
        <w:spacing w:after="0"/>
        <w:tabs>
          <w:tab w:leader="none" w:pos="2140" w:val="left"/>
        </w:tabs>
        <w:numPr>
          <w:ilvl w:val="0"/>
          <w:numId w:val="37"/>
        </w:numPr>
        <w:rPr>
          <w:rFonts w:ascii="Arial" w:cs="Arial" w:eastAsia="Arial" w:hAnsi="Arial"/>
          <w:sz w:val="20"/>
          <w:szCs w:val="20"/>
          <w:color w:val="auto"/>
        </w:rPr>
      </w:pPr>
      <w:r>
        <w:rPr>
          <w:rFonts w:ascii="Arial" w:cs="Arial" w:eastAsia="Arial" w:hAnsi="Arial"/>
          <w:sz w:val="17"/>
          <w:szCs w:val="17"/>
          <w:color w:val="auto"/>
        </w:rPr>
        <w:t>the scope of rights granted under the license agreement and other interpretation-related issues;</w:t>
      </w:r>
    </w:p>
    <w:p>
      <w:pPr>
        <w:spacing w:after="0" w:line="90" w:lineRule="exact"/>
        <w:rPr>
          <w:rFonts w:ascii="Arial" w:cs="Arial" w:eastAsia="Arial" w:hAnsi="Arial"/>
          <w:sz w:val="20"/>
          <w:szCs w:val="20"/>
          <w:color w:val="auto"/>
        </w:rPr>
      </w:pPr>
    </w:p>
    <w:p>
      <w:pPr>
        <w:ind w:left="2140" w:right="420" w:hanging="1062"/>
        <w:spacing w:after="0" w:line="274" w:lineRule="auto"/>
        <w:tabs>
          <w:tab w:leader="none" w:pos="21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52" w:name="page53"/>
    <w:bookmarkEnd w:id="52"/>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0" w:lineRule="exact"/>
        <w:rPr>
          <w:sz w:val="20"/>
          <w:szCs w:val="20"/>
          <w:color w:val="auto"/>
        </w:rPr>
      </w:pPr>
    </w:p>
    <w:p>
      <w:pPr>
        <w:ind w:right="80" w:firstLine="917"/>
        <w:spacing w:after="0" w:line="254"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0" w:lineRule="exact"/>
        <w:rPr>
          <w:sz w:val="20"/>
          <w:szCs w:val="20"/>
          <w:color w:val="auto"/>
        </w:rPr>
      </w:pPr>
    </w:p>
    <w:p>
      <w:pPr>
        <w:ind w:firstLine="917"/>
        <w:spacing w:after="0" w:line="255"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right="20" w:firstLine="917"/>
        <w:spacing w:after="0" w:line="288" w:lineRule="auto"/>
        <w:rPr>
          <w:sz w:val="20"/>
          <w:szCs w:val="20"/>
          <w:color w:val="auto"/>
        </w:rPr>
      </w:pPr>
      <w:r>
        <w:rPr>
          <w:rFonts w:ascii="Arial" w:cs="Arial" w:eastAsia="Arial" w:hAnsi="Arial"/>
          <w:sz w:val="15"/>
          <w:szCs w:val="15"/>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63" w:lineRule="exact"/>
        <w:rPr>
          <w:sz w:val="20"/>
          <w:szCs w:val="20"/>
          <w:color w:val="auto"/>
        </w:rPr>
      </w:pPr>
    </w:p>
    <w:p>
      <w:pPr>
        <w:ind w:firstLine="917"/>
        <w:spacing w:after="0" w:line="303" w:lineRule="auto"/>
        <w:rPr>
          <w:sz w:val="20"/>
          <w:szCs w:val="20"/>
          <w:color w:val="auto"/>
        </w:rPr>
      </w:pPr>
      <w:r>
        <w:rPr>
          <w:rFonts w:ascii="Arial" w:cs="Arial" w:eastAsia="Arial" w:hAnsi="Arial"/>
          <w:sz w:val="15"/>
          <w:szCs w:val="15"/>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46" w:lineRule="exact"/>
        <w:rPr>
          <w:sz w:val="20"/>
          <w:szCs w:val="20"/>
          <w:color w:val="auto"/>
        </w:rPr>
      </w:pPr>
    </w:p>
    <w:p>
      <w:pPr>
        <w:ind w:right="100" w:firstLine="917"/>
        <w:spacing w:after="0" w:line="293" w:lineRule="auto"/>
        <w:rPr>
          <w:sz w:val="20"/>
          <w:szCs w:val="20"/>
          <w:color w:val="auto"/>
        </w:rPr>
      </w:pPr>
      <w:r>
        <w:rPr>
          <w:rFonts w:ascii="Arial" w:cs="Arial" w:eastAsia="Arial" w:hAnsi="Arial"/>
          <w:sz w:val="15"/>
          <w:szCs w:val="15"/>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3" w:name="page54"/>
    <w:bookmarkEnd w:id="53"/>
    <w:p>
      <w:pPr>
        <w:ind w:right="300"/>
        <w:spacing w:after="0" w:line="274" w:lineRule="auto"/>
        <w:rPr>
          <w:sz w:val="20"/>
          <w:szCs w:val="20"/>
          <w:color w:val="auto"/>
        </w:rPr>
      </w:pPr>
      <w:r>
        <w:rPr>
          <w:rFonts w:ascii="Arial" w:cs="Arial" w:eastAsia="Arial" w:hAnsi="Arial"/>
          <w:sz w:val="17"/>
          <w:szCs w:val="17"/>
          <w:color w:val="auto"/>
        </w:rPr>
        <w:t>technology by third parties. We have also adopted policies and conduct training that provides guidance on our expectations, and our advice for best practices, in protecting our trade secrets.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0"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48" w:lineRule="exact"/>
        <w:rPr>
          <w:sz w:val="20"/>
          <w:szCs w:val="20"/>
          <w:color w:val="auto"/>
        </w:rPr>
      </w:pPr>
    </w:p>
    <w:p>
      <w:pPr>
        <w:ind w:left="2140" w:right="40" w:hanging="1062"/>
        <w:spacing w:after="0" w:line="236" w:lineRule="auto"/>
        <w:tabs>
          <w:tab w:leader="none" w:pos="2135" w:val="left"/>
        </w:tabs>
        <w:numPr>
          <w:ilvl w:val="0"/>
          <w:numId w:val="39"/>
        </w:numPr>
        <w:rPr>
          <w:rFonts w:ascii="Arial" w:cs="Arial" w:eastAsia="Arial" w:hAnsi="Arial"/>
          <w:sz w:val="20"/>
          <w:szCs w:val="20"/>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91" w:lineRule="exact"/>
        <w:rPr>
          <w:rFonts w:ascii="Arial" w:cs="Arial" w:eastAsia="Arial" w:hAnsi="Arial"/>
          <w:sz w:val="20"/>
          <w:szCs w:val="20"/>
          <w:color w:val="auto"/>
        </w:rPr>
      </w:pPr>
    </w:p>
    <w:p>
      <w:pPr>
        <w:ind w:left="2140" w:right="60" w:hanging="1062"/>
        <w:spacing w:after="0" w:line="262"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72"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63" w:lineRule="exact"/>
        <w:rPr>
          <w:rFonts w:ascii="Arial" w:cs="Arial" w:eastAsia="Arial" w:hAnsi="Arial"/>
          <w:sz w:val="17"/>
          <w:szCs w:val="17"/>
          <w:color w:val="auto"/>
        </w:rPr>
      </w:pPr>
    </w:p>
    <w:p>
      <w:pPr>
        <w:jc w:val="both"/>
        <w:ind w:left="2140" w:right="260" w:hanging="1062"/>
        <w:spacing w:after="0" w:line="262"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2" w:lineRule="exact"/>
        <w:rPr>
          <w:rFonts w:ascii="Arial" w:cs="Arial" w:eastAsia="Arial" w:hAnsi="Arial"/>
          <w:sz w:val="17"/>
          <w:szCs w:val="17"/>
          <w:color w:val="auto"/>
        </w:rPr>
      </w:pPr>
    </w:p>
    <w:p>
      <w:pPr>
        <w:ind w:left="2140" w:right="48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63"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7" w:lineRule="exact"/>
        <w:rPr>
          <w:sz w:val="20"/>
          <w:szCs w:val="20"/>
          <w:color w:val="auto"/>
        </w:rPr>
      </w:pPr>
    </w:p>
    <w:p>
      <w:pPr>
        <w:ind w:firstLine="917"/>
        <w:spacing w:after="0" w:line="306" w:lineRule="auto"/>
        <w:rPr>
          <w:sz w:val="20"/>
          <w:szCs w:val="20"/>
          <w:color w:val="auto"/>
        </w:rPr>
      </w:pPr>
      <w:r>
        <w:rPr>
          <w:rFonts w:ascii="Arial" w:cs="Arial" w:eastAsia="Arial" w:hAnsi="Arial"/>
          <w:sz w:val="16"/>
          <w:szCs w:val="16"/>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0" w:lineRule="exact"/>
        <w:rPr>
          <w:sz w:val="20"/>
          <w:szCs w:val="20"/>
          <w:color w:val="auto"/>
        </w:rPr>
      </w:pPr>
    </w:p>
    <w:p>
      <w:pPr>
        <w:ind w:right="100" w:firstLine="917"/>
        <w:spacing w:after="0" w:line="275" w:lineRule="auto"/>
        <w:rPr>
          <w:sz w:val="20"/>
          <w:szCs w:val="20"/>
          <w:color w:val="auto"/>
        </w:rPr>
      </w:pPr>
      <w:r>
        <w:rPr>
          <w:rFonts w:ascii="Arial" w:cs="Arial" w:eastAsia="Arial" w:hAnsi="Arial"/>
          <w:sz w:val="16"/>
          <w:szCs w:val="16"/>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5" w:right="419" w:bottom="1440" w:gutter="0" w:footer="0" w:header="0"/>
        </w:sectPr>
      </w:pPr>
    </w:p>
    <w:bookmarkStart w:id="54" w:name="page55"/>
    <w:bookmarkEnd w:id="54"/>
    <w:p>
      <w:pPr>
        <w:ind w:right="60"/>
        <w:spacing w:after="0" w:line="274" w:lineRule="auto"/>
        <w:rPr>
          <w:sz w:val="20"/>
          <w:szCs w:val="20"/>
          <w:color w:val="auto"/>
        </w:rPr>
      </w:pPr>
      <w:r>
        <w:rPr>
          <w:rFonts w:ascii="Arial" w:cs="Arial" w:eastAsia="Arial" w:hAnsi="Arial"/>
          <w:sz w:val="17"/>
          <w:szCs w:val="17"/>
          <w:color w:val="auto"/>
        </w:rPr>
        <w:t>intellectual property developed with the use of a collaborator’s samples, or data developed in a collaborator’s study, we may be limited in our ability to capitalize on the market potential of these inventions or developments.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0" w:lineRule="exact"/>
        <w:rPr>
          <w:sz w:val="20"/>
          <w:szCs w:val="20"/>
          <w:color w:val="auto"/>
        </w:rPr>
      </w:pPr>
    </w:p>
    <w:p>
      <w:pPr>
        <w:ind w:right="40" w:firstLine="917"/>
        <w:spacing w:after="0" w:line="269"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2" w:lineRule="exact"/>
        <w:rPr>
          <w:sz w:val="20"/>
          <w:szCs w:val="20"/>
          <w:color w:val="auto"/>
        </w:rPr>
      </w:pPr>
    </w:p>
    <w:p>
      <w:pPr>
        <w:ind w:right="20" w:firstLine="917"/>
        <w:spacing w:after="0" w:line="292" w:lineRule="auto"/>
        <w:rPr>
          <w:sz w:val="20"/>
          <w:szCs w:val="20"/>
          <w:color w:val="auto"/>
        </w:rPr>
      </w:pPr>
      <w:r>
        <w:rPr>
          <w:rFonts w:ascii="Arial" w:cs="Arial" w:eastAsia="Arial" w:hAnsi="Arial"/>
          <w:sz w:val="15"/>
          <w:szCs w:val="15"/>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secrets.</w:t>
      </w:r>
    </w:p>
    <w:p>
      <w:pPr>
        <w:spacing w:after="0" w:line="99" w:lineRule="exact"/>
        <w:rPr>
          <w:sz w:val="20"/>
          <w:szCs w:val="20"/>
          <w:color w:val="auto"/>
        </w:rPr>
      </w:pPr>
    </w:p>
    <w:p>
      <w:pPr>
        <w:ind w:firstLine="917"/>
        <w:spacing w:after="0" w:line="268"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develop any future product candidates on acceptable terms.</w:t>
      </w:r>
    </w:p>
    <w:p>
      <w:pPr>
        <w:spacing w:after="0" w:line="122" w:lineRule="exact"/>
        <w:rPr>
          <w:sz w:val="20"/>
          <w:szCs w:val="20"/>
          <w:color w:val="auto"/>
        </w:rPr>
      </w:pPr>
    </w:p>
    <w:p>
      <w:pPr>
        <w:ind w:right="100" w:firstLine="917"/>
        <w:spacing w:after="0" w:line="274"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5" w:name="page56"/>
    <w:bookmarkEnd w:id="55"/>
    <w:p>
      <w:pPr>
        <w:ind w:right="20" w:firstLine="917"/>
        <w:spacing w:after="0" w:line="271"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0"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an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9" w:lineRule="exact"/>
        <w:rPr>
          <w:sz w:val="20"/>
          <w:szCs w:val="20"/>
          <w:color w:val="auto"/>
        </w:rPr>
      </w:pPr>
    </w:p>
    <w:p>
      <w:pPr>
        <w:ind w:firstLine="917"/>
        <w:spacing w:after="0" w:line="298" w:lineRule="auto"/>
        <w:rPr>
          <w:sz w:val="20"/>
          <w:szCs w:val="20"/>
          <w:color w:val="auto"/>
        </w:rPr>
      </w:pPr>
      <w:r>
        <w:rPr>
          <w:rFonts w:ascii="Arial" w:cs="Arial" w:eastAsia="Arial" w:hAnsi="Arial"/>
          <w:sz w:val="15"/>
          <w:szCs w:val="15"/>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0" w:lineRule="exact"/>
        <w:rPr>
          <w:sz w:val="20"/>
          <w:szCs w:val="20"/>
          <w:color w:val="auto"/>
        </w:rPr>
      </w:pPr>
    </w:p>
    <w:p>
      <w:pPr>
        <w:ind w:right="340" w:firstLine="917"/>
        <w:spacing w:after="0" w:line="274"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63"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9" w:lineRule="exact"/>
        <w:rPr>
          <w:sz w:val="20"/>
          <w:szCs w:val="20"/>
          <w:color w:val="auto"/>
        </w:rPr>
      </w:pPr>
    </w:p>
    <w:p>
      <w:pPr>
        <w:jc w:val="both"/>
        <w:ind w:right="100" w:firstLine="917"/>
        <w:spacing w:after="0" w:line="313" w:lineRule="auto"/>
        <w:rPr>
          <w:sz w:val="20"/>
          <w:szCs w:val="20"/>
          <w:color w:val="auto"/>
        </w:rPr>
      </w:pPr>
      <w:r>
        <w:rPr>
          <w:rFonts w:ascii="Arial" w:cs="Arial" w:eastAsia="Arial" w:hAnsi="Arial"/>
          <w:sz w:val="15"/>
          <w:szCs w:val="15"/>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w:t>
      </w:r>
    </w:p>
    <w:p>
      <w:pPr>
        <w:spacing w:after="0" w:line="38" w:lineRule="exact"/>
        <w:rPr>
          <w:sz w:val="20"/>
          <w:szCs w:val="20"/>
          <w:color w:val="auto"/>
        </w:rPr>
      </w:pPr>
    </w:p>
    <w:p>
      <w:pPr>
        <w:jc w:val="both"/>
        <w:ind w:right="160" w:firstLine="917"/>
        <w:spacing w:after="0" w:line="262" w:lineRule="auto"/>
        <w:rPr>
          <w:sz w:val="20"/>
          <w:szCs w:val="20"/>
          <w:color w:val="auto"/>
        </w:rPr>
      </w:pPr>
      <w:r>
        <w:rPr>
          <w:rFonts w:ascii="Arial" w:cs="Arial" w:eastAsia="Arial" w:hAnsi="Arial"/>
          <w:sz w:val="17"/>
          <w:szCs w:val="17"/>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6" w:name="page57"/>
    <w:bookmarkEnd w:id="56"/>
    <w:p>
      <w:pPr>
        <w:ind w:firstLine="917"/>
        <w:spacing w:after="0" w:line="293" w:lineRule="auto"/>
        <w:rPr>
          <w:sz w:val="20"/>
          <w:szCs w:val="20"/>
          <w:color w:val="auto"/>
        </w:rPr>
      </w:pPr>
      <w:r>
        <w:rPr>
          <w:rFonts w:ascii="Arial" w:cs="Arial" w:eastAsia="Arial" w:hAnsi="Arial"/>
          <w:sz w:val="15"/>
          <w:szCs w:val="15"/>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54" w:lineRule="exact"/>
        <w:rPr>
          <w:sz w:val="20"/>
          <w:szCs w:val="20"/>
          <w:color w:val="auto"/>
        </w:rPr>
      </w:pPr>
    </w:p>
    <w:p>
      <w:pPr>
        <w:ind w:right="80" w:firstLine="917"/>
        <w:spacing w:after="0" w:line="25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6" w:lineRule="exact"/>
        <w:rPr>
          <w:sz w:val="20"/>
          <w:szCs w:val="20"/>
          <w:color w:val="auto"/>
        </w:rPr>
      </w:pPr>
    </w:p>
    <w:p>
      <w:pPr>
        <w:ind w:right="120" w:firstLine="917"/>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Any patents covering our product candidates could be found invalid or unenforceable if challenged in court or the USPTO (or foreign patent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offices).</w:t>
      </w:r>
    </w:p>
    <w:p>
      <w:pPr>
        <w:spacing w:after="0" w:line="99" w:lineRule="exact"/>
        <w:rPr>
          <w:sz w:val="20"/>
          <w:szCs w:val="20"/>
          <w:color w:val="auto"/>
        </w:rPr>
      </w:pPr>
    </w:p>
    <w:p>
      <w:pPr>
        <w:ind w:right="40" w:firstLine="917"/>
        <w:spacing w:after="0" w:line="269"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5" w:lineRule="exact"/>
        <w:rPr>
          <w:sz w:val="20"/>
          <w:szCs w:val="20"/>
          <w:color w:val="auto"/>
        </w:rPr>
      </w:pPr>
    </w:p>
    <w:p>
      <w:pPr>
        <w:ind w:right="40" w:firstLine="917"/>
        <w:spacing w:after="0" w:line="298" w:lineRule="auto"/>
        <w:rPr>
          <w:sz w:val="20"/>
          <w:szCs w:val="20"/>
          <w:color w:val="auto"/>
        </w:rPr>
      </w:pPr>
      <w:r>
        <w:rPr>
          <w:rFonts w:ascii="Arial" w:cs="Arial" w:eastAsia="Arial" w:hAnsi="Arial"/>
          <w:sz w:val="15"/>
          <w:szCs w:val="15"/>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2043, without taking into account any possible patent term adjustments or extensions. However, we cannot be assured that the USPTO, EPO or other relevant foreign patent offices will grant any of these patent applications.</w:t>
      </w:r>
    </w:p>
    <w:p>
      <w:pPr>
        <w:spacing w:after="0" w:line="50" w:lineRule="exact"/>
        <w:rPr>
          <w:sz w:val="20"/>
          <w:szCs w:val="20"/>
          <w:color w:val="auto"/>
        </w:rPr>
      </w:pPr>
    </w:p>
    <w:p>
      <w:pPr>
        <w:ind w:right="500" w:firstLine="917"/>
        <w:spacing w:after="0" w:line="274" w:lineRule="auto"/>
        <w:rPr>
          <w:sz w:val="20"/>
          <w:szCs w:val="20"/>
          <w:color w:val="auto"/>
        </w:rPr>
      </w:pPr>
      <w:r>
        <w:rPr>
          <w:rFonts w:ascii="Arial" w:cs="Arial" w:eastAsia="Arial" w:hAnsi="Arial"/>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63" w:lineRule="exact"/>
        <w:rPr>
          <w:sz w:val="20"/>
          <w:szCs w:val="20"/>
          <w:color w:val="auto"/>
        </w:rPr>
      </w:pPr>
    </w:p>
    <w:p>
      <w:pPr>
        <w:ind w:right="360" w:firstLine="917"/>
        <w:spacing w:after="0" w:line="274"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on or after March 16,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73" w:lineRule="exact"/>
        <w:rPr>
          <w:sz w:val="20"/>
          <w:szCs w:val="20"/>
          <w:color w:val="auto"/>
        </w:rPr>
      </w:pPr>
    </w:p>
    <w:p>
      <w:pPr>
        <w:ind w:right="40" w:firstLine="917"/>
        <w:spacing w:after="0" w:line="270"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69" w:lineRule="exact"/>
        <w:rPr>
          <w:sz w:val="20"/>
          <w:szCs w:val="20"/>
          <w:color w:val="auto"/>
        </w:rPr>
      </w:pPr>
    </w:p>
    <w:p>
      <w:pPr>
        <w:ind w:right="60" w:firstLine="917"/>
        <w:spacing w:after="0" w:line="298" w:lineRule="auto"/>
        <w:rPr>
          <w:sz w:val="20"/>
          <w:szCs w:val="20"/>
          <w:color w:val="auto"/>
        </w:rPr>
      </w:pPr>
      <w:r>
        <w:rPr>
          <w:rFonts w:ascii="Arial" w:cs="Arial" w:eastAsia="Arial" w:hAnsi="Arial"/>
          <w:sz w:val="15"/>
          <w:szCs w:val="15"/>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We have limited foreign intellectual property rights and may not be able to protect our intellectual property rights throughout the world.</w:t>
      </w:r>
    </w:p>
    <w:p>
      <w:pPr>
        <w:spacing w:after="0" w:line="133"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5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58" w:name="page59"/>
    <w:bookmarkEnd w:id="58"/>
    <w:p>
      <w:pPr>
        <w:ind w:left="9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right="40" w:firstLine="917"/>
        <w:spacing w:after="0" w:line="27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9"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At the EU level, the Court of Justice of the European Union (CJEU) has recently narrowed the availability of patent term extension for second medical use therefore affecting the scope of patent protection available.</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If we do not obtain patent term extension and data exclusivity for any product candidates we may develop, our business may be materially harmed.</w:t>
      </w:r>
    </w:p>
    <w:p>
      <w:pPr>
        <w:spacing w:after="0" w:line="145"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could be curtailed in future years.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w:t>
      </w:r>
    </w:p>
    <w:p>
      <w:pPr>
        <w:spacing w:after="0" w:line="72"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20" w:firstLine="917"/>
        <w:spacing w:after="0" w:line="258"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0" w:lineRule="exact"/>
        <w:rPr>
          <w:sz w:val="20"/>
          <w:szCs w:val="20"/>
          <w:color w:val="auto"/>
        </w:rPr>
      </w:pPr>
    </w:p>
    <w:p>
      <w:pPr>
        <w:ind w:right="500" w:firstLine="409"/>
        <w:spacing w:after="0" w:line="24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3" w:lineRule="exact"/>
        <w:rPr>
          <w:sz w:val="20"/>
          <w:szCs w:val="20"/>
          <w:color w:val="auto"/>
        </w:rPr>
      </w:pPr>
    </w:p>
    <w:p>
      <w:pPr>
        <w:ind w:left="2140" w:right="140" w:hanging="1062"/>
        <w:spacing w:after="0" w:line="236" w:lineRule="auto"/>
        <w:tabs>
          <w:tab w:leader="none" w:pos="2135" w:val="left"/>
        </w:tabs>
        <w:numPr>
          <w:ilvl w:val="0"/>
          <w:numId w:val="40"/>
        </w:numPr>
        <w:rPr>
          <w:rFonts w:ascii="Arial" w:cs="Arial" w:eastAsia="Arial" w:hAnsi="Arial"/>
          <w:sz w:val="20"/>
          <w:szCs w:val="20"/>
          <w:color w:val="auto"/>
        </w:rPr>
      </w:pPr>
      <w:r>
        <w:rPr>
          <w:rFonts w:ascii="Arial" w:cs="Arial" w:eastAsia="Arial" w:hAnsi="Arial"/>
          <w:sz w:val="17"/>
          <w:szCs w:val="17"/>
          <w:color w:val="auto"/>
        </w:rPr>
        <w:t>others may be able to make drug candidates that are similar to ours but that are not covered by the claims of the patents that we own or have exclusively licensed;</w:t>
      </w:r>
    </w:p>
    <w:p>
      <w:pPr>
        <w:spacing w:after="0" w:line="91" w:lineRule="exact"/>
        <w:rPr>
          <w:rFonts w:ascii="Arial" w:cs="Arial" w:eastAsia="Arial" w:hAnsi="Arial"/>
          <w:sz w:val="20"/>
          <w:szCs w:val="20"/>
          <w:color w:val="auto"/>
        </w:rPr>
      </w:pPr>
    </w:p>
    <w:p>
      <w:pPr>
        <w:ind w:left="2140" w:right="520" w:hanging="1062"/>
        <w:spacing w:after="0" w:line="274" w:lineRule="auto"/>
        <w:tabs>
          <w:tab w:leader="none" w:pos="2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make the inventions covered by the issued patent or pending patent application that we own or have exclusively licensed;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or our licensors or future collaborators might not have been the first to file patent applications covering certain of our inventions;</w:t>
      </w:r>
    </w:p>
    <w:p>
      <w:pPr>
        <w:spacing w:after="0" w:line="133" w:lineRule="exact"/>
        <w:rPr>
          <w:rFonts w:ascii="Arial" w:cs="Arial" w:eastAsia="Arial" w:hAnsi="Arial"/>
          <w:sz w:val="15"/>
          <w:szCs w:val="15"/>
          <w:color w:val="auto"/>
        </w:rPr>
      </w:pPr>
    </w:p>
    <w:p>
      <w:pPr>
        <w:ind w:left="2140" w:right="360" w:hanging="1062"/>
        <w:spacing w:after="0" w:line="274" w:lineRule="auto"/>
        <w:tabs>
          <w:tab w:leader="none" w:pos="2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9" w:name="page60"/>
    <w:bookmarkEnd w:id="59"/>
    <w:p>
      <w:pPr>
        <w:ind w:left="2140" w:right="14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be held invalid or unenforceable, as a result of legal challenges by our competitors;</w:t>
      </w:r>
    </w:p>
    <w:p>
      <w:pPr>
        <w:spacing w:after="0" w:line="63" w:lineRule="exact"/>
        <w:rPr>
          <w:rFonts w:ascii="Arial" w:cs="Arial" w:eastAsia="Arial" w:hAnsi="Arial"/>
          <w:sz w:val="17"/>
          <w:szCs w:val="17"/>
          <w:color w:val="auto"/>
        </w:rPr>
      </w:pPr>
    </w:p>
    <w:p>
      <w:pPr>
        <w:ind w:left="2140" w:right="100" w:hanging="1062"/>
        <w:spacing w:after="0" w:line="306" w:lineRule="auto"/>
        <w:tabs>
          <w:tab w:leader="none" w:pos="21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0" w:lineRule="exact"/>
        <w:rPr>
          <w:rFonts w:ascii="Arial" w:cs="Arial" w:eastAsia="Arial" w:hAnsi="Arial"/>
          <w:sz w:val="17"/>
          <w:szCs w:val="17"/>
          <w:color w:val="auto"/>
        </w:rPr>
      </w:pPr>
    </w:p>
    <w:p>
      <w:pPr>
        <w:ind w:left="2140" w:right="120" w:hanging="1062"/>
        <w:spacing w:after="0" w:line="262"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72"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claims of any patent issuing based on our patent applications may not provide protection against competitors or any competitive advantages, or may be challenged by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enforced, a court may not hold that our patents are valid, enforceable and/or infringed;</w:t>
      </w:r>
    </w:p>
    <w:p>
      <w:pPr>
        <w:spacing w:after="0" w:line="110" w:lineRule="exact"/>
        <w:rPr>
          <w:rFonts w:ascii="Arial" w:cs="Arial" w:eastAsia="Arial" w:hAnsi="Arial"/>
          <w:sz w:val="17"/>
          <w:szCs w:val="17"/>
          <w:color w:val="auto"/>
        </w:rPr>
      </w:pPr>
    </w:p>
    <w:p>
      <w:pPr>
        <w:ind w:left="2140" w:right="48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may need to initiate litigation or administrative proceedings to enforce and/or defend our patent rights which will be costly whether we win or lose;</w:t>
      </w:r>
    </w:p>
    <w:p>
      <w:pPr>
        <w:spacing w:after="0" w:line="63" w:lineRule="exact"/>
        <w:rPr>
          <w:rFonts w:ascii="Arial" w:cs="Arial" w:eastAsia="Arial" w:hAnsi="Arial"/>
          <w:sz w:val="17"/>
          <w:szCs w:val="17"/>
          <w:color w:val="auto"/>
        </w:rPr>
      </w:pPr>
    </w:p>
    <w:p>
      <w:pPr>
        <w:ind w:left="2140" w:right="66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third-party may subsequently file a patent application covering such intellectual property;</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may fail to adequately protect and police our trademarks and trade secrets;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parties may independently develop the technology covered by our trade secrets; and</w:t>
      </w:r>
    </w:p>
    <w:p>
      <w:pPr>
        <w:spacing w:after="0" w:line="110" w:lineRule="exact"/>
        <w:rPr>
          <w:rFonts w:ascii="Arial" w:cs="Arial" w:eastAsia="Arial" w:hAnsi="Arial"/>
          <w:sz w:val="17"/>
          <w:szCs w:val="17"/>
          <w:color w:val="auto"/>
        </w:rPr>
      </w:pPr>
    </w:p>
    <w:p>
      <w:pPr>
        <w:ind w:left="2140" w:right="6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14" w:lineRule="exact"/>
        <w:rPr>
          <w:sz w:val="20"/>
          <w:szCs w:val="20"/>
          <w:color w:val="auto"/>
        </w:rPr>
      </w:pPr>
    </w:p>
    <w:p>
      <w:pPr>
        <w:ind w:right="240" w:firstLine="917"/>
        <w:spacing w:after="0" w:line="303" w:lineRule="auto"/>
        <w:rPr>
          <w:sz w:val="20"/>
          <w:szCs w:val="20"/>
          <w:color w:val="auto"/>
        </w:rPr>
      </w:pPr>
      <w:r>
        <w:rPr>
          <w:rFonts w:ascii="Arial" w:cs="Arial" w:eastAsia="Arial" w:hAnsi="Arial"/>
          <w:sz w:val="15"/>
          <w:szCs w:val="15"/>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6"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have subsequently earned $29.0 million of the $416.0 million developmental, regulatory and commercial milestones under the arrangement. Pursuant to the Novartis Agreement, we expect to receive research and development funding totaling up to $20.0 million for PLN-1474 development services and funding of up to $16.8 million for optional research and development services on the integrin research targets. Additionally, we are eligible to receive tiered royalties, on a product-by-product basis based on annual net sales of products, at percentages ranging from high-single digits to low teens of the applicable licensed products and mid-single digits to high-single digits for any products resulting from the research programs.</w:t>
      </w:r>
    </w:p>
    <w:p>
      <w:pPr>
        <w:spacing w:after="0" w:line="54" w:lineRule="exact"/>
        <w:rPr>
          <w:sz w:val="20"/>
          <w:szCs w:val="20"/>
          <w:color w:val="auto"/>
        </w:rPr>
      </w:pPr>
    </w:p>
    <w:p>
      <w:pPr>
        <w:ind w:right="40" w:firstLine="917"/>
        <w:spacing w:after="0" w:line="303" w:lineRule="auto"/>
        <w:rPr>
          <w:sz w:val="20"/>
          <w:szCs w:val="20"/>
          <w:color w:val="auto"/>
        </w:rPr>
      </w:pPr>
      <w:r>
        <w:rPr>
          <w:rFonts w:ascii="Arial" w:cs="Arial" w:eastAsia="Arial" w:hAnsi="Arial"/>
          <w:sz w:val="15"/>
          <w:szCs w:val="15"/>
          <w:color w:val="auto"/>
        </w:rPr>
        <w:t>The IND application candidate was transferred to Novartis in the first quarter of 2021, and Novartis is responsible for all PLN-1474 development, manufacturing, and commercialization activities after the initial development period.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46" w:lineRule="exact"/>
        <w:rPr>
          <w:sz w:val="20"/>
          <w:szCs w:val="20"/>
          <w:color w:val="auto"/>
        </w:rPr>
      </w:pPr>
    </w:p>
    <w:p>
      <w:pPr>
        <w:ind w:right="20" w:firstLine="917"/>
        <w:spacing w:after="0" w:line="262" w:lineRule="auto"/>
        <w:rPr>
          <w:sz w:val="20"/>
          <w:szCs w:val="20"/>
          <w:color w:val="auto"/>
        </w:rPr>
      </w:pPr>
      <w:r>
        <w:rPr>
          <w:rFonts w:ascii="Arial" w:cs="Arial" w:eastAsia="Arial" w:hAnsi="Arial"/>
          <w:sz w:val="17"/>
          <w:szCs w:val="17"/>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0" w:name="page61"/>
    <w:bookmarkEnd w:id="60"/>
    <w:p>
      <w:pPr>
        <w:ind w:right="340"/>
        <w:spacing w:after="0" w:line="274" w:lineRule="auto"/>
        <w:rPr>
          <w:sz w:val="20"/>
          <w:szCs w:val="20"/>
          <w:color w:val="auto"/>
        </w:rPr>
      </w:pPr>
      <w:r>
        <w:rPr>
          <w:rFonts w:ascii="Arial" w:cs="Arial" w:eastAsia="Arial" w:hAnsi="Arial"/>
          <w:sz w:val="17"/>
          <w:szCs w:val="17"/>
          <w:color w:val="auto"/>
        </w:rPr>
        <w:t>candidates altogether, any of which could result in a change to our business plan and a material and adverse effect on our business, financial condition, results of operations and prospects.</w:t>
      </w:r>
    </w:p>
    <w:p>
      <w:pPr>
        <w:spacing w:after="0" w:line="63"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3"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7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60"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3"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70" w:lineRule="exact"/>
        <w:rPr>
          <w:sz w:val="20"/>
          <w:szCs w:val="20"/>
          <w:color w:val="auto"/>
        </w:rPr>
      </w:pPr>
    </w:p>
    <w:p>
      <w:pPr>
        <w:ind w:right="300" w:firstLine="917"/>
        <w:spacing w:after="0" w:line="274" w:lineRule="auto"/>
        <w:rPr>
          <w:sz w:val="20"/>
          <w:szCs w:val="20"/>
          <w:color w:val="auto"/>
        </w:rPr>
      </w:pPr>
      <w:r>
        <w:rPr>
          <w:rFonts w:ascii="Arial" w:cs="Arial" w:eastAsia="Arial" w:hAnsi="Arial"/>
          <w:sz w:val="17"/>
          <w:szCs w:val="17"/>
          <w:color w:val="auto"/>
        </w:rPr>
        <w:t>If any of our relationships with these third-party CROs or others terminate, we may not be able to enter into arrangements with alternative CROs or other third parties or to do so on commercially reasonable terms.</w:t>
      </w:r>
    </w:p>
    <w:p>
      <w:pPr>
        <w:spacing w:after="0" w:line="63" w:lineRule="exact"/>
        <w:rPr>
          <w:sz w:val="20"/>
          <w:szCs w:val="20"/>
          <w:color w:val="auto"/>
        </w:rPr>
      </w:pPr>
    </w:p>
    <w:p>
      <w:pPr>
        <w:ind w:right="40" w:firstLine="917"/>
        <w:spacing w:after="0" w:line="279"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61" w:lineRule="exact"/>
        <w:rPr>
          <w:sz w:val="20"/>
          <w:szCs w:val="20"/>
          <w:color w:val="auto"/>
        </w:rPr>
      </w:pPr>
    </w:p>
    <w:p>
      <w:pPr>
        <w:ind w:right="160" w:firstLine="917"/>
        <w:spacing w:after="0" w:line="274" w:lineRule="auto"/>
        <w:rPr>
          <w:sz w:val="20"/>
          <w:szCs w:val="20"/>
          <w:color w:val="auto"/>
        </w:rPr>
      </w:pPr>
      <w:r>
        <w:rPr>
          <w:rFonts w:ascii="Arial" w:cs="Arial" w:eastAsia="Arial" w:hAnsi="Arial"/>
          <w:sz w:val="17"/>
          <w:szCs w:val="17"/>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3" w:lineRule="exact"/>
        <w:rPr>
          <w:sz w:val="20"/>
          <w:szCs w:val="20"/>
          <w:color w:val="auto"/>
        </w:rPr>
      </w:pPr>
    </w:p>
    <w:p>
      <w:pPr>
        <w:ind w:right="60" w:firstLine="917"/>
        <w:spacing w:after="0" w:line="273" w:lineRule="auto"/>
        <w:rPr>
          <w:sz w:val="20"/>
          <w:szCs w:val="20"/>
          <w:color w:val="auto"/>
        </w:rPr>
      </w:pPr>
      <w:r>
        <w:rPr>
          <w:rFonts w:ascii="Arial" w:cs="Arial" w:eastAsia="Arial" w:hAnsi="Arial"/>
          <w:sz w:val="16"/>
          <w:szCs w:val="16"/>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1" w:name="page62"/>
    <w:bookmarkEnd w:id="61"/>
    <w:p>
      <w:pPr>
        <w:ind w:right="140"/>
        <w:spacing w:after="0" w:line="274" w:lineRule="auto"/>
        <w:rPr>
          <w:sz w:val="20"/>
          <w:szCs w:val="20"/>
          <w:color w:val="auto"/>
        </w:rPr>
      </w:pPr>
      <w:r>
        <w:rPr>
          <w:rFonts w:ascii="Arial" w:cs="Arial" w:eastAsia="Arial" w:hAnsi="Arial"/>
          <w:sz w:val="17"/>
          <w:szCs w:val="17"/>
          <w:color w:val="auto"/>
        </w:rPr>
        <w:t>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63"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63"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manufacturers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69" w:lineRule="exact"/>
        <w:rPr>
          <w:sz w:val="20"/>
          <w:szCs w:val="20"/>
          <w:color w:val="auto"/>
        </w:rPr>
      </w:pPr>
    </w:p>
    <w:p>
      <w:pPr>
        <w:ind w:right="40" w:firstLine="917"/>
        <w:spacing w:after="0" w:line="289" w:lineRule="auto"/>
        <w:rPr>
          <w:sz w:val="20"/>
          <w:szCs w:val="20"/>
          <w:color w:val="auto"/>
        </w:rPr>
      </w:pPr>
      <w:r>
        <w:rPr>
          <w:rFonts w:ascii="Arial" w:cs="Arial" w:eastAsia="Arial" w:hAnsi="Arial"/>
          <w:sz w:val="15"/>
          <w:szCs w:val="15"/>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58" w:lineRule="exact"/>
        <w:rPr>
          <w:sz w:val="20"/>
          <w:szCs w:val="20"/>
          <w:color w:val="auto"/>
        </w:rPr>
      </w:pPr>
    </w:p>
    <w:p>
      <w:pPr>
        <w:ind w:right="60" w:firstLine="917"/>
        <w:spacing w:after="0" w:line="255"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02" w:lineRule="exact"/>
        <w:rPr>
          <w:sz w:val="20"/>
          <w:szCs w:val="20"/>
          <w:color w:val="auto"/>
        </w:rPr>
      </w:pPr>
    </w:p>
    <w:p>
      <w:pPr>
        <w:ind w:left="2140" w:hanging="1062"/>
        <w:spacing w:after="0"/>
        <w:tabs>
          <w:tab w:leader="none" w:pos="2140" w:val="left"/>
        </w:tabs>
        <w:numPr>
          <w:ilvl w:val="0"/>
          <w:numId w:val="42"/>
        </w:numPr>
        <w:rPr>
          <w:rFonts w:ascii="Arial" w:cs="Arial" w:eastAsia="Arial" w:hAnsi="Arial"/>
          <w:sz w:val="20"/>
          <w:szCs w:val="20"/>
          <w:color w:val="auto"/>
        </w:rPr>
      </w:pPr>
      <w:r>
        <w:rPr>
          <w:rFonts w:ascii="Arial" w:cs="Arial" w:eastAsia="Arial" w:hAnsi="Arial"/>
          <w:sz w:val="17"/>
          <w:szCs w:val="17"/>
          <w:color w:val="auto"/>
        </w:rPr>
        <w:t>an inability to initiate or continue clinical trials of product candidates under development;</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loss of the cooperation of an existing or future collaborator;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subjecting third-party manufacturing facilities or our manufacturing facilities to additional inspections by regulatory authorities;</w:t>
      </w:r>
    </w:p>
    <w:p>
      <w:pPr>
        <w:spacing w:after="0" w:line="121" w:lineRule="exact"/>
        <w:rPr>
          <w:rFonts w:ascii="Arial" w:cs="Arial" w:eastAsia="Arial" w:hAnsi="Arial"/>
          <w:sz w:val="16"/>
          <w:szCs w:val="16"/>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the event of approval to market and commercialize a product candidate, an inability to meet commercial demands for our products.</w:t>
      </w:r>
    </w:p>
    <w:p>
      <w:pPr>
        <w:spacing w:after="0" w:line="133" w:lineRule="exact"/>
        <w:rPr>
          <w:sz w:val="20"/>
          <w:szCs w:val="20"/>
          <w:color w:val="auto"/>
        </w:rPr>
      </w:pPr>
    </w:p>
    <w:p>
      <w:pPr>
        <w:ind w:right="120" w:firstLine="917"/>
        <w:spacing w:after="0" w:line="279" w:lineRule="auto"/>
        <w:rPr>
          <w:sz w:val="20"/>
          <w:szCs w:val="20"/>
          <w:color w:val="auto"/>
        </w:rPr>
      </w:pPr>
      <w:r>
        <w:rPr>
          <w:rFonts w:ascii="Arial" w:cs="Arial" w:eastAsia="Arial" w:hAnsi="Arial"/>
          <w:sz w:val="16"/>
          <w:szCs w:val="16"/>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2" w:name="page63"/>
    <w:bookmarkEnd w:id="62"/>
    <w:p>
      <w:pPr>
        <w:ind w:right="40"/>
        <w:spacing w:after="0" w:line="274" w:lineRule="auto"/>
        <w:rPr>
          <w:sz w:val="20"/>
          <w:szCs w:val="20"/>
          <w:color w:val="auto"/>
        </w:rPr>
      </w:pPr>
      <w:r>
        <w:rPr>
          <w:rFonts w:ascii="Arial" w:cs="Arial" w:eastAsia="Arial" w:hAnsi="Arial"/>
          <w:sz w:val="17"/>
          <w:szCs w:val="17"/>
          <w:color w:val="auto"/>
        </w:rPr>
        <w:t>any of these suppliers breach their contracts with us, our legal remedies associated with such a breach may be insufficient to compensate us for any damages we may suffer.</w:t>
      </w:r>
    </w:p>
    <w:p>
      <w:pPr>
        <w:spacing w:after="0" w:line="63"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80"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63" w:lineRule="exact"/>
        <w:rPr>
          <w:sz w:val="20"/>
          <w:szCs w:val="20"/>
          <w:color w:val="auto"/>
        </w:rPr>
      </w:pPr>
    </w:p>
    <w:p>
      <w:pPr>
        <w:ind w:right="140" w:firstLine="917"/>
        <w:spacing w:after="0" w:line="258" w:lineRule="auto"/>
        <w:rPr>
          <w:sz w:val="20"/>
          <w:szCs w:val="20"/>
          <w:color w:val="auto"/>
        </w:rPr>
      </w:pPr>
      <w:r>
        <w:rPr>
          <w:rFonts w:ascii="Arial" w:cs="Arial" w:eastAsia="Arial" w:hAnsi="Arial"/>
          <w:sz w:val="17"/>
          <w:szCs w:val="17"/>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existing collaborations and any future collaborations we enter into may pose a number of risks, including the following:</w:t>
      </w:r>
    </w:p>
    <w:p>
      <w:pPr>
        <w:spacing w:after="0" w:line="134" w:lineRule="exact"/>
        <w:rPr>
          <w:sz w:val="20"/>
          <w:szCs w:val="20"/>
          <w:color w:val="auto"/>
        </w:rPr>
      </w:pPr>
    </w:p>
    <w:p>
      <w:pPr>
        <w:ind w:left="2140" w:hanging="1062"/>
        <w:spacing w:after="0"/>
        <w:tabs>
          <w:tab w:leader="none" w:pos="2140" w:val="left"/>
        </w:tabs>
        <w:numPr>
          <w:ilvl w:val="0"/>
          <w:numId w:val="43"/>
        </w:numPr>
        <w:rPr>
          <w:rFonts w:ascii="Arial" w:cs="Arial" w:eastAsia="Arial" w:hAnsi="Arial"/>
          <w:sz w:val="20"/>
          <w:szCs w:val="20"/>
          <w:color w:val="auto"/>
        </w:rPr>
      </w:pPr>
      <w:r>
        <w:rPr>
          <w:rFonts w:ascii="Arial" w:cs="Arial" w:eastAsia="Arial" w:hAnsi="Arial"/>
          <w:sz w:val="17"/>
          <w:szCs w:val="17"/>
          <w:color w:val="auto"/>
        </w:rPr>
        <w:t>collaborators have significant discretion in determining the efforts and resources that they will apply;</w:t>
      </w:r>
    </w:p>
    <w:p>
      <w:pPr>
        <w:spacing w:after="0" w:line="114" w:lineRule="exact"/>
        <w:rPr>
          <w:sz w:val="20"/>
          <w:szCs w:val="20"/>
          <w:color w:val="auto"/>
        </w:rPr>
      </w:pPr>
    </w:p>
    <w:p>
      <w:pPr>
        <w:ind w:left="2140" w:hanging="1062"/>
        <w:spacing w:after="0"/>
        <w:tabs>
          <w:tab w:leader="none" w:pos="2140" w:val="left"/>
        </w:tabs>
        <w:numPr>
          <w:ilvl w:val="0"/>
          <w:numId w:val="44"/>
        </w:numPr>
        <w:rPr>
          <w:rFonts w:ascii="Arial" w:cs="Arial" w:eastAsia="Arial" w:hAnsi="Arial"/>
          <w:sz w:val="20"/>
          <w:szCs w:val="20"/>
          <w:color w:val="auto"/>
        </w:rPr>
      </w:pPr>
      <w:r>
        <w:rPr>
          <w:rFonts w:ascii="Arial" w:cs="Arial" w:eastAsia="Arial" w:hAnsi="Arial"/>
          <w:sz w:val="17"/>
          <w:szCs w:val="17"/>
          <w:color w:val="auto"/>
        </w:rPr>
        <w:t>collaborators may not perform their obligations as expected;</w:t>
      </w:r>
    </w:p>
    <w:p>
      <w:pPr>
        <w:spacing w:after="0" w:line="129" w:lineRule="exact"/>
        <w:rPr>
          <w:sz w:val="20"/>
          <w:szCs w:val="20"/>
          <w:color w:val="auto"/>
        </w:rPr>
      </w:pPr>
    </w:p>
    <w:p>
      <w:pPr>
        <w:ind w:left="2140" w:right="60" w:hanging="1062"/>
        <w:spacing w:after="0" w:line="243" w:lineRule="auto"/>
        <w:tabs>
          <w:tab w:leader="none" w:pos="2135" w:val="left"/>
        </w:tabs>
        <w:numPr>
          <w:ilvl w:val="0"/>
          <w:numId w:val="45"/>
        </w:numPr>
        <w:rPr>
          <w:rFonts w:ascii="Arial" w:cs="Arial" w:eastAsia="Arial" w:hAnsi="Arial"/>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28" w:lineRule="exact"/>
        <w:rPr>
          <w:sz w:val="20"/>
          <w:szCs w:val="20"/>
          <w:color w:val="auto"/>
        </w:rPr>
      </w:pPr>
    </w:p>
    <w:p>
      <w:pPr>
        <w:jc w:val="both"/>
        <w:ind w:left="2140" w:right="460" w:hanging="1062"/>
        <w:spacing w:after="0" w:line="294" w:lineRule="auto"/>
        <w:tabs>
          <w:tab w:leader="none" w:pos="2135" w:val="left"/>
        </w:tabs>
        <w:numPr>
          <w:ilvl w:val="0"/>
          <w:numId w:val="46"/>
        </w:numPr>
        <w:rPr>
          <w:rFonts w:ascii="Arial" w:cs="Arial" w:eastAsia="Arial" w:hAnsi="Arial"/>
          <w:sz w:val="18"/>
          <w:szCs w:val="18"/>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3" w:lineRule="exact"/>
        <w:rPr>
          <w:sz w:val="20"/>
          <w:szCs w:val="20"/>
          <w:color w:val="auto"/>
        </w:rPr>
      </w:pPr>
    </w:p>
    <w:p>
      <w:pPr>
        <w:ind w:left="2140" w:right="560" w:hanging="1062"/>
        <w:spacing w:after="0" w:line="261" w:lineRule="auto"/>
        <w:tabs>
          <w:tab w:leader="none" w:pos="2135" w:val="left"/>
        </w:tabs>
        <w:numPr>
          <w:ilvl w:val="0"/>
          <w:numId w:val="47"/>
        </w:numPr>
        <w:rPr>
          <w:rFonts w:ascii="Arial" w:cs="Arial" w:eastAsia="Arial" w:hAnsi="Arial"/>
          <w:sz w:val="19"/>
          <w:szCs w:val="19"/>
          <w:color w:val="auto"/>
        </w:rPr>
      </w:pPr>
      <w:r>
        <w:rPr>
          <w:rFonts w:ascii="Arial" w:cs="Arial" w:eastAsia="Arial" w:hAnsi="Arial"/>
          <w:sz w:val="16"/>
          <w:szCs w:val="16"/>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14" w:lineRule="exact"/>
        <w:rPr>
          <w:sz w:val="20"/>
          <w:szCs w:val="20"/>
          <w:color w:val="auto"/>
        </w:rPr>
      </w:pPr>
    </w:p>
    <w:p>
      <w:pPr>
        <w:ind w:left="2140" w:right="300" w:hanging="1062"/>
        <w:spacing w:after="0" w:line="241" w:lineRule="auto"/>
        <w:tabs>
          <w:tab w:leader="none" w:pos="2135" w:val="left"/>
        </w:tabs>
        <w:numPr>
          <w:ilvl w:val="0"/>
          <w:numId w:val="48"/>
        </w:numPr>
        <w:rPr>
          <w:rFonts w:ascii="Arial" w:cs="Arial" w:eastAsia="Arial" w:hAnsi="Arial"/>
          <w:sz w:val="20"/>
          <w:szCs w:val="20"/>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28" w:lineRule="exact"/>
        <w:rPr>
          <w:sz w:val="20"/>
          <w:szCs w:val="20"/>
          <w:color w:val="auto"/>
        </w:rPr>
      </w:pPr>
    </w:p>
    <w:p>
      <w:pPr>
        <w:ind w:left="2140" w:right="280" w:hanging="1062"/>
        <w:spacing w:after="0" w:line="236" w:lineRule="auto"/>
        <w:tabs>
          <w:tab w:leader="none" w:pos="2135" w:val="left"/>
        </w:tabs>
        <w:numPr>
          <w:ilvl w:val="0"/>
          <w:numId w:val="49"/>
        </w:numPr>
        <w:rPr>
          <w:rFonts w:ascii="Arial" w:cs="Arial" w:eastAsia="Arial" w:hAnsi="Arial"/>
          <w:sz w:val="20"/>
          <w:szCs w:val="20"/>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spacing w:after="0" w:line="129" w:lineRule="exact"/>
        <w:rPr>
          <w:sz w:val="20"/>
          <w:szCs w:val="20"/>
          <w:color w:val="auto"/>
        </w:rPr>
      </w:pPr>
    </w:p>
    <w:p>
      <w:pPr>
        <w:ind w:left="2140" w:right="220" w:hanging="1062"/>
        <w:spacing w:after="0" w:line="236" w:lineRule="auto"/>
        <w:tabs>
          <w:tab w:leader="none" w:pos="2135" w:val="left"/>
        </w:tabs>
        <w:numPr>
          <w:ilvl w:val="0"/>
          <w:numId w:val="50"/>
        </w:numPr>
        <w:rPr>
          <w:rFonts w:ascii="Arial" w:cs="Arial" w:eastAsia="Arial" w:hAnsi="Arial"/>
          <w:sz w:val="20"/>
          <w:szCs w:val="20"/>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sz w:val="20"/>
          <w:szCs w:val="20"/>
          <w:color w:val="auto"/>
        </w:rPr>
      </w:pPr>
    </w:p>
    <w:p>
      <w:pPr>
        <w:ind w:left="2140" w:right="80" w:hanging="1062"/>
        <w:spacing w:after="0" w:line="241" w:lineRule="auto"/>
        <w:tabs>
          <w:tab w:leader="none" w:pos="2135" w:val="left"/>
        </w:tabs>
        <w:numPr>
          <w:ilvl w:val="0"/>
          <w:numId w:val="51"/>
        </w:numPr>
        <w:rPr>
          <w:rFonts w:ascii="Arial" w:cs="Arial" w:eastAsia="Arial" w:hAnsi="Arial"/>
          <w:sz w:val="20"/>
          <w:szCs w:val="20"/>
          <w:color w:val="auto"/>
        </w:rPr>
      </w:pPr>
      <w:r>
        <w:rPr>
          <w:rFonts w:ascii="Arial" w:cs="Arial" w:eastAsia="Arial" w:hAnsi="Arial"/>
          <w:sz w:val="17"/>
          <w:szCs w:val="17"/>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3" w:name="page64"/>
    <w:bookmarkEnd w:id="63"/>
    <w:p>
      <w:pPr>
        <w:ind w:left="2140" w:right="140" w:hanging="1062"/>
        <w:spacing w:after="0" w:line="243" w:lineRule="auto"/>
        <w:tabs>
          <w:tab w:leader="none" w:pos="2135" w:val="left"/>
        </w:tabs>
        <w:numPr>
          <w:ilvl w:val="0"/>
          <w:numId w:val="52"/>
        </w:numPr>
        <w:rPr>
          <w:rFonts w:ascii="Arial" w:cs="Arial" w:eastAsia="Arial" w:hAnsi="Arial"/>
          <w:sz w:val="20"/>
          <w:szCs w:val="20"/>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28" w:lineRule="exact"/>
        <w:rPr>
          <w:sz w:val="20"/>
          <w:szCs w:val="20"/>
          <w:color w:val="auto"/>
        </w:rPr>
      </w:pPr>
    </w:p>
    <w:p>
      <w:pPr>
        <w:ind w:left="2140" w:right="160" w:hanging="1062"/>
        <w:spacing w:after="0" w:line="241" w:lineRule="auto"/>
        <w:tabs>
          <w:tab w:leader="none" w:pos="2135" w:val="left"/>
        </w:tabs>
        <w:numPr>
          <w:ilvl w:val="0"/>
          <w:numId w:val="53"/>
        </w:numPr>
        <w:rPr>
          <w:rFonts w:ascii="Arial" w:cs="Arial" w:eastAsia="Arial" w:hAnsi="Arial"/>
          <w:sz w:val="20"/>
          <w:szCs w:val="20"/>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25" w:lineRule="exact"/>
        <w:rPr>
          <w:sz w:val="20"/>
          <w:szCs w:val="20"/>
          <w:color w:val="auto"/>
        </w:rPr>
      </w:pPr>
    </w:p>
    <w:p>
      <w:pPr>
        <w:ind w:left="2140" w:hanging="1062"/>
        <w:spacing w:after="0"/>
        <w:tabs>
          <w:tab w:leader="none" w:pos="2140" w:val="left"/>
        </w:tabs>
        <w:numPr>
          <w:ilvl w:val="0"/>
          <w:numId w:val="54"/>
        </w:numPr>
        <w:rPr>
          <w:rFonts w:ascii="Arial" w:cs="Arial" w:eastAsia="Arial" w:hAnsi="Arial"/>
          <w:sz w:val="19"/>
          <w:szCs w:val="19"/>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129" w:lineRule="exact"/>
        <w:rPr>
          <w:sz w:val="20"/>
          <w:szCs w:val="20"/>
          <w:color w:val="auto"/>
        </w:rPr>
      </w:pPr>
    </w:p>
    <w:p>
      <w:pPr>
        <w:ind w:left="2140" w:right="120" w:hanging="1062"/>
        <w:spacing w:after="0" w:line="236" w:lineRule="auto"/>
        <w:tabs>
          <w:tab w:leader="none" w:pos="2135" w:val="left"/>
        </w:tabs>
        <w:numPr>
          <w:ilvl w:val="0"/>
          <w:numId w:val="55"/>
        </w:numPr>
        <w:rPr>
          <w:rFonts w:ascii="Arial" w:cs="Arial" w:eastAsia="Arial" w:hAnsi="Arial"/>
          <w:sz w:val="20"/>
          <w:szCs w:val="20"/>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129" w:lineRule="exact"/>
        <w:rPr>
          <w:sz w:val="20"/>
          <w:szCs w:val="20"/>
          <w:color w:val="auto"/>
        </w:rPr>
      </w:pPr>
    </w:p>
    <w:p>
      <w:pPr>
        <w:ind w:left="2140" w:right="240" w:hanging="1062"/>
        <w:spacing w:after="0" w:line="236" w:lineRule="auto"/>
        <w:tabs>
          <w:tab w:leader="none" w:pos="21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91" w:lineRule="exact"/>
        <w:rPr>
          <w:sz w:val="20"/>
          <w:szCs w:val="20"/>
          <w:color w:val="auto"/>
        </w:rPr>
      </w:pPr>
    </w:p>
    <w:p>
      <w:pPr>
        <w:ind w:right="40" w:firstLine="917"/>
        <w:spacing w:after="0" w:line="258" w:lineRule="auto"/>
        <w:rPr>
          <w:sz w:val="20"/>
          <w:szCs w:val="20"/>
          <w:color w:val="auto"/>
        </w:rPr>
      </w:pPr>
      <w:r>
        <w:rPr>
          <w:rFonts w:ascii="Arial" w:cs="Arial" w:eastAsia="Arial" w:hAnsi="Arial"/>
          <w:sz w:val="17"/>
          <w:szCs w:val="17"/>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76" w:lineRule="exact"/>
        <w:rPr>
          <w:sz w:val="20"/>
          <w:szCs w:val="20"/>
          <w:color w:val="auto"/>
        </w:rPr>
      </w:pPr>
    </w:p>
    <w:p>
      <w:pPr>
        <w:ind w:right="160" w:firstLine="917"/>
        <w:spacing w:after="0" w:line="274" w:lineRule="auto"/>
        <w:rPr>
          <w:sz w:val="20"/>
          <w:szCs w:val="20"/>
          <w:color w:val="auto"/>
        </w:rPr>
      </w:pPr>
      <w:r>
        <w:rPr>
          <w:rFonts w:ascii="Arial" w:cs="Arial" w:eastAsia="Arial" w:hAnsi="Arial"/>
          <w:sz w:val="17"/>
          <w:szCs w:val="17"/>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63" w:lineRule="exact"/>
        <w:rPr>
          <w:sz w:val="20"/>
          <w:szCs w:val="20"/>
          <w:color w:val="auto"/>
        </w:rPr>
      </w:pPr>
    </w:p>
    <w:p>
      <w:pPr>
        <w:ind w:firstLine="917"/>
        <w:spacing w:after="0" w:line="287" w:lineRule="auto"/>
        <w:rPr>
          <w:sz w:val="20"/>
          <w:szCs w:val="20"/>
          <w:color w:val="auto"/>
        </w:rPr>
      </w:pPr>
      <w:r>
        <w:rPr>
          <w:rFonts w:ascii="Arial" w:cs="Arial" w:eastAsia="Arial" w:hAnsi="Arial"/>
          <w:sz w:val="15"/>
          <w:szCs w:val="15"/>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59"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Our collaborators, prospective collaborators, and suppliers may need assurances that our financial resources and stability on a stand-alone basis are sufficient to satisfy their requirements for doing or continuing to do business with us.</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93" w:right="399" w:bottom="1440" w:gutter="0" w:footer="0" w:header="0"/>
        </w:sectPr>
      </w:pPr>
    </w:p>
    <w:bookmarkStart w:id="64" w:name="page65"/>
    <w:bookmarkEnd w:id="64"/>
    <w:p>
      <w:pPr>
        <w:ind w:firstLine="917"/>
        <w:spacing w:after="0" w:line="258" w:lineRule="auto"/>
        <w:rPr>
          <w:sz w:val="20"/>
          <w:szCs w:val="20"/>
          <w:color w:val="auto"/>
        </w:rPr>
      </w:pPr>
      <w:r>
        <w:rPr>
          <w:rFonts w:ascii="Arial" w:cs="Arial" w:eastAsia="Arial" w:hAnsi="Arial"/>
          <w:sz w:val="17"/>
          <w:szCs w:val="17"/>
          <w:color w:val="auto"/>
        </w:rPr>
        <w:t>Some of our collaborators, prospective collaborators, and suppliers may need assurances that our financial resources and stability on a stand-alone basis are sufficient to satisfy their requirements for doing or continuing to do business with us. If our collaborators, prospective collaborators or suppliers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Managing Our Business and Operations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The outbreak of the coronavirus disease, COVID-19, could adversely impact our business, including our preclinical studies and clinical trials.</w:t>
      </w:r>
    </w:p>
    <w:p>
      <w:pPr>
        <w:spacing w:after="0" w:line="133" w:lineRule="exact"/>
        <w:rPr>
          <w:sz w:val="20"/>
          <w:szCs w:val="20"/>
          <w:color w:val="auto"/>
        </w:rPr>
      </w:pPr>
    </w:p>
    <w:p>
      <w:pPr>
        <w:ind w:right="20" w:firstLine="917"/>
        <w:spacing w:after="0" w:line="253"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83" w:lineRule="exact"/>
        <w:rPr>
          <w:sz w:val="20"/>
          <w:szCs w:val="20"/>
          <w:color w:val="auto"/>
        </w:rPr>
      </w:pPr>
    </w:p>
    <w:p>
      <w:pPr>
        <w:jc w:val="both"/>
        <w:ind w:left="2140" w:right="120" w:hanging="1062"/>
        <w:spacing w:after="0" w:line="288" w:lineRule="auto"/>
        <w:tabs>
          <w:tab w:leader="none" w:pos="2136"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delays or difficulties in commencing enrollment of patients in our clinical trials, including our Phase 2a clinical trials of PLN-74809 in IPF and PSC and our Phase 1 clinical trial of PLN-1474. Following delays in site initiation due to the impacts of COVID-19, our Phase 2a trials of PLN-74809 in IPF completed enrollment and our Phase 2a trial in PSC has resumed active enrollment of patients.</w:t>
      </w:r>
    </w:p>
    <w:p>
      <w:pPr>
        <w:spacing w:after="0" w:line="1" w:lineRule="exact"/>
        <w:rPr>
          <w:rFonts w:ascii="Arial" w:cs="Arial" w:eastAsia="Arial" w:hAnsi="Arial"/>
          <w:sz w:val="15"/>
          <w:szCs w:val="15"/>
          <w:color w:val="auto"/>
        </w:rPr>
      </w:pPr>
    </w:p>
    <w:p>
      <w:pPr>
        <w:ind w:left="2140" w:right="40"/>
        <w:spacing w:after="0" w:line="255" w:lineRule="auto"/>
        <w:rPr>
          <w:rFonts w:ascii="Arial" w:cs="Arial" w:eastAsia="Arial" w:hAnsi="Arial"/>
          <w:sz w:val="15"/>
          <w:szCs w:val="15"/>
          <w:color w:val="auto"/>
        </w:rPr>
      </w:pPr>
      <w:r>
        <w:rPr>
          <w:rFonts w:ascii="Arial" w:cs="Arial" w:eastAsia="Arial" w:hAnsi="Arial"/>
          <w:sz w:val="17"/>
          <w:szCs w:val="17"/>
          <w:color w:val="auto"/>
        </w:rPr>
        <w:t>With respect to the Phase 1 trial of PLN-1474, the Phase 1 trial site experienced delays due to its location in an area heavily impacted by COVID-19; however, the trial site reopened and completed dosing the remaining cohorts, and the trial was subsequently completed;</w:t>
      </w:r>
    </w:p>
    <w:p>
      <w:pPr>
        <w:spacing w:after="0" w:line="78" w:lineRule="exact"/>
        <w:rPr>
          <w:rFonts w:ascii="Arial" w:cs="Arial" w:eastAsia="Arial" w:hAnsi="Arial"/>
          <w:sz w:val="15"/>
          <w:szCs w:val="15"/>
          <w:color w:val="auto"/>
        </w:rPr>
      </w:pPr>
    </w:p>
    <w:p>
      <w:pPr>
        <w:ind w:left="2140" w:right="200" w:hanging="1062"/>
        <w:spacing w:after="0" w:line="274" w:lineRule="auto"/>
        <w:tabs>
          <w:tab w:leader="none" w:pos="21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impact from potential delays, including potential difficulties in clinical site initiation, including difficulties in recruiting clinical site investigators and clinical site staff;</w:t>
      </w:r>
    </w:p>
    <w:p>
      <w:pPr>
        <w:spacing w:after="0" w:line="63"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63" w:lineRule="exact"/>
        <w:rPr>
          <w:rFonts w:ascii="Arial" w:cs="Arial" w:eastAsia="Arial" w:hAnsi="Arial"/>
          <w:sz w:val="17"/>
          <w:szCs w:val="17"/>
          <w:color w:val="auto"/>
        </w:rPr>
      </w:pPr>
    </w:p>
    <w:p>
      <w:pPr>
        <w:jc w:val="both"/>
        <w:ind w:left="2140" w:right="720" w:hanging="1062"/>
        <w:spacing w:after="0" w:line="313" w:lineRule="auto"/>
        <w:tabs>
          <w:tab w:leader="none" w:pos="2136"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38" w:lineRule="exact"/>
        <w:rPr>
          <w:rFonts w:ascii="Arial" w:cs="Arial" w:eastAsia="Arial" w:hAnsi="Arial"/>
          <w:sz w:val="15"/>
          <w:szCs w:val="15"/>
          <w:color w:val="auto"/>
        </w:rPr>
      </w:pPr>
    </w:p>
    <w:p>
      <w:pPr>
        <w:ind w:left="2140" w:hanging="1062"/>
        <w:spacing w:after="0"/>
        <w:tabs>
          <w:tab w:leader="none" w:pos="2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133" w:lineRule="exact"/>
        <w:rPr>
          <w:rFonts w:ascii="Arial" w:cs="Arial" w:eastAsia="Arial" w:hAnsi="Arial"/>
          <w:sz w:val="15"/>
          <w:szCs w:val="15"/>
          <w:color w:val="auto"/>
        </w:rPr>
      </w:pPr>
    </w:p>
    <w:p>
      <w:pPr>
        <w:ind w:left="2140" w:right="480" w:hanging="1062"/>
        <w:spacing w:after="0" w:line="274" w:lineRule="auto"/>
        <w:tabs>
          <w:tab w:leader="none" w:pos="21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laboratory facility;</w:t>
      </w:r>
    </w:p>
    <w:p>
      <w:pPr>
        <w:spacing w:after="0" w:line="110" w:lineRule="exact"/>
        <w:rPr>
          <w:rFonts w:ascii="Arial" w:cs="Arial" w:eastAsia="Arial" w:hAnsi="Arial"/>
          <w:sz w:val="17"/>
          <w:szCs w:val="17"/>
          <w:color w:val="auto"/>
        </w:rPr>
      </w:pPr>
    </w:p>
    <w:p>
      <w:pPr>
        <w:ind w:left="2140" w:right="80" w:hanging="1062"/>
        <w:spacing w:after="0" w:line="262" w:lineRule="auto"/>
        <w:tabs>
          <w:tab w:leader="none" w:pos="21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72" w:lineRule="exact"/>
        <w:rPr>
          <w:rFonts w:ascii="Arial" w:cs="Arial" w:eastAsia="Arial" w:hAnsi="Arial"/>
          <w:sz w:val="17"/>
          <w:szCs w:val="17"/>
          <w:color w:val="auto"/>
        </w:rPr>
      </w:pPr>
    </w:p>
    <w:p>
      <w:pPr>
        <w:ind w:left="2140" w:hanging="1062"/>
        <w:spacing w:after="0"/>
        <w:tabs>
          <w:tab w:leader="none" w:pos="2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110" w:lineRule="exact"/>
        <w:rPr>
          <w:sz w:val="20"/>
          <w:szCs w:val="20"/>
          <w:color w:val="auto"/>
        </w:rPr>
      </w:pPr>
    </w:p>
    <w:p>
      <w:pPr>
        <w:ind w:right="140" w:firstLine="917"/>
        <w:spacing w:after="0" w:line="275" w:lineRule="auto"/>
        <w:rPr>
          <w:sz w:val="20"/>
          <w:szCs w:val="20"/>
          <w:color w:val="auto"/>
        </w:rPr>
      </w:pPr>
      <w:r>
        <w:rPr>
          <w:rFonts w:ascii="Arial" w:cs="Arial" w:eastAsia="Arial" w:hAnsi="Arial"/>
          <w:sz w:val="16"/>
          <w:szCs w:val="16"/>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disease.The foregoing disruptions, and other continued disruptions to our business in connection with the COVID-19 pandemic,</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5" w:name="page66"/>
    <w:bookmarkEnd w:id="65"/>
    <w:p>
      <w:pPr>
        <w:ind w:right="60"/>
        <w:spacing w:after="0" w:line="274" w:lineRule="auto"/>
        <w:rPr>
          <w:sz w:val="20"/>
          <w:szCs w:val="20"/>
          <w:color w:val="auto"/>
        </w:rPr>
      </w:pPr>
      <w:r>
        <w:rPr>
          <w:rFonts w:ascii="Arial" w:cs="Arial" w:eastAsia="Arial" w:hAnsi="Arial"/>
          <w:sz w:val="17"/>
          <w:szCs w:val="17"/>
          <w:color w:val="auto"/>
        </w:rPr>
        <w:t>could have a material adverse impact on our business, financial condition or results of operations. In addition, the COVID-19 pandemic heightens many of the other risks and uncertainties discussed herein.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adversely affect our operations.</w:t>
      </w:r>
    </w:p>
    <w:p>
      <w:pPr>
        <w:spacing w:after="0" w:line="110" w:lineRule="exact"/>
        <w:rPr>
          <w:sz w:val="20"/>
          <w:szCs w:val="20"/>
          <w:color w:val="auto"/>
        </w:rPr>
      </w:pPr>
    </w:p>
    <w:p>
      <w:pPr>
        <w:ind w:firstLine="917"/>
        <w:spacing w:after="0" w:line="256" w:lineRule="auto"/>
        <w:rPr>
          <w:sz w:val="20"/>
          <w:szCs w:val="20"/>
          <w:color w:val="auto"/>
        </w:rPr>
      </w:pPr>
      <w:r>
        <w:rPr>
          <w:rFonts w:ascii="Arial" w:cs="Arial" w:eastAsia="Arial" w:hAnsi="Arial"/>
          <w:sz w:val="17"/>
          <w:szCs w:val="17"/>
          <w:color w:val="auto"/>
        </w:rPr>
        <w:t>As of June 30, 2022, we had 110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02" w:lineRule="exact"/>
        <w:rPr>
          <w:sz w:val="20"/>
          <w:szCs w:val="20"/>
          <w:color w:val="auto"/>
        </w:rPr>
      </w:pPr>
    </w:p>
    <w:p>
      <w:pPr>
        <w:ind w:left="2140" w:hanging="1062"/>
        <w:spacing w:after="0"/>
        <w:tabs>
          <w:tab w:leader="none" w:pos="2140" w:val="left"/>
        </w:tabs>
        <w:numPr>
          <w:ilvl w:val="0"/>
          <w:numId w:val="58"/>
        </w:numPr>
        <w:rPr>
          <w:rFonts w:ascii="Arial" w:cs="Arial" w:eastAsia="Arial" w:hAnsi="Arial"/>
          <w:sz w:val="20"/>
          <w:szCs w:val="20"/>
          <w:color w:val="auto"/>
        </w:rPr>
      </w:pPr>
      <w:r>
        <w:rPr>
          <w:rFonts w:ascii="Arial" w:cs="Arial" w:eastAsia="Arial" w:hAnsi="Arial"/>
          <w:sz w:val="17"/>
          <w:szCs w:val="17"/>
          <w:color w:val="auto"/>
        </w:rPr>
        <w:t>identifying, recruiting, integrating, maintaining and motivating additional employees;</w:t>
      </w:r>
    </w:p>
    <w:p>
      <w:pPr>
        <w:spacing w:after="0" w:line="129" w:lineRule="exact"/>
        <w:rPr>
          <w:sz w:val="20"/>
          <w:szCs w:val="20"/>
          <w:color w:val="auto"/>
        </w:rPr>
      </w:pPr>
    </w:p>
    <w:p>
      <w:pPr>
        <w:ind w:left="2140" w:right="40" w:hanging="1062"/>
        <w:spacing w:after="0" w:line="294" w:lineRule="auto"/>
        <w:tabs>
          <w:tab w:leader="none" w:pos="2135" w:val="left"/>
        </w:tabs>
        <w:numPr>
          <w:ilvl w:val="0"/>
          <w:numId w:val="59"/>
        </w:numPr>
        <w:rPr>
          <w:rFonts w:ascii="Arial" w:cs="Arial" w:eastAsia="Arial" w:hAnsi="Arial"/>
          <w:sz w:val="18"/>
          <w:szCs w:val="18"/>
          <w:color w:val="auto"/>
        </w:rPr>
      </w:pPr>
      <w:r>
        <w:rPr>
          <w:rFonts w:ascii="Arial" w:cs="Arial" w:eastAsia="Arial" w:hAnsi="Arial"/>
          <w:sz w:val="15"/>
          <w:szCs w:val="15"/>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68" w:lineRule="exact"/>
        <w:rPr>
          <w:sz w:val="20"/>
          <w:szCs w:val="20"/>
          <w:color w:val="auto"/>
        </w:rPr>
      </w:pPr>
    </w:p>
    <w:p>
      <w:pPr>
        <w:ind w:left="2140" w:hanging="1062"/>
        <w:spacing w:after="0"/>
        <w:tabs>
          <w:tab w:leader="none" w:pos="2140" w:val="left"/>
        </w:tabs>
        <w:numPr>
          <w:ilvl w:val="0"/>
          <w:numId w:val="60"/>
        </w:numPr>
        <w:rPr>
          <w:rFonts w:ascii="Arial" w:cs="Arial" w:eastAsia="Arial" w:hAnsi="Arial"/>
          <w:sz w:val="20"/>
          <w:szCs w:val="20"/>
          <w:color w:val="auto"/>
        </w:rPr>
      </w:pPr>
      <w:r>
        <w:rPr>
          <w:rFonts w:ascii="Arial" w:cs="Arial" w:eastAsia="Arial" w:hAnsi="Arial"/>
          <w:sz w:val="17"/>
          <w:szCs w:val="17"/>
          <w:color w:val="auto"/>
        </w:rPr>
        <w:t>improving our operational, financial and management controls, reporting systems and procedures.</w:t>
      </w:r>
    </w:p>
    <w:p>
      <w:pPr>
        <w:spacing w:after="0" w:line="90"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73"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54" w:lineRule="exact"/>
        <w:rPr>
          <w:sz w:val="20"/>
          <w:szCs w:val="20"/>
          <w:color w:val="auto"/>
        </w:rPr>
      </w:pPr>
    </w:p>
    <w:p>
      <w:pPr>
        <w:jc w:val="both"/>
        <w:ind w:right="160" w:firstLine="917"/>
        <w:spacing w:after="0" w:line="262"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73" w:lineRule="exact"/>
        <w:rPr>
          <w:sz w:val="20"/>
          <w:szCs w:val="20"/>
          <w:color w:val="auto"/>
        </w:rPr>
      </w:pPr>
    </w:p>
    <w:p>
      <w:pPr>
        <w:jc w:val="both"/>
        <w:ind w:right="260" w:firstLine="917"/>
        <w:spacing w:after="0" w:line="313" w:lineRule="auto"/>
        <w:rPr>
          <w:sz w:val="20"/>
          <w:szCs w:val="20"/>
          <w:color w:val="auto"/>
        </w:rPr>
      </w:pPr>
      <w:r>
        <w:rPr>
          <w:rFonts w:ascii="Arial" w:cs="Arial" w:eastAsia="Arial" w:hAnsi="Arial"/>
          <w:sz w:val="15"/>
          <w:szCs w:val="15"/>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38" w:lineRule="exact"/>
        <w:rPr>
          <w:sz w:val="20"/>
          <w:szCs w:val="20"/>
          <w:color w:val="auto"/>
        </w:rPr>
      </w:pPr>
    </w:p>
    <w:p>
      <w:pPr>
        <w:ind w:right="140" w:firstLine="917"/>
        <w:spacing w:after="0" w:line="379" w:lineRule="auto"/>
        <w:rPr>
          <w:sz w:val="20"/>
          <w:szCs w:val="20"/>
          <w:color w:val="auto"/>
        </w:rPr>
      </w:pPr>
      <w:r>
        <w:rPr>
          <w:rFonts w:ascii="Arial" w:cs="Arial" w:eastAsia="Arial" w:hAnsi="Arial"/>
          <w:sz w:val="14"/>
          <w:szCs w:val="14"/>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67"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73" w:lineRule="exact"/>
        <w:rPr>
          <w:sz w:val="20"/>
          <w:szCs w:val="20"/>
          <w:color w:val="auto"/>
        </w:rPr>
      </w:pPr>
    </w:p>
    <w:p>
      <w:pPr>
        <w:ind w:right="20" w:firstLine="917"/>
        <w:spacing w:after="0" w:line="26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6" w:name="page67"/>
    <w:bookmarkEnd w:id="66"/>
    <w:p>
      <w:pPr>
        <w:ind w:right="100"/>
        <w:spacing w:after="0" w:line="303" w:lineRule="auto"/>
        <w:rPr>
          <w:sz w:val="20"/>
          <w:szCs w:val="20"/>
          <w:color w:val="auto"/>
        </w:rPr>
      </w:pPr>
      <w:r>
        <w:rPr>
          <w:rFonts w:ascii="Arial" w:cs="Arial" w:eastAsia="Arial" w:hAnsi="Arial"/>
          <w:sz w:val="15"/>
          <w:szCs w:val="15"/>
          <w:color w:val="auto"/>
        </w:rPr>
        <w:t>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46" w:lineRule="exact"/>
        <w:rPr>
          <w:sz w:val="20"/>
          <w:szCs w:val="20"/>
          <w:color w:val="auto"/>
        </w:rPr>
      </w:pPr>
    </w:p>
    <w:p>
      <w:pPr>
        <w:ind w:right="140" w:firstLine="917"/>
        <w:spacing w:after="0" w:line="262"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7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70" w:lineRule="exact"/>
        <w:rPr>
          <w:sz w:val="20"/>
          <w:szCs w:val="20"/>
          <w:color w:val="auto"/>
        </w:rPr>
      </w:pPr>
    </w:p>
    <w:p>
      <w:pPr>
        <w:ind w:right="80" w:firstLine="917"/>
        <w:spacing w:after="0" w:line="27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69"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3" w:lineRule="exact"/>
        <w:rPr>
          <w:sz w:val="20"/>
          <w:szCs w:val="20"/>
          <w:color w:val="auto"/>
        </w:rPr>
      </w:pPr>
    </w:p>
    <w:p>
      <w:pPr>
        <w:ind w:firstLine="917"/>
        <w:spacing w:after="0" w:line="268"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10" w:lineRule="exact"/>
        <w:rPr>
          <w:sz w:val="20"/>
          <w:szCs w:val="20"/>
          <w:color w:val="auto"/>
        </w:rPr>
      </w:pPr>
    </w:p>
    <w:p>
      <w:pPr>
        <w:ind w:right="200" w:firstLine="917"/>
        <w:spacing w:after="0" w:line="262"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7" w:name="page68"/>
    <w:bookmarkEnd w:id="67"/>
    <w:p>
      <w:pPr>
        <w:ind w:right="60"/>
        <w:spacing w:after="0" w:line="298" w:lineRule="auto"/>
        <w:rPr>
          <w:sz w:val="20"/>
          <w:szCs w:val="20"/>
          <w:color w:val="auto"/>
        </w:rPr>
      </w:pPr>
      <w:r>
        <w:rPr>
          <w:rFonts w:ascii="Arial" w:cs="Arial" w:eastAsia="Arial" w:hAnsi="Arial"/>
          <w:sz w:val="15"/>
          <w:szCs w:val="15"/>
          <w:color w:val="auto"/>
        </w:rPr>
        <w:t>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5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40" w:firstLine="917"/>
        <w:spacing w:after="0" w:line="288"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0"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1"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3" w:lineRule="exact"/>
        <w:rPr>
          <w:sz w:val="20"/>
          <w:szCs w:val="20"/>
          <w:color w:val="auto"/>
        </w:rPr>
      </w:pPr>
    </w:p>
    <w:p>
      <w:pPr>
        <w:ind w:right="100" w:firstLine="917"/>
        <w:spacing w:after="0" w:line="254"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110"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As of December 31, 2021, we had net operating loss carryforwards for U.S. federal and state income tax purposes of $184.7 million and $183.0 million, respectively, some of which will begin to expire in 2035. As of December 31, 2021, we also had available tax credit carryforwards for U.S. federal income tax purposes of $14.1 million, which begin to expire in 2036, and state income tax purposes of $4.1 million, which can be carried forward indefinitely. Under Section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2021 and concluded that we have experienced ownership changes since inception and our utilization of pre-change net operating loss and credit carryforwards will be subject to the limitation. In addition, we may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8" w:name="page69"/>
    <w:bookmarkEnd w:id="68"/>
    <w:p>
      <w:pPr>
        <w:ind w:right="20"/>
        <w:spacing w:after="0" w:line="298" w:lineRule="auto"/>
        <w:rPr>
          <w:sz w:val="20"/>
          <w:szCs w:val="20"/>
          <w:color w:val="auto"/>
        </w:rPr>
      </w:pPr>
      <w:r>
        <w:rPr>
          <w:rFonts w:ascii="Arial" w:cs="Arial" w:eastAsia="Arial" w:hAnsi="Arial"/>
          <w:sz w:val="15"/>
          <w:szCs w:val="15"/>
          <w:color w:val="auto"/>
        </w:rPr>
        <w:t>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Common Stock</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An active or liquid market for our common stock may not be sustained.</w:t>
      </w:r>
    </w:p>
    <w:p>
      <w:pPr>
        <w:spacing w:after="0" w:line="110" w:lineRule="exact"/>
        <w:rPr>
          <w:sz w:val="20"/>
          <w:szCs w:val="20"/>
          <w:color w:val="auto"/>
        </w:rPr>
      </w:pPr>
    </w:p>
    <w:p>
      <w:pPr>
        <w:jc w:val="both"/>
        <w:ind w:right="460" w:firstLine="917"/>
        <w:spacing w:after="0" w:line="262" w:lineRule="auto"/>
        <w:rPr>
          <w:sz w:val="20"/>
          <w:szCs w:val="20"/>
          <w:color w:val="auto"/>
        </w:rPr>
      </w:pPr>
      <w:r>
        <w:rPr>
          <w:rFonts w:ascii="Arial" w:cs="Arial" w:eastAsia="Arial" w:hAnsi="Arial"/>
          <w:sz w:val="17"/>
          <w:szCs w:val="17"/>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be sustained.</w:t>
      </w:r>
    </w:p>
    <w:p>
      <w:pPr>
        <w:spacing w:after="0" w:line="73"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10"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11" w:lineRule="exact"/>
        <w:rPr>
          <w:sz w:val="20"/>
          <w:szCs w:val="20"/>
          <w:color w:val="auto"/>
        </w:rPr>
      </w:pPr>
    </w:p>
    <w:p>
      <w:pPr>
        <w:ind w:left="2140" w:right="300" w:hanging="1062"/>
        <w:spacing w:after="0" w:line="236" w:lineRule="auto"/>
        <w:tabs>
          <w:tab w:leader="none" w:pos="2135" w:val="left"/>
        </w:tabs>
        <w:numPr>
          <w:ilvl w:val="0"/>
          <w:numId w:val="61"/>
        </w:numPr>
        <w:rPr>
          <w:rFonts w:ascii="Arial" w:cs="Arial" w:eastAsia="Arial" w:hAnsi="Arial"/>
          <w:sz w:val="20"/>
          <w:szCs w:val="20"/>
          <w:color w:val="auto"/>
        </w:rPr>
      </w:pPr>
      <w:r>
        <w:rPr>
          <w:rFonts w:ascii="Arial" w:cs="Arial" w:eastAsia="Arial" w:hAnsi="Arial"/>
          <w:sz w:val="17"/>
          <w:szCs w:val="17"/>
          <w:color w:val="auto"/>
        </w:rPr>
        <w:t>the commencement, enrollment or results of our current Phase 2a clinical trials of PLN-74809 and any other clinical trials for our product candidates conducted by us or our collaborators;</w:t>
      </w:r>
    </w:p>
    <w:p>
      <w:pPr>
        <w:spacing w:after="0" w:line="114" w:lineRule="exact"/>
        <w:rPr>
          <w:sz w:val="20"/>
          <w:szCs w:val="20"/>
          <w:color w:val="auto"/>
        </w:rPr>
      </w:pPr>
    </w:p>
    <w:p>
      <w:pPr>
        <w:ind w:left="2140" w:hanging="1062"/>
        <w:spacing w:after="0"/>
        <w:tabs>
          <w:tab w:leader="none" w:pos="2140" w:val="left"/>
        </w:tabs>
        <w:numPr>
          <w:ilvl w:val="0"/>
          <w:numId w:val="62"/>
        </w:numPr>
        <w:rPr>
          <w:rFonts w:ascii="Arial" w:cs="Arial" w:eastAsia="Arial" w:hAnsi="Arial"/>
          <w:sz w:val="20"/>
          <w:szCs w:val="20"/>
          <w:color w:val="auto"/>
        </w:rPr>
      </w:pPr>
      <w:r>
        <w:rPr>
          <w:rFonts w:ascii="Arial" w:cs="Arial" w:eastAsia="Arial" w:hAnsi="Arial"/>
          <w:sz w:val="17"/>
          <w:szCs w:val="17"/>
          <w:color w:val="auto"/>
        </w:rPr>
        <w:t>any delay in identifying and advancing a clinical candidate for our other development programs;</w:t>
      </w:r>
    </w:p>
    <w:p>
      <w:pPr>
        <w:spacing w:after="0" w:line="129" w:lineRule="exact"/>
        <w:rPr>
          <w:sz w:val="20"/>
          <w:szCs w:val="20"/>
          <w:color w:val="auto"/>
        </w:rPr>
      </w:pPr>
    </w:p>
    <w:p>
      <w:pPr>
        <w:ind w:left="2140" w:right="20" w:hanging="1062"/>
        <w:spacing w:after="0" w:line="241" w:lineRule="auto"/>
        <w:tabs>
          <w:tab w:leader="none" w:pos="2135" w:val="left"/>
        </w:tabs>
        <w:numPr>
          <w:ilvl w:val="0"/>
          <w:numId w:val="63"/>
        </w:numPr>
        <w:rPr>
          <w:rFonts w:ascii="Arial" w:cs="Arial" w:eastAsia="Arial" w:hAnsi="Arial"/>
          <w:sz w:val="20"/>
          <w:szCs w:val="20"/>
          <w:color w:val="auto"/>
        </w:rPr>
      </w:pPr>
      <w:r>
        <w:rPr>
          <w:rFonts w:ascii="Arial" w:cs="Arial" w:eastAsia="Arial" w:hAnsi="Arial"/>
          <w:sz w:val="17"/>
          <w:szCs w:val="17"/>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13" w:lineRule="exact"/>
        <w:rPr>
          <w:sz w:val="20"/>
          <w:szCs w:val="20"/>
          <w:color w:val="auto"/>
        </w:rPr>
      </w:pPr>
    </w:p>
    <w:p>
      <w:pPr>
        <w:ind w:left="2140" w:hanging="1062"/>
        <w:spacing w:after="0"/>
        <w:tabs>
          <w:tab w:leader="none" w:pos="2140" w:val="left"/>
        </w:tabs>
        <w:numPr>
          <w:ilvl w:val="0"/>
          <w:numId w:val="64"/>
        </w:numPr>
        <w:rPr>
          <w:rFonts w:ascii="Arial" w:cs="Arial" w:eastAsia="Arial" w:hAnsi="Arial"/>
          <w:sz w:val="20"/>
          <w:szCs w:val="20"/>
          <w:color w:val="auto"/>
        </w:rPr>
      </w:pPr>
      <w:r>
        <w:rPr>
          <w:rFonts w:ascii="Arial" w:cs="Arial" w:eastAsia="Arial" w:hAnsi="Arial"/>
          <w:sz w:val="17"/>
          <w:szCs w:val="17"/>
          <w:color w:val="auto"/>
        </w:rPr>
        <w:t>adverse results or delays in future clinical trials;</w:t>
      </w:r>
    </w:p>
    <w:p>
      <w:pPr>
        <w:spacing w:after="0" w:line="114" w:lineRule="exact"/>
        <w:rPr>
          <w:sz w:val="20"/>
          <w:szCs w:val="20"/>
          <w:color w:val="auto"/>
        </w:rPr>
      </w:pPr>
    </w:p>
    <w:p>
      <w:pPr>
        <w:ind w:left="2140" w:hanging="1062"/>
        <w:spacing w:after="0"/>
        <w:tabs>
          <w:tab w:leader="none" w:pos="2140" w:val="left"/>
        </w:tabs>
        <w:numPr>
          <w:ilvl w:val="0"/>
          <w:numId w:val="65"/>
        </w:numPr>
        <w:rPr>
          <w:rFonts w:ascii="Arial" w:cs="Arial" w:eastAsia="Arial" w:hAnsi="Arial"/>
          <w:sz w:val="20"/>
          <w:szCs w:val="20"/>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25" w:lineRule="exact"/>
        <w:rPr>
          <w:sz w:val="20"/>
          <w:szCs w:val="20"/>
          <w:color w:val="auto"/>
        </w:rPr>
      </w:pPr>
    </w:p>
    <w:p>
      <w:pPr>
        <w:ind w:left="2140" w:hanging="1062"/>
        <w:spacing w:after="0"/>
        <w:tabs>
          <w:tab w:leader="none" w:pos="2140" w:val="left"/>
        </w:tabs>
        <w:numPr>
          <w:ilvl w:val="0"/>
          <w:numId w:val="66"/>
        </w:numPr>
        <w:rPr>
          <w:rFonts w:ascii="Arial" w:cs="Arial" w:eastAsia="Arial" w:hAnsi="Arial"/>
          <w:sz w:val="19"/>
          <w:szCs w:val="19"/>
          <w:color w:val="auto"/>
        </w:rPr>
      </w:pPr>
      <w:r>
        <w:rPr>
          <w:rFonts w:ascii="Arial" w:cs="Arial" w:eastAsia="Arial" w:hAnsi="Arial"/>
          <w:sz w:val="16"/>
          <w:szCs w:val="16"/>
          <w:color w:val="auto"/>
        </w:rPr>
        <w:t>adverse regulatory decisions, including failure to receive regulatory approval of PLN-74809 or any other product candidate;</w:t>
      </w:r>
    </w:p>
    <w:p>
      <w:pPr>
        <w:spacing w:after="0" w:line="129" w:lineRule="exact"/>
        <w:rPr>
          <w:sz w:val="20"/>
          <w:szCs w:val="20"/>
          <w:color w:val="auto"/>
        </w:rPr>
      </w:pPr>
    </w:p>
    <w:p>
      <w:pPr>
        <w:ind w:left="2140" w:right="340" w:hanging="1062"/>
        <w:spacing w:after="0" w:line="236" w:lineRule="auto"/>
        <w:tabs>
          <w:tab w:leader="none" w:pos="2135" w:val="left"/>
        </w:tabs>
        <w:numPr>
          <w:ilvl w:val="0"/>
          <w:numId w:val="67"/>
        </w:numPr>
        <w:rPr>
          <w:rFonts w:ascii="Arial" w:cs="Arial" w:eastAsia="Arial" w:hAnsi="Arial"/>
          <w:sz w:val="20"/>
          <w:szCs w:val="20"/>
          <w:color w:val="auto"/>
        </w:rPr>
      </w:pPr>
      <w:r>
        <w:rPr>
          <w:rFonts w:ascii="Arial" w:cs="Arial" w:eastAsia="Arial" w:hAnsi="Arial"/>
          <w:sz w:val="17"/>
          <w:szCs w:val="17"/>
          <w:color w:val="auto"/>
        </w:rPr>
        <w:t>changes in laws or regulations applicable to PLN-74809 or any other product candidate, including but not limited to clinical trial requirements for approvals;</w:t>
      </w:r>
    </w:p>
    <w:p>
      <w:pPr>
        <w:spacing w:after="0" w:line="114" w:lineRule="exact"/>
        <w:rPr>
          <w:sz w:val="20"/>
          <w:szCs w:val="20"/>
          <w:color w:val="auto"/>
        </w:rPr>
      </w:pPr>
    </w:p>
    <w:p>
      <w:pPr>
        <w:ind w:left="2140" w:hanging="1062"/>
        <w:spacing w:after="0"/>
        <w:tabs>
          <w:tab w:leader="none" w:pos="2140" w:val="left"/>
        </w:tabs>
        <w:numPr>
          <w:ilvl w:val="0"/>
          <w:numId w:val="68"/>
        </w:numPr>
        <w:rPr>
          <w:rFonts w:ascii="Arial" w:cs="Arial" w:eastAsia="Arial" w:hAnsi="Arial"/>
          <w:sz w:val="20"/>
          <w:szCs w:val="20"/>
          <w:color w:val="auto"/>
        </w:rPr>
      </w:pPr>
      <w:r>
        <w:rPr>
          <w:rFonts w:ascii="Arial" w:cs="Arial" w:eastAsia="Arial" w:hAnsi="Arial"/>
          <w:sz w:val="17"/>
          <w:szCs w:val="17"/>
          <w:color w:val="auto"/>
        </w:rPr>
        <w:t>adverse developments concerning our manufacturers;</w:t>
      </w:r>
    </w:p>
    <w:p>
      <w:pPr>
        <w:spacing w:after="0" w:line="114" w:lineRule="exact"/>
        <w:rPr>
          <w:sz w:val="20"/>
          <w:szCs w:val="20"/>
          <w:color w:val="auto"/>
        </w:rPr>
      </w:pPr>
    </w:p>
    <w:p>
      <w:pPr>
        <w:ind w:left="2140" w:hanging="1062"/>
        <w:spacing w:after="0"/>
        <w:tabs>
          <w:tab w:leader="none" w:pos="2140" w:val="left"/>
        </w:tabs>
        <w:numPr>
          <w:ilvl w:val="0"/>
          <w:numId w:val="69"/>
        </w:numPr>
        <w:rPr>
          <w:rFonts w:ascii="Arial" w:cs="Arial" w:eastAsia="Arial" w:hAnsi="Arial"/>
          <w:sz w:val="20"/>
          <w:szCs w:val="20"/>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4" w:lineRule="exact"/>
        <w:rPr>
          <w:sz w:val="20"/>
          <w:szCs w:val="20"/>
          <w:color w:val="auto"/>
        </w:rPr>
      </w:pPr>
    </w:p>
    <w:p>
      <w:pPr>
        <w:ind w:left="2140" w:hanging="1062"/>
        <w:spacing w:after="0"/>
        <w:tabs>
          <w:tab w:leader="none" w:pos="2140" w:val="left"/>
        </w:tabs>
        <w:numPr>
          <w:ilvl w:val="0"/>
          <w:numId w:val="70"/>
        </w:numPr>
        <w:rPr>
          <w:rFonts w:ascii="Arial" w:cs="Arial" w:eastAsia="Arial" w:hAnsi="Arial"/>
          <w:sz w:val="20"/>
          <w:szCs w:val="20"/>
          <w:color w:val="auto"/>
        </w:rPr>
      </w:pPr>
      <w:r>
        <w:rPr>
          <w:rFonts w:ascii="Arial" w:cs="Arial" w:eastAsia="Arial" w:hAnsi="Arial"/>
          <w:sz w:val="17"/>
          <w:szCs w:val="17"/>
          <w:color w:val="auto"/>
        </w:rPr>
        <w:t>our inability to establish collaborations, if needed;</w:t>
      </w:r>
    </w:p>
    <w:p>
      <w:pPr>
        <w:spacing w:after="0" w:line="114" w:lineRule="exact"/>
        <w:rPr>
          <w:sz w:val="20"/>
          <w:szCs w:val="20"/>
          <w:color w:val="auto"/>
        </w:rPr>
      </w:pPr>
    </w:p>
    <w:p>
      <w:pPr>
        <w:ind w:left="2140" w:hanging="1062"/>
        <w:spacing w:after="0"/>
        <w:tabs>
          <w:tab w:leader="none" w:pos="2140" w:val="left"/>
        </w:tabs>
        <w:numPr>
          <w:ilvl w:val="0"/>
          <w:numId w:val="71"/>
        </w:numPr>
        <w:rPr>
          <w:rFonts w:ascii="Arial" w:cs="Arial" w:eastAsia="Arial" w:hAnsi="Arial"/>
          <w:sz w:val="20"/>
          <w:szCs w:val="20"/>
          <w:color w:val="auto"/>
        </w:rPr>
      </w:pPr>
      <w:r>
        <w:rPr>
          <w:rFonts w:ascii="Arial" w:cs="Arial" w:eastAsia="Arial" w:hAnsi="Arial"/>
          <w:sz w:val="17"/>
          <w:szCs w:val="17"/>
          <w:color w:val="auto"/>
        </w:rPr>
        <w:t>our failure to commercialize our product candidates, if approved;</w:t>
      </w:r>
    </w:p>
    <w:p>
      <w:pPr>
        <w:spacing w:after="0" w:line="114" w:lineRule="exact"/>
        <w:rPr>
          <w:sz w:val="20"/>
          <w:szCs w:val="20"/>
          <w:color w:val="auto"/>
        </w:rPr>
      </w:pPr>
    </w:p>
    <w:p>
      <w:pPr>
        <w:ind w:left="2140" w:hanging="1062"/>
        <w:spacing w:after="0"/>
        <w:tabs>
          <w:tab w:leader="none" w:pos="2140" w:val="left"/>
        </w:tabs>
        <w:numPr>
          <w:ilvl w:val="0"/>
          <w:numId w:val="72"/>
        </w:numPr>
        <w:rPr>
          <w:rFonts w:ascii="Arial" w:cs="Arial" w:eastAsia="Arial" w:hAnsi="Arial"/>
          <w:sz w:val="20"/>
          <w:szCs w:val="20"/>
          <w:color w:val="auto"/>
        </w:rPr>
      </w:pPr>
      <w:r>
        <w:rPr>
          <w:rFonts w:ascii="Arial" w:cs="Arial" w:eastAsia="Arial" w:hAnsi="Arial"/>
          <w:sz w:val="17"/>
          <w:szCs w:val="17"/>
          <w:color w:val="auto"/>
        </w:rPr>
        <w:t>additions or departures of key scientific or management personnel;</w:t>
      </w:r>
    </w:p>
    <w:p>
      <w:pPr>
        <w:spacing w:after="0" w:line="114" w:lineRule="exact"/>
        <w:rPr>
          <w:sz w:val="20"/>
          <w:szCs w:val="20"/>
          <w:color w:val="auto"/>
        </w:rPr>
      </w:pPr>
    </w:p>
    <w:p>
      <w:pPr>
        <w:ind w:left="2140" w:hanging="1062"/>
        <w:spacing w:after="0"/>
        <w:tabs>
          <w:tab w:leader="none" w:pos="2140" w:val="left"/>
        </w:tabs>
        <w:numPr>
          <w:ilvl w:val="0"/>
          <w:numId w:val="73"/>
        </w:numPr>
        <w:rPr>
          <w:rFonts w:ascii="Arial" w:cs="Arial" w:eastAsia="Arial" w:hAnsi="Arial"/>
          <w:sz w:val="20"/>
          <w:szCs w:val="20"/>
          <w:color w:val="auto"/>
        </w:rPr>
      </w:pPr>
      <w:r>
        <w:rPr>
          <w:rFonts w:ascii="Arial" w:cs="Arial" w:eastAsia="Arial" w:hAnsi="Arial"/>
          <w:sz w:val="17"/>
          <w:szCs w:val="17"/>
          <w:color w:val="auto"/>
        </w:rPr>
        <w:t>unanticipated serious safety concerns related to the use of PLN-74809 or any other product candidate;</w:t>
      </w:r>
    </w:p>
    <w:p>
      <w:pPr>
        <w:spacing w:after="0" w:line="129" w:lineRule="exact"/>
        <w:rPr>
          <w:sz w:val="20"/>
          <w:szCs w:val="20"/>
          <w:color w:val="auto"/>
        </w:rPr>
      </w:pPr>
    </w:p>
    <w:p>
      <w:pPr>
        <w:ind w:left="5540" w:right="4060" w:hanging="4462"/>
        <w:spacing w:after="0" w:line="873" w:lineRule="auto"/>
        <w:tabs>
          <w:tab w:leader="none" w:pos="2143" w:val="left"/>
        </w:tabs>
        <w:numPr>
          <w:ilvl w:val="0"/>
          <w:numId w:val="74"/>
        </w:numPr>
        <w:rPr>
          <w:rFonts w:ascii="Arial" w:cs="Arial" w:eastAsia="Arial" w:hAnsi="Arial"/>
          <w:sz w:val="20"/>
          <w:szCs w:val="20"/>
          <w:color w:val="auto"/>
        </w:rPr>
      </w:pPr>
      <w:r>
        <w:rPr>
          <w:rFonts w:ascii="Arial" w:cs="Arial" w:eastAsia="Arial" w:hAnsi="Arial"/>
          <w:sz w:val="17"/>
          <w:szCs w:val="17"/>
          <w:color w:val="auto"/>
        </w:rPr>
        <w:t>introduction of new products or services offered by us or our competitors;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-332105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9" w:name="page70"/>
    <w:bookmarkEnd w:id="69"/>
    <w:p>
      <w:pPr>
        <w:ind w:left="2140" w:hanging="1062"/>
        <w:spacing w:after="0"/>
        <w:tabs>
          <w:tab w:leader="none" w:pos="2140" w:val="left"/>
        </w:tabs>
        <w:numPr>
          <w:ilvl w:val="0"/>
          <w:numId w:val="75"/>
        </w:numPr>
        <w:rPr>
          <w:rFonts w:ascii="Arial" w:cs="Arial" w:eastAsia="Arial" w:hAnsi="Arial"/>
          <w:sz w:val="18"/>
          <w:szCs w:val="18"/>
          <w:color w:val="auto"/>
        </w:rPr>
      </w:pPr>
      <w:r>
        <w:rPr>
          <w:rFonts w:ascii="Arial" w:cs="Arial" w:eastAsia="Arial" w:hAnsi="Arial"/>
          <w:sz w:val="15"/>
          <w:szCs w:val="15"/>
          <w:color w:val="auto"/>
        </w:rPr>
        <w:t>announcements of significant acquisitions, strategic partnerships, joint ventures or capital commitments by us or our competitors;</w:t>
      </w:r>
    </w:p>
    <w:p>
      <w:pPr>
        <w:spacing w:after="0" w:line="122" w:lineRule="exact"/>
        <w:rPr>
          <w:sz w:val="20"/>
          <w:szCs w:val="20"/>
          <w:color w:val="auto"/>
        </w:rPr>
      </w:pPr>
    </w:p>
    <w:p>
      <w:pPr>
        <w:ind w:left="2140" w:hanging="1062"/>
        <w:spacing w:after="0"/>
        <w:tabs>
          <w:tab w:leader="none" w:pos="2140" w:val="left"/>
        </w:tabs>
        <w:numPr>
          <w:ilvl w:val="0"/>
          <w:numId w:val="76"/>
        </w:numPr>
        <w:rPr>
          <w:rFonts w:ascii="Arial" w:cs="Arial" w:eastAsia="Arial" w:hAnsi="Arial"/>
          <w:sz w:val="20"/>
          <w:szCs w:val="20"/>
          <w:color w:val="auto"/>
        </w:rPr>
      </w:pPr>
      <w:r>
        <w:rPr>
          <w:rFonts w:ascii="Arial" w:cs="Arial" w:eastAsia="Arial" w:hAnsi="Arial"/>
          <w:sz w:val="17"/>
          <w:szCs w:val="17"/>
          <w:color w:val="auto"/>
        </w:rPr>
        <w:t>our ability to effectively manage our growth;</w:t>
      </w:r>
    </w:p>
    <w:p>
      <w:pPr>
        <w:spacing w:after="0" w:line="114" w:lineRule="exact"/>
        <w:rPr>
          <w:sz w:val="20"/>
          <w:szCs w:val="20"/>
          <w:color w:val="auto"/>
        </w:rPr>
      </w:pPr>
    </w:p>
    <w:p>
      <w:pPr>
        <w:ind w:left="2140" w:hanging="1062"/>
        <w:spacing w:after="0"/>
        <w:tabs>
          <w:tab w:leader="none" w:pos="2140" w:val="left"/>
        </w:tabs>
        <w:numPr>
          <w:ilvl w:val="0"/>
          <w:numId w:val="77"/>
        </w:numPr>
        <w:rPr>
          <w:rFonts w:ascii="Arial" w:cs="Arial" w:eastAsia="Arial" w:hAnsi="Arial"/>
          <w:sz w:val="20"/>
          <w:szCs w:val="20"/>
          <w:color w:val="auto"/>
        </w:rPr>
      </w:pPr>
      <w:r>
        <w:rPr>
          <w:rFonts w:ascii="Arial" w:cs="Arial" w:eastAsia="Arial" w:hAnsi="Arial"/>
          <w:sz w:val="17"/>
          <w:szCs w:val="17"/>
          <w:color w:val="auto"/>
        </w:rPr>
        <w:t>actual or anticipated variations in quarterly operating results;</w:t>
      </w:r>
    </w:p>
    <w:p>
      <w:pPr>
        <w:spacing w:after="0" w:line="114" w:lineRule="exact"/>
        <w:rPr>
          <w:sz w:val="20"/>
          <w:szCs w:val="20"/>
          <w:color w:val="auto"/>
        </w:rPr>
      </w:pPr>
    </w:p>
    <w:p>
      <w:pPr>
        <w:ind w:left="2140" w:hanging="1062"/>
        <w:spacing w:after="0"/>
        <w:tabs>
          <w:tab w:leader="none" w:pos="2140" w:val="left"/>
        </w:tabs>
        <w:numPr>
          <w:ilvl w:val="0"/>
          <w:numId w:val="78"/>
        </w:numPr>
        <w:rPr>
          <w:rFonts w:ascii="Arial" w:cs="Arial" w:eastAsia="Arial" w:hAnsi="Arial"/>
          <w:sz w:val="20"/>
          <w:szCs w:val="20"/>
          <w:color w:val="auto"/>
        </w:rPr>
      </w:pPr>
      <w:r>
        <w:rPr>
          <w:rFonts w:ascii="Arial" w:cs="Arial" w:eastAsia="Arial" w:hAnsi="Arial"/>
          <w:sz w:val="17"/>
          <w:szCs w:val="17"/>
          <w:color w:val="auto"/>
        </w:rPr>
        <w:t>our cash position;</w:t>
      </w:r>
    </w:p>
    <w:p>
      <w:pPr>
        <w:spacing w:after="0" w:line="125" w:lineRule="exact"/>
        <w:rPr>
          <w:sz w:val="20"/>
          <w:szCs w:val="20"/>
          <w:color w:val="auto"/>
        </w:rPr>
      </w:pPr>
    </w:p>
    <w:p>
      <w:pPr>
        <w:ind w:left="2140" w:hanging="1062"/>
        <w:spacing w:after="0"/>
        <w:tabs>
          <w:tab w:leader="none" w:pos="2140" w:val="left"/>
        </w:tabs>
        <w:numPr>
          <w:ilvl w:val="0"/>
          <w:numId w:val="79"/>
        </w:numPr>
        <w:rPr>
          <w:rFonts w:ascii="Arial" w:cs="Arial" w:eastAsia="Arial" w:hAnsi="Arial"/>
          <w:sz w:val="19"/>
          <w:szCs w:val="19"/>
          <w:color w:val="auto"/>
        </w:rPr>
      </w:pPr>
      <w:r>
        <w:rPr>
          <w:rFonts w:ascii="Arial" w:cs="Arial" w:eastAsia="Arial" w:hAnsi="Arial"/>
          <w:sz w:val="16"/>
          <w:szCs w:val="16"/>
          <w:color w:val="auto"/>
        </w:rPr>
        <w:t>our failure to meet the estimates and projections of the investment community or that we may otherwise provide to the public;</w:t>
      </w:r>
    </w:p>
    <w:p>
      <w:pPr>
        <w:spacing w:after="0" w:line="129" w:lineRule="exact"/>
        <w:rPr>
          <w:sz w:val="20"/>
          <w:szCs w:val="20"/>
          <w:color w:val="auto"/>
        </w:rPr>
      </w:pPr>
    </w:p>
    <w:p>
      <w:pPr>
        <w:ind w:left="2140" w:right="120" w:hanging="1062"/>
        <w:spacing w:after="0" w:line="236" w:lineRule="auto"/>
        <w:tabs>
          <w:tab w:leader="none" w:pos="2135" w:val="left"/>
        </w:tabs>
        <w:numPr>
          <w:ilvl w:val="0"/>
          <w:numId w:val="80"/>
        </w:numPr>
        <w:rPr>
          <w:rFonts w:ascii="Arial" w:cs="Arial" w:eastAsia="Arial" w:hAnsi="Arial"/>
          <w:sz w:val="20"/>
          <w:szCs w:val="20"/>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114" w:lineRule="exact"/>
        <w:rPr>
          <w:sz w:val="20"/>
          <w:szCs w:val="20"/>
          <w:color w:val="auto"/>
        </w:rPr>
      </w:pPr>
    </w:p>
    <w:p>
      <w:pPr>
        <w:ind w:left="2140" w:hanging="1062"/>
        <w:spacing w:after="0"/>
        <w:tabs>
          <w:tab w:leader="none" w:pos="2140" w:val="left"/>
        </w:tabs>
        <w:numPr>
          <w:ilvl w:val="0"/>
          <w:numId w:val="81"/>
        </w:numPr>
        <w:rPr>
          <w:rFonts w:ascii="Arial" w:cs="Arial" w:eastAsia="Arial" w:hAnsi="Arial"/>
          <w:sz w:val="20"/>
          <w:szCs w:val="20"/>
          <w:color w:val="auto"/>
        </w:rPr>
      </w:pPr>
      <w:r>
        <w:rPr>
          <w:rFonts w:ascii="Arial" w:cs="Arial" w:eastAsia="Arial" w:hAnsi="Arial"/>
          <w:sz w:val="17"/>
          <w:szCs w:val="17"/>
          <w:color w:val="auto"/>
        </w:rPr>
        <w:t>changes in the market valuations of similar companies;</w:t>
      </w:r>
    </w:p>
    <w:p>
      <w:pPr>
        <w:spacing w:after="0" w:line="114" w:lineRule="exact"/>
        <w:rPr>
          <w:sz w:val="20"/>
          <w:szCs w:val="20"/>
          <w:color w:val="auto"/>
        </w:rPr>
      </w:pPr>
    </w:p>
    <w:p>
      <w:pPr>
        <w:ind w:left="2140" w:hanging="1062"/>
        <w:spacing w:after="0"/>
        <w:tabs>
          <w:tab w:leader="none" w:pos="2140" w:val="left"/>
        </w:tabs>
        <w:numPr>
          <w:ilvl w:val="0"/>
          <w:numId w:val="82"/>
        </w:numPr>
        <w:rPr>
          <w:rFonts w:ascii="Arial" w:cs="Arial" w:eastAsia="Arial" w:hAnsi="Arial"/>
          <w:sz w:val="20"/>
          <w:szCs w:val="20"/>
          <w:color w:val="auto"/>
        </w:rPr>
      </w:pPr>
      <w:r>
        <w:rPr>
          <w:rFonts w:ascii="Arial" w:cs="Arial" w:eastAsia="Arial" w:hAnsi="Arial"/>
          <w:sz w:val="17"/>
          <w:szCs w:val="17"/>
          <w:color w:val="auto"/>
        </w:rPr>
        <w:t>changes in the structure of the healthcare payment systems;</w:t>
      </w:r>
    </w:p>
    <w:p>
      <w:pPr>
        <w:spacing w:after="0" w:line="114" w:lineRule="exact"/>
        <w:rPr>
          <w:sz w:val="20"/>
          <w:szCs w:val="20"/>
          <w:color w:val="auto"/>
        </w:rPr>
      </w:pPr>
    </w:p>
    <w:p>
      <w:pPr>
        <w:ind w:left="2140" w:hanging="1062"/>
        <w:spacing w:after="0"/>
        <w:tabs>
          <w:tab w:leader="none" w:pos="2140" w:val="left"/>
        </w:tabs>
        <w:numPr>
          <w:ilvl w:val="0"/>
          <w:numId w:val="83"/>
        </w:numPr>
        <w:rPr>
          <w:rFonts w:ascii="Arial" w:cs="Arial" w:eastAsia="Arial" w:hAnsi="Arial"/>
          <w:sz w:val="20"/>
          <w:szCs w:val="20"/>
          <w:color w:val="auto"/>
        </w:rPr>
      </w:pPr>
      <w:r>
        <w:rPr>
          <w:rFonts w:ascii="Arial" w:cs="Arial" w:eastAsia="Arial" w:hAnsi="Arial"/>
          <w:sz w:val="17"/>
          <w:szCs w:val="17"/>
          <w:color w:val="auto"/>
        </w:rPr>
        <w:t>overall performance of the equity markets;</w:t>
      </w:r>
    </w:p>
    <w:p>
      <w:pPr>
        <w:spacing w:after="0" w:line="114" w:lineRule="exact"/>
        <w:rPr>
          <w:sz w:val="20"/>
          <w:szCs w:val="20"/>
          <w:color w:val="auto"/>
        </w:rPr>
      </w:pPr>
    </w:p>
    <w:p>
      <w:pPr>
        <w:ind w:left="2140" w:hanging="1062"/>
        <w:spacing w:after="0"/>
        <w:tabs>
          <w:tab w:leader="none" w:pos="2140" w:val="left"/>
        </w:tabs>
        <w:numPr>
          <w:ilvl w:val="0"/>
          <w:numId w:val="84"/>
        </w:numPr>
        <w:rPr>
          <w:rFonts w:ascii="Arial" w:cs="Arial" w:eastAsia="Arial" w:hAnsi="Arial"/>
          <w:sz w:val="20"/>
          <w:szCs w:val="20"/>
          <w:color w:val="auto"/>
        </w:rPr>
      </w:pPr>
      <w:r>
        <w:rPr>
          <w:rFonts w:ascii="Arial" w:cs="Arial" w:eastAsia="Arial" w:hAnsi="Arial"/>
          <w:sz w:val="17"/>
          <w:szCs w:val="17"/>
          <w:color w:val="auto"/>
        </w:rPr>
        <w:t>sales of our common stock by us or our stockholders in the future;</w:t>
      </w:r>
    </w:p>
    <w:p>
      <w:pPr>
        <w:spacing w:after="0" w:line="114" w:lineRule="exact"/>
        <w:rPr>
          <w:sz w:val="20"/>
          <w:szCs w:val="20"/>
          <w:color w:val="auto"/>
        </w:rPr>
      </w:pPr>
    </w:p>
    <w:p>
      <w:pPr>
        <w:ind w:left="2140" w:hanging="1062"/>
        <w:spacing w:after="0"/>
        <w:tabs>
          <w:tab w:leader="none" w:pos="2140" w:val="left"/>
        </w:tabs>
        <w:numPr>
          <w:ilvl w:val="0"/>
          <w:numId w:val="85"/>
        </w:numPr>
        <w:rPr>
          <w:rFonts w:ascii="Arial" w:cs="Arial" w:eastAsia="Arial" w:hAnsi="Arial"/>
          <w:sz w:val="20"/>
          <w:szCs w:val="20"/>
          <w:color w:val="auto"/>
        </w:rPr>
      </w:pPr>
      <w:r>
        <w:rPr>
          <w:rFonts w:ascii="Arial" w:cs="Arial" w:eastAsia="Arial" w:hAnsi="Arial"/>
          <w:sz w:val="17"/>
          <w:szCs w:val="17"/>
          <w:color w:val="auto"/>
        </w:rPr>
        <w:t>trading volume of our common stock;</w:t>
      </w:r>
    </w:p>
    <w:p>
      <w:pPr>
        <w:spacing w:after="0" w:line="114" w:lineRule="exact"/>
        <w:rPr>
          <w:sz w:val="20"/>
          <w:szCs w:val="20"/>
          <w:color w:val="auto"/>
        </w:rPr>
      </w:pPr>
    </w:p>
    <w:p>
      <w:pPr>
        <w:ind w:left="2140" w:hanging="1062"/>
        <w:spacing w:after="0"/>
        <w:tabs>
          <w:tab w:leader="none" w:pos="2140" w:val="left"/>
        </w:tabs>
        <w:numPr>
          <w:ilvl w:val="0"/>
          <w:numId w:val="86"/>
        </w:numPr>
        <w:rPr>
          <w:rFonts w:ascii="Arial" w:cs="Arial" w:eastAsia="Arial" w:hAnsi="Arial"/>
          <w:sz w:val="20"/>
          <w:szCs w:val="20"/>
          <w:color w:val="auto"/>
        </w:rPr>
      </w:pPr>
      <w:r>
        <w:rPr>
          <w:rFonts w:ascii="Arial" w:cs="Arial" w:eastAsia="Arial" w:hAnsi="Arial"/>
          <w:sz w:val="17"/>
          <w:szCs w:val="17"/>
          <w:color w:val="auto"/>
        </w:rPr>
        <w:t>changes in accounting practices;</w:t>
      </w:r>
    </w:p>
    <w:p>
      <w:pPr>
        <w:spacing w:after="0" w:line="114" w:lineRule="exact"/>
        <w:rPr>
          <w:sz w:val="20"/>
          <w:szCs w:val="20"/>
          <w:color w:val="auto"/>
        </w:rPr>
      </w:pPr>
    </w:p>
    <w:p>
      <w:pPr>
        <w:ind w:left="2140" w:hanging="1062"/>
        <w:spacing w:after="0"/>
        <w:tabs>
          <w:tab w:leader="none" w:pos="2140" w:val="left"/>
        </w:tabs>
        <w:numPr>
          <w:ilvl w:val="0"/>
          <w:numId w:val="87"/>
        </w:numPr>
        <w:rPr>
          <w:rFonts w:ascii="Arial" w:cs="Arial" w:eastAsia="Arial" w:hAnsi="Arial"/>
          <w:sz w:val="20"/>
          <w:szCs w:val="20"/>
          <w:color w:val="auto"/>
        </w:rPr>
      </w:pPr>
      <w:r>
        <w:rPr>
          <w:rFonts w:ascii="Arial" w:cs="Arial" w:eastAsia="Arial" w:hAnsi="Arial"/>
          <w:sz w:val="17"/>
          <w:szCs w:val="17"/>
          <w:color w:val="auto"/>
        </w:rPr>
        <w:t>ineffectiveness of our internal controls;</w:t>
      </w:r>
    </w:p>
    <w:p>
      <w:pPr>
        <w:spacing w:after="0" w:line="129" w:lineRule="exact"/>
        <w:rPr>
          <w:sz w:val="20"/>
          <w:szCs w:val="20"/>
          <w:color w:val="auto"/>
        </w:rPr>
      </w:pPr>
    </w:p>
    <w:p>
      <w:pPr>
        <w:ind w:left="2140" w:right="400" w:hanging="1062"/>
        <w:spacing w:after="0" w:line="236" w:lineRule="auto"/>
        <w:tabs>
          <w:tab w:leader="none" w:pos="2135" w:val="left"/>
        </w:tabs>
        <w:numPr>
          <w:ilvl w:val="0"/>
          <w:numId w:val="88"/>
        </w:numPr>
        <w:rPr>
          <w:rFonts w:ascii="Arial" w:cs="Arial" w:eastAsia="Arial" w:hAnsi="Arial"/>
          <w:sz w:val="20"/>
          <w:szCs w:val="20"/>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14" w:lineRule="exact"/>
        <w:rPr>
          <w:sz w:val="20"/>
          <w:szCs w:val="20"/>
          <w:color w:val="auto"/>
        </w:rPr>
      </w:pPr>
    </w:p>
    <w:p>
      <w:pPr>
        <w:ind w:left="2140" w:hanging="1062"/>
        <w:spacing w:after="0"/>
        <w:tabs>
          <w:tab w:leader="none" w:pos="2140" w:val="left"/>
        </w:tabs>
        <w:numPr>
          <w:ilvl w:val="0"/>
          <w:numId w:val="89"/>
        </w:numPr>
        <w:rPr>
          <w:rFonts w:ascii="Arial" w:cs="Arial" w:eastAsia="Arial" w:hAnsi="Arial"/>
          <w:sz w:val="20"/>
          <w:szCs w:val="20"/>
          <w:color w:val="auto"/>
        </w:rPr>
      </w:pPr>
      <w:r>
        <w:rPr>
          <w:rFonts w:ascii="Arial" w:cs="Arial" w:eastAsia="Arial" w:hAnsi="Arial"/>
          <w:sz w:val="17"/>
          <w:szCs w:val="17"/>
          <w:color w:val="auto"/>
        </w:rPr>
        <w:t>significant lawsuits, including patent or stockholder litigation;</w:t>
      </w:r>
    </w:p>
    <w:p>
      <w:pPr>
        <w:spacing w:after="0" w:line="114" w:lineRule="exact"/>
        <w:rPr>
          <w:sz w:val="20"/>
          <w:szCs w:val="20"/>
          <w:color w:val="auto"/>
        </w:rPr>
      </w:pPr>
    </w:p>
    <w:p>
      <w:pPr>
        <w:ind w:left="2140" w:hanging="1062"/>
        <w:spacing w:after="0"/>
        <w:tabs>
          <w:tab w:leader="none" w:pos="2140" w:val="left"/>
        </w:tabs>
        <w:numPr>
          <w:ilvl w:val="0"/>
          <w:numId w:val="90"/>
        </w:numPr>
        <w:rPr>
          <w:rFonts w:ascii="Arial" w:cs="Arial" w:eastAsia="Arial" w:hAnsi="Arial"/>
          <w:sz w:val="20"/>
          <w:szCs w:val="20"/>
          <w:color w:val="auto"/>
        </w:rPr>
      </w:pPr>
      <w:r>
        <w:rPr>
          <w:rFonts w:ascii="Arial" w:cs="Arial" w:eastAsia="Arial" w:hAnsi="Arial"/>
          <w:sz w:val="17"/>
          <w:szCs w:val="17"/>
          <w:color w:val="auto"/>
        </w:rPr>
        <w:t>general political and economic conditions; and</w:t>
      </w:r>
    </w:p>
    <w:p>
      <w:pPr>
        <w:spacing w:after="0" w:line="114" w:lineRule="exact"/>
        <w:rPr>
          <w:sz w:val="20"/>
          <w:szCs w:val="20"/>
          <w:color w:val="auto"/>
        </w:rPr>
      </w:pPr>
    </w:p>
    <w:p>
      <w:pPr>
        <w:ind w:left="2140" w:hanging="1062"/>
        <w:spacing w:after="0"/>
        <w:tabs>
          <w:tab w:leader="none" w:pos="2140" w:val="left"/>
        </w:tabs>
        <w:numPr>
          <w:ilvl w:val="0"/>
          <w:numId w:val="91"/>
        </w:numPr>
        <w:rPr>
          <w:rFonts w:ascii="Arial" w:cs="Arial" w:eastAsia="Arial" w:hAnsi="Arial"/>
          <w:sz w:val="20"/>
          <w:szCs w:val="20"/>
          <w:color w:val="auto"/>
        </w:rPr>
      </w:pPr>
      <w:r>
        <w:rPr>
          <w:rFonts w:ascii="Arial" w:cs="Arial" w:eastAsia="Arial" w:hAnsi="Arial"/>
          <w:sz w:val="17"/>
          <w:szCs w:val="17"/>
          <w:color w:val="auto"/>
        </w:rPr>
        <w:t>other events or factors, many of which are beyond our control.</w:t>
      </w:r>
    </w:p>
    <w:p>
      <w:pPr>
        <w:spacing w:after="0" w:line="90"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0" w:lineRule="exact"/>
        <w:rPr>
          <w:sz w:val="20"/>
          <w:szCs w:val="20"/>
          <w:color w:val="auto"/>
        </w:rPr>
      </w:pPr>
    </w:p>
    <w:p>
      <w:pPr>
        <w:jc w:val="both"/>
        <w:ind w:right="200" w:firstLine="917"/>
        <w:spacing w:after="0" w:line="25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6" w:lineRule="exact"/>
        <w:rPr>
          <w:sz w:val="20"/>
          <w:szCs w:val="20"/>
          <w:color w:val="auto"/>
        </w:rPr>
      </w:pPr>
    </w:p>
    <w:p>
      <w:pPr>
        <w:ind w:right="320" w:firstLine="917"/>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63"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Based on shares outstanding as of June 30, 2022,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there are substantial sales of shares of our common stock, the price of our common stock could decline.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0" w:name="page71"/>
    <w:bookmarkEnd w:id="70"/>
    <w:p>
      <w:pPr>
        <w:ind w:firstLine="917"/>
        <w:spacing w:after="0" w:line="290" w:lineRule="auto"/>
        <w:rPr>
          <w:sz w:val="20"/>
          <w:szCs w:val="20"/>
          <w:color w:val="auto"/>
        </w:rPr>
      </w:pPr>
      <w:r>
        <w:rPr>
          <w:rFonts w:ascii="Arial" w:cs="Arial" w:eastAsia="Arial" w:hAnsi="Arial"/>
          <w:sz w:val="15"/>
          <w:szCs w:val="15"/>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60"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The holders of a significant number of shares of our common stock are entitled to rights with respect to the registration of their shares under the Securities Act of 1933, as amended, or the Securities Act, as provided under the terms of an investors’ rights agreement between us and certain of our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perception that such sales could occur, could have a material adverse effect on the trading price of our common stock.</w:t>
      </w:r>
    </w:p>
    <w:p>
      <w:pPr>
        <w:spacing w:after="0" w:line="78" w:lineRule="exact"/>
        <w:rPr>
          <w:sz w:val="20"/>
          <w:szCs w:val="20"/>
          <w:color w:val="auto"/>
        </w:rPr>
      </w:pPr>
    </w:p>
    <w:p>
      <w:pPr>
        <w:ind w:right="160" w:firstLine="917"/>
        <w:spacing w:after="0" w:line="306"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0"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01" w:lineRule="exact"/>
        <w:rPr>
          <w:sz w:val="20"/>
          <w:szCs w:val="20"/>
          <w:color w:val="auto"/>
        </w:rPr>
      </w:pPr>
    </w:p>
    <w:p>
      <w:pPr>
        <w:ind w:left="2140" w:right="440" w:hanging="1062"/>
        <w:spacing w:after="0" w:line="236" w:lineRule="auto"/>
        <w:tabs>
          <w:tab w:leader="none" w:pos="2135" w:val="left"/>
        </w:tabs>
        <w:numPr>
          <w:ilvl w:val="0"/>
          <w:numId w:val="92"/>
        </w:numPr>
        <w:rPr>
          <w:rFonts w:ascii="Arial" w:cs="Arial" w:eastAsia="Arial" w:hAnsi="Arial"/>
          <w:sz w:val="20"/>
          <w:szCs w:val="20"/>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129" w:lineRule="exact"/>
        <w:rPr>
          <w:sz w:val="20"/>
          <w:szCs w:val="20"/>
          <w:color w:val="auto"/>
        </w:rPr>
      </w:pPr>
    </w:p>
    <w:p>
      <w:pPr>
        <w:ind w:left="2140" w:right="180" w:hanging="1062"/>
        <w:spacing w:after="0" w:line="236" w:lineRule="auto"/>
        <w:tabs>
          <w:tab w:leader="none" w:pos="2135" w:val="left"/>
        </w:tabs>
        <w:numPr>
          <w:ilvl w:val="0"/>
          <w:numId w:val="93"/>
        </w:numPr>
        <w:rPr>
          <w:rFonts w:ascii="Arial" w:cs="Arial" w:eastAsia="Arial" w:hAnsi="Arial"/>
          <w:sz w:val="20"/>
          <w:szCs w:val="20"/>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129" w:lineRule="exact"/>
        <w:rPr>
          <w:sz w:val="20"/>
          <w:szCs w:val="20"/>
          <w:color w:val="auto"/>
        </w:rPr>
      </w:pPr>
    </w:p>
    <w:p>
      <w:pPr>
        <w:ind w:left="2140" w:right="140" w:hanging="1062"/>
        <w:spacing w:after="0" w:line="236" w:lineRule="auto"/>
        <w:tabs>
          <w:tab w:leader="none" w:pos="2135" w:val="left"/>
        </w:tabs>
        <w:numPr>
          <w:ilvl w:val="0"/>
          <w:numId w:val="94"/>
        </w:numPr>
        <w:rPr>
          <w:rFonts w:ascii="Arial" w:cs="Arial" w:eastAsia="Arial" w:hAnsi="Arial"/>
          <w:sz w:val="20"/>
          <w:szCs w:val="20"/>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114" w:lineRule="exact"/>
        <w:rPr>
          <w:sz w:val="20"/>
          <w:szCs w:val="20"/>
          <w:color w:val="auto"/>
        </w:rPr>
      </w:pPr>
    </w:p>
    <w:p>
      <w:pPr>
        <w:ind w:left="2140" w:hanging="1062"/>
        <w:spacing w:after="0"/>
        <w:tabs>
          <w:tab w:leader="none" w:pos="2140" w:val="left"/>
        </w:tabs>
        <w:numPr>
          <w:ilvl w:val="0"/>
          <w:numId w:val="95"/>
        </w:numPr>
        <w:rPr>
          <w:rFonts w:ascii="Arial" w:cs="Arial" w:eastAsia="Arial" w:hAnsi="Arial"/>
          <w:sz w:val="20"/>
          <w:szCs w:val="20"/>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29" w:lineRule="exact"/>
        <w:rPr>
          <w:sz w:val="20"/>
          <w:szCs w:val="20"/>
          <w:color w:val="auto"/>
        </w:rPr>
      </w:pPr>
    </w:p>
    <w:p>
      <w:pPr>
        <w:ind w:left="2140" w:right="100" w:hanging="1062"/>
        <w:spacing w:after="0" w:line="241" w:lineRule="auto"/>
        <w:tabs>
          <w:tab w:leader="none" w:pos="2135" w:val="left"/>
        </w:tabs>
        <w:numPr>
          <w:ilvl w:val="0"/>
          <w:numId w:val="96"/>
        </w:numPr>
        <w:rPr>
          <w:rFonts w:ascii="Arial" w:cs="Arial" w:eastAsia="Arial" w:hAnsi="Arial"/>
          <w:sz w:val="20"/>
          <w:szCs w:val="20"/>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28" w:lineRule="exact"/>
        <w:rPr>
          <w:sz w:val="20"/>
          <w:szCs w:val="20"/>
          <w:color w:val="auto"/>
        </w:rPr>
      </w:pPr>
    </w:p>
    <w:p>
      <w:pPr>
        <w:ind w:left="2140" w:right="800" w:hanging="1062"/>
        <w:spacing w:after="0" w:line="236" w:lineRule="auto"/>
        <w:tabs>
          <w:tab w:leader="none" w:pos="2135" w:val="left"/>
        </w:tabs>
        <w:numPr>
          <w:ilvl w:val="0"/>
          <w:numId w:val="97"/>
        </w:numPr>
        <w:rPr>
          <w:rFonts w:ascii="Arial" w:cs="Arial" w:eastAsia="Arial" w:hAnsi="Arial"/>
          <w:sz w:val="20"/>
          <w:szCs w:val="20"/>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29" w:lineRule="exact"/>
        <w:rPr>
          <w:sz w:val="20"/>
          <w:szCs w:val="20"/>
          <w:color w:val="auto"/>
        </w:rPr>
      </w:pPr>
    </w:p>
    <w:p>
      <w:pPr>
        <w:ind w:left="2140" w:right="380" w:hanging="1062"/>
        <w:spacing w:after="0" w:line="261" w:lineRule="auto"/>
        <w:tabs>
          <w:tab w:leader="none" w:pos="2135" w:val="left"/>
        </w:tabs>
        <w:numPr>
          <w:ilvl w:val="0"/>
          <w:numId w:val="98"/>
        </w:numPr>
        <w:rPr>
          <w:rFonts w:ascii="Arial" w:cs="Arial" w:eastAsia="Arial" w:hAnsi="Arial"/>
          <w:sz w:val="19"/>
          <w:szCs w:val="19"/>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72" w:lineRule="exact"/>
        <w:rPr>
          <w:sz w:val="20"/>
          <w:szCs w:val="20"/>
          <w:color w:val="auto"/>
        </w:rPr>
      </w:pPr>
    </w:p>
    <w:p>
      <w:pPr>
        <w:ind w:right="40" w:firstLine="917"/>
        <w:spacing w:after="0" w:line="275"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1" w:name="page72"/>
    <w:bookmarkEnd w:id="71"/>
    <w:p>
      <w:pPr>
        <w:spacing w:after="0" w:line="274" w:lineRule="auto"/>
        <w:rPr>
          <w:sz w:val="20"/>
          <w:szCs w:val="20"/>
          <w:color w:val="auto"/>
        </w:rPr>
      </w:pPr>
      <w:r>
        <w:rPr>
          <w:rFonts w:ascii="Arial" w:cs="Arial" w:eastAsia="Arial" w:hAnsi="Arial"/>
          <w:sz w:val="17"/>
          <w:szCs w:val="17"/>
          <w:color w:val="auto"/>
        </w:rPr>
        <w:t>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01" w:lineRule="exact"/>
        <w:rPr>
          <w:sz w:val="20"/>
          <w:szCs w:val="20"/>
          <w:color w:val="auto"/>
        </w:rPr>
      </w:pPr>
    </w:p>
    <w:p>
      <w:pPr>
        <w:ind w:right="160" w:firstLine="917"/>
        <w:spacing w:after="0" w:line="321" w:lineRule="auto"/>
        <w:rPr>
          <w:sz w:val="20"/>
          <w:szCs w:val="20"/>
          <w:color w:val="auto"/>
        </w:rPr>
      </w:pPr>
      <w:r>
        <w:rPr>
          <w:rFonts w:ascii="Arial" w:cs="Arial" w:eastAsia="Arial" w:hAnsi="Arial"/>
          <w:sz w:val="17"/>
          <w:szCs w:val="17"/>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25"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231F20"/>
        </w:rPr>
        <w:t>P</w:t>
      </w:r>
      <w:r>
        <w:rPr>
          <w:rFonts w:ascii="Arial" w:cs="Arial" w:eastAsia="Arial" w:hAnsi="Arial"/>
          <w:sz w:val="16"/>
          <w:szCs w:val="16"/>
          <w:color w:val="000000"/>
        </w:rPr>
        <w:t>ursuant to our bylaws, unless we consent in writing to the selection of an alternative forum, the Court of Chancery of the State of Delaware will be the</w:t>
      </w:r>
      <w:r>
        <w:rPr>
          <w:rFonts w:ascii="Arial" w:cs="Arial" w:eastAsia="Arial" w:hAnsi="Arial"/>
          <w:sz w:val="16"/>
          <w:szCs w:val="16"/>
          <w:color w:val="231F20"/>
        </w:rPr>
        <w:t xml:space="preserve"> </w:t>
      </w:r>
      <w:r>
        <w:rPr>
          <w:rFonts w:ascii="Arial" w:cs="Arial" w:eastAsia="Arial" w:hAnsi="Arial"/>
          <w:sz w:val="16"/>
          <w:szCs w:val="16"/>
          <w:color w:val="000000"/>
        </w:rPr>
        <w:t>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72" w:lineRule="exact"/>
        <w:rPr>
          <w:sz w:val="20"/>
          <w:szCs w:val="20"/>
          <w:color w:val="auto"/>
        </w:rPr>
      </w:pPr>
    </w:p>
    <w:p>
      <w:pPr>
        <w:ind w:right="80" w:firstLine="917"/>
        <w:spacing w:after="0" w:line="269"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231F20"/>
        </w:rPr>
        <w:t>General Risk Factors</w:t>
      </w:r>
    </w:p>
    <w:p>
      <w:pPr>
        <w:spacing w:after="0" w:line="152" w:lineRule="exact"/>
        <w:rPr>
          <w:sz w:val="20"/>
          <w:szCs w:val="20"/>
          <w:color w:val="auto"/>
        </w:rPr>
      </w:pPr>
    </w:p>
    <w:p>
      <w:pPr>
        <w:ind w:right="40" w:firstLine="917"/>
        <w:spacing w:after="0" w:line="309" w:lineRule="auto"/>
        <w:rPr>
          <w:sz w:val="20"/>
          <w:szCs w:val="20"/>
          <w:color w:val="auto"/>
        </w:rPr>
      </w:pPr>
      <w:r>
        <w:rPr>
          <w:rFonts w:ascii="Arial" w:cs="Arial" w:eastAsia="Arial" w:hAnsi="Arial"/>
          <w:sz w:val="17"/>
          <w:szCs w:val="17"/>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35" w:lineRule="exact"/>
        <w:rPr>
          <w:sz w:val="20"/>
          <w:szCs w:val="20"/>
          <w:color w:val="auto"/>
        </w:rPr>
      </w:pPr>
    </w:p>
    <w:p>
      <w:pPr>
        <w:ind w:right="120" w:firstLine="917"/>
        <w:spacing w:after="0" w:line="25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80" w:lineRule="exact"/>
        <w:rPr>
          <w:sz w:val="20"/>
          <w:szCs w:val="20"/>
          <w:color w:val="auto"/>
        </w:rPr>
      </w:pPr>
    </w:p>
    <w:p>
      <w:pPr>
        <w:ind w:right="80" w:firstLine="917"/>
        <w:spacing w:after="0" w:line="279" w:lineRule="auto"/>
        <w:rPr>
          <w:sz w:val="20"/>
          <w:szCs w:val="20"/>
          <w:color w:val="auto"/>
        </w:rPr>
      </w:pPr>
      <w:r>
        <w:rPr>
          <w:rFonts w:ascii="Arial" w:cs="Arial" w:eastAsia="Arial" w:hAnsi="Arial"/>
          <w:sz w:val="16"/>
          <w:szCs w:val="16"/>
          <w:color w:val="auto"/>
        </w:rPr>
        <w:t>We are required to disclose changed made in our internal controls and procedures on a quarterly basis and our management is required to asses the effectiveness of these controls annually. However, based on our aggregate worldwide market value of equity held by non-affiliates as of June 30, 2022, we expect that we will become a "non-accelerated filer," as defined by the SEC, on December 31, 2022. Accordingly, for our Annual Report on Form 10-K for the year ending December 31, 2022, our independent registered public accounting firm will no longer be required to attest to the effectiveness of our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2" w:name="page73"/>
    <w:bookmarkEnd w:id="72"/>
    <w:p>
      <w:pPr>
        <w:ind w:right="260"/>
        <w:spacing w:after="0" w:line="274" w:lineRule="auto"/>
        <w:rPr>
          <w:sz w:val="20"/>
          <w:szCs w:val="20"/>
          <w:color w:val="auto"/>
        </w:rPr>
      </w:pPr>
      <w:r>
        <w:rPr>
          <w:rFonts w:ascii="Arial" w:cs="Arial" w:eastAsia="Arial" w:hAnsi="Arial"/>
          <w:sz w:val="17"/>
          <w:szCs w:val="17"/>
          <w:color w:val="auto"/>
        </w:rPr>
        <w:t>internal controls over financial reporting pursuant to Section 404. An independent assessment of the effectiveness of our internal controls over financial reporting could detect problems that our management's assessment might not.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Our disclosure controls and procedures may not prevent or detect all errors or acts of fraud.</w:t>
      </w:r>
    </w:p>
    <w:p>
      <w:pPr>
        <w:spacing w:after="0" w:line="110"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08" w:lineRule="exact"/>
        <w:rPr>
          <w:sz w:val="20"/>
          <w:szCs w:val="20"/>
          <w:color w:val="auto"/>
        </w:rPr>
      </w:pPr>
    </w:p>
    <w:p>
      <w:pPr>
        <w:ind w:right="20" w:firstLine="917"/>
        <w:spacing w:after="0" w:line="321" w:lineRule="auto"/>
        <w:rPr>
          <w:sz w:val="20"/>
          <w:szCs w:val="20"/>
          <w:color w:val="auto"/>
        </w:rPr>
      </w:pPr>
      <w:r>
        <w:rPr>
          <w:rFonts w:ascii="Arial" w:cs="Arial" w:eastAsia="Arial" w:hAnsi="Arial"/>
          <w:sz w:val="17"/>
          <w:szCs w:val="17"/>
          <w:b w:val="1"/>
          <w:bCs w:val="1"/>
          <w:i w:val="1"/>
          <w:iCs w:val="1"/>
          <w:color w:val="231F20"/>
        </w:rPr>
        <w:t>Our issuance of additional capital stock in connection with financings, acquisitions, investments, our stock incentive plans or otherwise will dilute all other stockholders.</w:t>
      </w:r>
    </w:p>
    <w:p>
      <w:pPr>
        <w:spacing w:after="0" w:line="25" w:lineRule="exact"/>
        <w:rPr>
          <w:sz w:val="20"/>
          <w:szCs w:val="20"/>
          <w:color w:val="auto"/>
        </w:rPr>
      </w:pPr>
    </w:p>
    <w:p>
      <w:pPr>
        <w:ind w:firstLine="917"/>
        <w:spacing w:after="0" w:line="24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including an "at-the-market" offering pursuant to our Controlled Equity Offering</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Sales Agreement with Cantor Fitzgerald &amp; Co.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8" w:lineRule="exact"/>
        <w:rPr>
          <w:sz w:val="20"/>
          <w:szCs w:val="20"/>
          <w:color w:val="auto"/>
        </w:rPr>
      </w:pPr>
    </w:p>
    <w:p>
      <w:pPr>
        <w:ind w:right="220" w:firstLine="917"/>
        <w:spacing w:after="0" w:line="321" w:lineRule="auto"/>
        <w:rPr>
          <w:sz w:val="20"/>
          <w:szCs w:val="20"/>
          <w:color w:val="auto"/>
        </w:rPr>
      </w:pPr>
      <w:r>
        <w:rPr>
          <w:rFonts w:ascii="Arial" w:cs="Arial" w:eastAsia="Arial" w:hAnsi="Arial"/>
          <w:sz w:val="17"/>
          <w:szCs w:val="17"/>
          <w:b w:val="1"/>
          <w:bCs w:val="1"/>
          <w:i w:val="1"/>
          <w:iCs w:val="1"/>
          <w:color w:val="231F20"/>
        </w:rPr>
        <w:t>If securities or industry analysts do not publish research or publish inaccurate or unfavorable research about our business, our stock price and trading volume could decline.</w:t>
      </w:r>
    </w:p>
    <w:p>
      <w:pPr>
        <w:spacing w:after="0" w:line="25" w:lineRule="exact"/>
        <w:rPr>
          <w:sz w:val="20"/>
          <w:szCs w:val="20"/>
          <w:color w:val="auto"/>
        </w:rPr>
      </w:pPr>
    </w:p>
    <w:p>
      <w:pPr>
        <w:ind w:right="40" w:firstLine="917"/>
        <w:spacing w:after="0" w:line="258"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15" w:lineRule="exact"/>
        <w:rPr>
          <w:sz w:val="20"/>
          <w:szCs w:val="20"/>
          <w:color w:val="auto"/>
        </w:rPr>
      </w:pPr>
    </w:p>
    <w:p>
      <w:pPr>
        <w:ind w:right="220" w:firstLine="917"/>
        <w:spacing w:after="0" w:line="321" w:lineRule="auto"/>
        <w:rPr>
          <w:sz w:val="20"/>
          <w:szCs w:val="20"/>
          <w:color w:val="auto"/>
        </w:rPr>
      </w:pPr>
      <w:r>
        <w:rPr>
          <w:rFonts w:ascii="Arial" w:cs="Arial" w:eastAsia="Arial" w:hAnsi="Arial"/>
          <w:sz w:val="17"/>
          <w:szCs w:val="17"/>
          <w:b w:val="1"/>
          <w:bCs w:val="1"/>
          <w:i w:val="1"/>
          <w:iCs w:val="1"/>
          <w:color w:val="231F20"/>
        </w:rPr>
        <w:t>We incur significant increased costs as a result of operating as a public company, and our management is required to devote substantial time to new compliance initiatives.</w:t>
      </w:r>
    </w:p>
    <w:p>
      <w:pPr>
        <w:spacing w:after="0" w:line="25"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53"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particularly as we ceased to be an emerging growth company on December 31, 2021.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3" w:name="page74"/>
    <w:bookmarkEnd w:id="73"/>
    <w:p>
      <w:pPr>
        <w:ind w:right="300" w:firstLine="917"/>
        <w:spacing w:after="0" w:line="321" w:lineRule="auto"/>
        <w:rPr>
          <w:sz w:val="20"/>
          <w:szCs w:val="20"/>
          <w:color w:val="auto"/>
        </w:rPr>
      </w:pPr>
      <w:r>
        <w:rPr>
          <w:rFonts w:ascii="Arial" w:cs="Arial" w:eastAsia="Arial" w:hAnsi="Arial"/>
          <w:sz w:val="17"/>
          <w:szCs w:val="17"/>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25" w:lineRule="exact"/>
        <w:rPr>
          <w:sz w:val="20"/>
          <w:szCs w:val="20"/>
          <w:color w:val="auto"/>
        </w:rPr>
      </w:pPr>
    </w:p>
    <w:p>
      <w:pPr>
        <w:ind w:right="120" w:firstLine="917"/>
        <w:spacing w:after="0" w:line="267"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5" w:lineRule="exact"/>
        <w:rPr>
          <w:sz w:val="20"/>
          <w:szCs w:val="20"/>
          <w:color w:val="auto"/>
        </w:rPr>
      </w:pPr>
    </w:p>
    <w:p>
      <w:pPr>
        <w:ind w:firstLine="917"/>
        <w:spacing w:after="0" w:line="250" w:lineRule="auto"/>
        <w:rPr>
          <w:sz w:val="20"/>
          <w:szCs w:val="20"/>
          <w:color w:val="auto"/>
        </w:rPr>
      </w:pPr>
      <w:r>
        <w:rPr>
          <w:rFonts w:ascii="Arial" w:cs="Arial" w:eastAsia="Arial" w:hAnsi="Arial"/>
          <w:sz w:val="16"/>
          <w:szCs w:val="16"/>
          <w:color w:val="auto"/>
        </w:rPr>
        <w:t>Numerous federal and state laws and regulations, including HIPAA and HITECH, which enhanced the privacy, security and enforcement provisions of HIPAA by, among other things, establishing security breach notification requirements,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Additionally, on December 10, 2020, OCR issued a proposed rule aimed at strengthening individuals’ rights to access their own health information, as well as reducing administrative burdens on HIPAA covered health care providers and health plans, among other changes. While a final rule has not yet been issued, if adopted, these proposed changes may require us to update our HIPAA policies and procedures to comply with the new requirements.</w:t>
      </w:r>
    </w:p>
    <w:p>
      <w:pPr>
        <w:spacing w:after="0" w:line="79"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California passed the California Consumer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How this HIPAA exception is enforced and interpreted may also impact our business activities. Additionally, this exception does not apply to the private cause of action afforded to individuals for information security incidents.</w:t>
      </w:r>
    </w:p>
    <w:p>
      <w:pPr>
        <w:spacing w:after="0" w:line="7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In addition, the CCPA will be expanded on January 1, 2023, when the California Privacy Rights Act of 2020, or the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80"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color w:val="auto"/>
        </w:rPr>
        <w:t>The CCPA and CPRA could mark the beginning of a trend toward more stringent privacy legislation in the United States, as other states or the federal government may follow California’s lead and increase protections for U.S. residents. For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4" w:name="page75"/>
    <w:bookmarkEnd w:id="74"/>
    <w:p>
      <w:pPr>
        <w:spacing w:after="0"/>
        <w:rPr>
          <w:sz w:val="20"/>
          <w:szCs w:val="20"/>
          <w:color w:val="auto"/>
        </w:rPr>
      </w:pPr>
      <w:r>
        <w:rPr>
          <w:rFonts w:ascii="Arial" w:cs="Arial" w:eastAsia="Arial" w:hAnsi="Arial"/>
          <w:sz w:val="15"/>
          <w:szCs w:val="15"/>
          <w:color w:val="auto"/>
        </w:rPr>
        <w:t>example, on March 2, 2021, the Virginia Consumer Data Protection Act, which will take effect on January 1, 2023, was signed into law and on July 8, 2021, the</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Colorado Privacy Act, which will take effect on July 1, 2023, was signed into law. 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76"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54"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in partnership with the Healthcare and Public Health Sector Coordinating Council, recently issued cybersecurity guidelines for healthcare organizations that reflect consensus-based, voluntary practices to cost-effectively reduce cybersecurity risks for organizations of varying sizes. Although 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73" w:lineRule="exact"/>
        <w:rPr>
          <w:sz w:val="20"/>
          <w:szCs w:val="20"/>
          <w:color w:val="auto"/>
        </w:rPr>
      </w:pPr>
    </w:p>
    <w:p>
      <w:pPr>
        <w:ind w:right="20" w:firstLine="917"/>
        <w:spacing w:after="0" w:line="253"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83"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(EU) 2016/679,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EU GDPR increases substantially the penalties to which we could be subject in the event of any non-compliance, including fines of up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€10,000,000 or up to 2% of our total worldwide annual turnover for certain comparatively minor offenses, or up to €20,000,000 or up to 4% of our total worldwide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annual turnover, whichever is greater, for more serious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5" w:name="page76"/>
    <w:bookmarkEnd w:id="75"/>
    <w:p>
      <w:pPr>
        <w:ind w:right="140"/>
        <w:spacing w:after="0" w:line="286" w:lineRule="auto"/>
        <w:rPr>
          <w:sz w:val="20"/>
          <w:szCs w:val="20"/>
          <w:color w:val="auto"/>
        </w:rPr>
      </w:pPr>
      <w:r>
        <w:rPr>
          <w:rFonts w:ascii="Arial" w:cs="Arial" w:eastAsia="Arial" w:hAnsi="Arial"/>
          <w:sz w:val="16"/>
          <w:szCs w:val="16"/>
          <w:color w:val="auto"/>
        </w:rPr>
        <w:t>offenses. The EU GDPR also confers a private right of action on data subjects and consumer associations to lodge complaints with supervisory authorities, seek judicial remedies, and obtain compensation for damages resulting from violations of the EU GDPR. If our efforts to comply with EU GDPR or other applicable EU laws and regulations are not successful, or are perceived to be unsuccessful, it could adversely affect our business in the EU.</w:t>
      </w:r>
    </w:p>
    <w:p>
      <w:pPr>
        <w:spacing w:after="0" w:line="55" w:lineRule="exact"/>
        <w:rPr>
          <w:sz w:val="20"/>
          <w:szCs w:val="20"/>
          <w:color w:val="auto"/>
        </w:rPr>
      </w:pPr>
    </w:p>
    <w:p>
      <w:pPr>
        <w:ind w:right="20" w:firstLine="917"/>
        <w:spacing w:after="0" w:line="301" w:lineRule="auto"/>
        <w:rPr>
          <w:sz w:val="20"/>
          <w:szCs w:val="20"/>
          <w:color w:val="auto"/>
        </w:rPr>
      </w:pPr>
      <w:r>
        <w:rPr>
          <w:rFonts w:ascii="Arial" w:cs="Arial" w:eastAsia="Arial" w:hAnsi="Arial"/>
          <w:sz w:val="15"/>
          <w:szCs w:val="15"/>
          <w:color w:val="auto"/>
        </w:rPr>
        <w:t>The EU GDPR also prohibits the transfer of personal data from the EEA to the United States and most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w:t>
      </w:r>
    </w:p>
    <w:p>
      <w:pPr>
        <w:ind w:right="60"/>
        <w:spacing w:after="0" w:line="271" w:lineRule="auto"/>
        <w:rPr>
          <w:sz w:val="20"/>
          <w:szCs w:val="20"/>
          <w:color w:val="auto"/>
        </w:rPr>
      </w:pPr>
      <w:r>
        <w:rPr>
          <w:rFonts w:ascii="Arial" w:cs="Arial" w:eastAsia="Arial" w:hAnsi="Arial"/>
          <w:sz w:val="16"/>
          <w:szCs w:val="16"/>
          <w:color w:val="auto"/>
        </w:rPr>
        <w:t>framework 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spacing w:after="0" w:line="70" w:lineRule="exact"/>
        <w:rPr>
          <w:sz w:val="20"/>
          <w:szCs w:val="20"/>
          <w:color w:val="auto"/>
        </w:rPr>
      </w:pPr>
    </w:p>
    <w:p>
      <w:pPr>
        <w:ind w:right="120" w:firstLine="917"/>
        <w:spacing w:after="0" w:line="258" w:lineRule="auto"/>
        <w:rPr>
          <w:sz w:val="20"/>
          <w:szCs w:val="20"/>
          <w:color w:val="auto"/>
        </w:rPr>
      </w:pPr>
      <w:r>
        <w:rPr>
          <w:rFonts w:ascii="Arial" w:cs="Arial" w:eastAsia="Arial" w:hAnsi="Arial"/>
          <w:sz w:val="17"/>
          <w:szCs w:val="17"/>
          <w:color w:val="auto"/>
        </w:rPr>
        <w:t>Further, the European Commission recently published new EU SCCs, which place onerous obligations on the contracting parties. At present, there are few, if any, viable alternatives to the SCCs. These developments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76" w:lineRule="exact"/>
        <w:rPr>
          <w:sz w:val="20"/>
          <w:szCs w:val="20"/>
          <w:color w:val="auto"/>
        </w:rPr>
      </w:pPr>
    </w:p>
    <w:p>
      <w:pPr>
        <w:ind w:right="160" w:firstLine="917"/>
        <w:spacing w:after="0" w:line="310" w:lineRule="auto"/>
        <w:rPr>
          <w:sz w:val="20"/>
          <w:szCs w:val="20"/>
          <w:color w:val="auto"/>
        </w:rPr>
      </w:pPr>
      <w:r>
        <w:rPr>
          <w:rFonts w:ascii="Arial" w:cs="Arial" w:eastAsia="Arial" w:hAnsi="Arial"/>
          <w:sz w:val="15"/>
          <w:szCs w:val="15"/>
          <w:color w:val="auto"/>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w:t>
      </w:r>
    </w:p>
    <w:p>
      <w:pPr>
        <w:jc w:val="both"/>
        <w:ind w:right="20"/>
        <w:spacing w:after="0" w:line="279" w:lineRule="auto"/>
        <w:rPr>
          <w:sz w:val="20"/>
          <w:szCs w:val="20"/>
          <w:color w:val="auto"/>
        </w:rPr>
      </w:pPr>
      <w:r>
        <w:rPr>
          <w:rFonts w:ascii="Arial" w:cs="Arial" w:eastAsia="Arial" w:hAnsi="Arial"/>
          <w:sz w:val="16"/>
          <w:szCs w:val="16"/>
          <w:color w:val="auto"/>
        </w:rPr>
        <w:t>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w:t>
      </w:r>
    </w:p>
    <w:p>
      <w:pPr>
        <w:spacing w:after="0" w:line="61"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01" w:lineRule="exact"/>
        <w:rPr>
          <w:sz w:val="20"/>
          <w:szCs w:val="20"/>
          <w:color w:val="auto"/>
        </w:rPr>
      </w:pPr>
    </w:p>
    <w:p>
      <w:pPr>
        <w:ind w:right="260" w:firstLine="917"/>
        <w:spacing w:after="0" w:line="309" w:lineRule="auto"/>
        <w:rPr>
          <w:sz w:val="20"/>
          <w:szCs w:val="20"/>
          <w:color w:val="auto"/>
        </w:rPr>
      </w:pPr>
      <w:r>
        <w:rPr>
          <w:rFonts w:ascii="Arial" w:cs="Arial" w:eastAsia="Arial" w:hAnsi="Arial"/>
          <w:sz w:val="17"/>
          <w:szCs w:val="17"/>
          <w:b w:val="1"/>
          <w:bCs w:val="1"/>
          <w:i w:val="1"/>
          <w:iCs w:val="1"/>
          <w:color w:val="231F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35" w:lineRule="exact"/>
        <w:rPr>
          <w:sz w:val="20"/>
          <w:szCs w:val="20"/>
          <w:color w:val="auto"/>
        </w:rPr>
      </w:pPr>
    </w:p>
    <w:p>
      <w:pPr>
        <w:jc w:val="both"/>
        <w:ind w:right="360" w:firstLine="917"/>
        <w:spacing w:after="0" w:line="258" w:lineRule="auto"/>
        <w:rPr>
          <w:sz w:val="20"/>
          <w:szCs w:val="20"/>
          <w:color w:val="auto"/>
        </w:rPr>
      </w:pPr>
      <w:r>
        <w:rPr>
          <w:rFonts w:ascii="Arial" w:cs="Arial" w:eastAsia="Arial" w:hAnsi="Arial"/>
          <w:sz w:val="17"/>
          <w:szCs w:val="17"/>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6" w:name="page77"/>
    <w:bookmarkEnd w:id="76"/>
    <w:p>
      <w:pPr>
        <w:spacing w:after="0"/>
        <w:rPr>
          <w:sz w:val="20"/>
          <w:szCs w:val="20"/>
          <w:color w:val="auto"/>
        </w:rPr>
      </w:pPr>
      <w:r>
        <w:rPr>
          <w:rFonts w:ascii="Arial" w:cs="Arial" w:eastAsia="Arial" w:hAnsi="Arial"/>
          <w:sz w:val="15"/>
          <w:szCs w:val="15"/>
          <w:color w:val="auto"/>
        </w:rPr>
        <w:t>our current and future operations (including business activities conducted by third parties and contract manufacturers on our behalf) and clinical activities in the UK.</w:t>
      </w:r>
    </w:p>
    <w:p>
      <w:pPr>
        <w:spacing w:after="0" w:line="13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70" w:lineRule="exact"/>
        <w:rPr>
          <w:sz w:val="20"/>
          <w:szCs w:val="20"/>
          <w:color w:val="auto"/>
        </w:rPr>
      </w:pPr>
    </w:p>
    <w:p>
      <w:pPr>
        <w:ind w:right="20" w:firstLine="917"/>
        <w:spacing w:after="0" w:line="255" w:lineRule="auto"/>
        <w:rPr>
          <w:sz w:val="20"/>
          <w:szCs w:val="20"/>
          <w:color w:val="auto"/>
        </w:rPr>
      </w:pPr>
      <w:r>
        <w:rPr>
          <w:rFonts w:ascii="Arial" w:cs="Arial" w:eastAsia="Arial" w:hAnsi="Arial"/>
          <w:sz w:val="17"/>
          <w:szCs w:val="17"/>
          <w:color w:val="auto"/>
        </w:rPr>
        <w:t>The UK government is currently trying to renegotiate fundamental aspects of the Northern Ireland Protocol so this is an unpredictable area for companies in the near future. Failed attempts to renegotiate the Northern Ireland Protocol have led to media reports of the UK potentially triggering Article 16 of the Northern Ireland Protocol, a safeguarding measure, that may be engaged unilaterally if the application of the Protocol leads to serious economic, societal or environmental difficulties that are liable to persist, or to diversion of trade. The TCA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7"/>
          <w:szCs w:val="17"/>
          <w:b w:val="1"/>
          <w:bCs w:val="1"/>
          <w:i w:val="1"/>
          <w:iCs w:val="1"/>
          <w:color w:val="231F20"/>
        </w:rPr>
        <w:t>Changes in U.S. tax law could adversely affect our financial condition and results of operations.</w:t>
      </w:r>
    </w:p>
    <w:p>
      <w:pPr>
        <w:spacing w:after="0" w:line="110" w:lineRule="exact"/>
        <w:rPr>
          <w:sz w:val="20"/>
          <w:szCs w:val="20"/>
          <w:color w:val="auto"/>
        </w:rPr>
      </w:pPr>
    </w:p>
    <w:p>
      <w:pPr>
        <w:ind w:right="120" w:firstLine="917"/>
        <w:spacing w:after="0" w:line="275"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05" w:lineRule="exact"/>
        <w:rPr>
          <w:sz w:val="20"/>
          <w:szCs w:val="20"/>
          <w:color w:val="auto"/>
        </w:rPr>
      </w:pPr>
    </w:p>
    <w:p>
      <w:pPr>
        <w:ind w:firstLine="917"/>
        <w:spacing w:after="0" w:line="321" w:lineRule="auto"/>
        <w:rPr>
          <w:sz w:val="20"/>
          <w:szCs w:val="20"/>
          <w:color w:val="auto"/>
        </w:rPr>
      </w:pPr>
      <w:r>
        <w:rPr>
          <w:rFonts w:ascii="Arial" w:cs="Arial" w:eastAsia="Arial" w:hAnsi="Arial"/>
          <w:sz w:val="17"/>
          <w:szCs w:val="17"/>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25"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73" w:lineRule="exact"/>
        <w:rPr>
          <w:sz w:val="20"/>
          <w:szCs w:val="20"/>
          <w:color w:val="auto"/>
        </w:rPr>
      </w:pPr>
    </w:p>
    <w:p>
      <w:pPr>
        <w:ind w:right="60" w:firstLine="917"/>
        <w:spacing w:after="0" w:line="292" w:lineRule="auto"/>
        <w:rPr>
          <w:sz w:val="20"/>
          <w:szCs w:val="20"/>
          <w:color w:val="auto"/>
        </w:rPr>
      </w:pPr>
      <w:r>
        <w:rPr>
          <w:rFonts w:ascii="Arial" w:cs="Arial" w:eastAsia="Arial" w:hAnsi="Arial"/>
          <w:sz w:val="15"/>
          <w:szCs w:val="15"/>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7" w:name="page78"/>
    <w:bookmarkEnd w:id="77"/>
    <w:p>
      <w:pPr>
        <w:ind w:firstLine="917"/>
        <w:spacing w:after="0" w:line="253" w:lineRule="auto"/>
        <w:rPr>
          <w:sz w:val="20"/>
          <w:szCs w:val="20"/>
          <w:color w:val="auto"/>
        </w:rPr>
      </w:pPr>
      <w:r>
        <w:rPr>
          <w:rFonts w:ascii="Arial" w:cs="Arial" w:eastAsia="Arial" w:hAnsi="Arial"/>
          <w:sz w:val="17"/>
          <w:szCs w:val="17"/>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83" w:lineRule="exact"/>
        <w:rPr>
          <w:sz w:val="20"/>
          <w:szCs w:val="20"/>
          <w:color w:val="auto"/>
        </w:rPr>
      </w:pPr>
    </w:p>
    <w:p>
      <w:pPr>
        <w:ind w:right="160" w:firstLine="917"/>
        <w:spacing w:after="0" w:line="258" w:lineRule="auto"/>
        <w:rPr>
          <w:sz w:val="20"/>
          <w:szCs w:val="20"/>
          <w:color w:val="auto"/>
        </w:rPr>
      </w:pPr>
      <w:r>
        <w:rPr>
          <w:rFonts w:ascii="Arial" w:cs="Arial" w:eastAsia="Arial" w:hAnsi="Arial"/>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6"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Unfavorable global economic conditions could adversely affect our business, financial condition or results of operations.</w:t>
      </w:r>
    </w:p>
    <w:p>
      <w:pPr>
        <w:spacing w:after="0" w:line="110" w:lineRule="exact"/>
        <w:rPr>
          <w:sz w:val="20"/>
          <w:szCs w:val="20"/>
          <w:color w:val="auto"/>
        </w:rPr>
      </w:pPr>
    </w:p>
    <w:p>
      <w:pPr>
        <w:ind w:right="40" w:firstLine="917"/>
        <w:spacing w:after="0" w:line="25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The increasing use of social media platforms presents new risks and challenges.</w:t>
      </w:r>
    </w:p>
    <w:p>
      <w:pPr>
        <w:spacing w:after="0" w:line="110" w:lineRule="exact"/>
        <w:rPr>
          <w:sz w:val="20"/>
          <w:szCs w:val="20"/>
          <w:color w:val="auto"/>
        </w:rPr>
      </w:pPr>
    </w:p>
    <w:p>
      <w:pPr>
        <w:ind w:firstLine="917"/>
        <w:spacing w:after="0" w:line="26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 w:lineRule="exact"/>
        <w:rPr>
          <w:sz w:val="20"/>
          <w:szCs w:val="20"/>
          <w:color w:val="auto"/>
        </w:rPr>
      </w:pPr>
    </w:p>
    <w:p>
      <w:pPr>
        <w:ind w:firstLine="1087"/>
        <w:spacing w:after="0" w:line="250" w:lineRule="auto"/>
        <w:rPr>
          <w:sz w:val="20"/>
          <w:szCs w:val="20"/>
          <w:color w:val="auto"/>
        </w:rPr>
      </w:pPr>
      <w:r>
        <w:rPr>
          <w:rFonts w:ascii="Arial" w:cs="Arial" w:eastAsia="Arial" w:hAnsi="Arial"/>
          <w:sz w:val="17"/>
          <w:szCs w:val="17"/>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2" w:lineRule="exact"/>
        <w:rPr>
          <w:sz w:val="20"/>
          <w:szCs w:val="20"/>
          <w:color w:val="auto"/>
        </w:rPr>
      </w:pPr>
    </w:p>
    <w:p>
      <w:pPr>
        <w:ind w:right="80" w:firstLine="409"/>
        <w:spacing w:after="0" w:line="256"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14" w:lineRule="exact"/>
        <w:rPr>
          <w:sz w:val="20"/>
          <w:szCs w:val="20"/>
          <w:color w:val="auto"/>
        </w:rPr>
      </w:pPr>
    </w:p>
    <w:p>
      <w:pPr>
        <w:ind w:left="1080" w:right="7680" w:hanging="1078"/>
        <w:spacing w:after="0" w:line="404" w:lineRule="auto"/>
        <w:tabs>
          <w:tab w:leader="none" w:pos="4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Unregistered Sales of Equity Securities </w:t>
      </w:r>
      <w:r>
        <w:rPr>
          <w:rFonts w:ascii="Arial" w:cs="Arial" w:eastAsia="Arial" w:hAnsi="Arial"/>
          <w:sz w:val="17"/>
          <w:szCs w:val="17"/>
          <w:color w:val="auto"/>
        </w:rPr>
        <w:t>None.</w:t>
      </w:r>
    </w:p>
    <w:p>
      <w:pPr>
        <w:spacing w:after="0" w:line="156" w:lineRule="exact"/>
        <w:rPr>
          <w:rFonts w:ascii="Arial" w:cs="Arial" w:eastAsia="Arial" w:hAnsi="Arial"/>
          <w:sz w:val="17"/>
          <w:szCs w:val="17"/>
          <w:b w:val="1"/>
          <w:bCs w:val="1"/>
          <w:color w:val="auto"/>
        </w:rPr>
      </w:pPr>
    </w:p>
    <w:p>
      <w:pPr>
        <w:ind w:left="380" w:hanging="378"/>
        <w:spacing w:after="0"/>
        <w:tabs>
          <w:tab w:leader="none" w:pos="38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our Initial Public Offering of Common Stock</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There has been no material change in the planned use of proceeds from our initial public offering from that described in our prospectus (File No.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333-238146), effective on June 2, 2020 filed with the SEC on June 3, 2020 in connection with our IPO.</w:t>
      </w:r>
    </w:p>
    <w:p>
      <w:pPr>
        <w:spacing w:after="0" w:line="283" w:lineRule="exact"/>
        <w:rPr>
          <w:sz w:val="20"/>
          <w:szCs w:val="20"/>
          <w:color w:val="auto"/>
        </w:rPr>
      </w:pPr>
    </w:p>
    <w:p>
      <w:pPr>
        <w:ind w:left="1080" w:right="6760" w:hanging="1078"/>
        <w:spacing w:after="0" w:line="404" w:lineRule="auto"/>
        <w:tabs>
          <w:tab w:leader="none" w:pos="368"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Repurchase of Shares of Company Equity Securities </w:t>
      </w:r>
      <w:r>
        <w:rPr>
          <w:rFonts w:ascii="Arial" w:cs="Arial" w:eastAsia="Arial" w:hAnsi="Arial"/>
          <w:sz w:val="17"/>
          <w:szCs w:val="17"/>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900"/>
          </w:cols>
          <w:pgMar w:left="320" w:top="1155" w:right="67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Item 6. 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20" w:type="dxa"/>
            <w:vAlign w:val="bottom"/>
            <w:gridSpan w:val="2"/>
          </w:tcPr>
          <w:p>
            <w:pPr>
              <w:ind w:left="1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8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18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7"/>
          </w:tcPr>
          <w:p>
            <w:pPr>
              <w:spacing w:after="0"/>
              <w:rPr>
                <w:rFonts w:ascii="Arial" w:cs="Arial" w:eastAsia="Arial" w:hAnsi="Arial"/>
                <w:sz w:val="17"/>
                <w:szCs w:val="17"/>
                <w:color w:val="0000FF"/>
                <w:w w:val="91"/>
              </w:rPr>
            </w:pPr>
            <w:hyperlink r:id="rId96">
              <w:r>
                <w:rPr>
                  <w:rFonts w:ascii="Arial" w:cs="Arial" w:eastAsia="Arial" w:hAnsi="Arial"/>
                  <w:sz w:val="17"/>
                  <w:szCs w:val="17"/>
                  <w:color w:val="0000FF"/>
                  <w:w w:val="91"/>
                </w:rPr>
                <w:t>Amended and Restated Certificate of Incorporation of the Registrant, as currently in effect (incorporated b</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bottom w:val="single" w:sz="8" w:color="0000FF"/>
            </w:tcBorders>
            <w:gridSpan w:val="8"/>
          </w:tcPr>
          <w:p>
            <w:pPr>
              <w:spacing w:after="0" w:line="145" w:lineRule="exact"/>
              <w:rPr>
                <w:rFonts w:ascii="Arial" w:cs="Arial" w:eastAsia="Arial" w:hAnsi="Arial"/>
                <w:sz w:val="16"/>
                <w:szCs w:val="16"/>
                <w:color w:val="0000FF"/>
                <w:w w:val="97"/>
              </w:rPr>
            </w:pPr>
            <w:hyperlink r:id="rId96">
              <w:r>
                <w:rPr>
                  <w:rFonts w:ascii="Arial" w:cs="Arial" w:eastAsia="Arial" w:hAnsi="Arial"/>
                  <w:sz w:val="16"/>
                  <w:szCs w:val="16"/>
                  <w:color w:val="0000FF"/>
                  <w:w w:val="97"/>
                </w:rPr>
                <w:t>reference to Exhibit 3.1 of the Registrant’s quarterly report on Form 10-Q (File No. 001-39303) filed on August 11,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88"/>
              </w:rPr>
            </w:pPr>
            <w:hyperlink r:id="rId97">
              <w:r>
                <w:rPr>
                  <w:rFonts w:ascii="Arial" w:cs="Arial" w:eastAsia="Arial" w:hAnsi="Arial"/>
                  <w:sz w:val="17"/>
                  <w:szCs w:val="17"/>
                  <w:color w:val="0000FF"/>
                  <w:w w:val="88"/>
                </w:rPr>
                <w:t>the Registrant’s</w:t>
              </w:r>
            </w:hyperlink>
          </w:p>
        </w:tc>
        <w:tc>
          <w:tcPr>
            <w:tcW w:w="7280" w:type="dxa"/>
            <w:vAlign w:val="bottom"/>
            <w:gridSpan w:val="8"/>
          </w:tcPr>
          <w:p>
            <w:pPr>
              <w:spacing w:after="0"/>
              <w:rPr>
                <w:rFonts w:ascii="Arial" w:cs="Arial" w:eastAsia="Arial" w:hAnsi="Arial"/>
                <w:sz w:val="17"/>
                <w:szCs w:val="17"/>
                <w:color w:val="0000FF"/>
                <w:w w:val="90"/>
              </w:rPr>
            </w:pPr>
            <w:hyperlink r:id="rId97">
              <w:r>
                <w:rPr>
                  <w:rFonts w:ascii="Arial" w:cs="Arial" w:eastAsia="Arial" w:hAnsi="Arial"/>
                  <w:sz w:val="17"/>
                  <w:szCs w:val="17"/>
                  <w:color w:val="0000FF"/>
                  <w:w w:val="90"/>
                </w:rPr>
                <w:t>Amended and Restated Bylaws of the Registrant, as currently in effect (incorporated by reference to Exhib</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5520" w:type="dxa"/>
            <w:vAlign w:val="bottom"/>
            <w:tcBorders>
              <w:top w:val="single" w:sz="8" w:color="0000FF"/>
              <w:bottom w:val="single" w:sz="8" w:color="0000FF"/>
            </w:tcBorders>
            <w:gridSpan w:val="6"/>
          </w:tcPr>
          <w:p>
            <w:pPr>
              <w:ind w:left="40"/>
              <w:spacing w:after="0" w:line="145" w:lineRule="exact"/>
              <w:rPr>
                <w:rFonts w:ascii="Arial" w:cs="Arial" w:eastAsia="Arial" w:hAnsi="Arial"/>
                <w:sz w:val="16"/>
                <w:szCs w:val="16"/>
                <w:color w:val="0000FF"/>
                <w:w w:val="97"/>
              </w:rPr>
            </w:pPr>
            <w:hyperlink r:id="rId97">
              <w:r>
                <w:rPr>
                  <w:rFonts w:ascii="Arial" w:cs="Arial" w:eastAsia="Arial" w:hAnsi="Arial"/>
                  <w:sz w:val="16"/>
                  <w:szCs w:val="16"/>
                  <w:color w:val="0000FF"/>
                  <w:w w:val="97"/>
                </w:rPr>
                <w:t>Current Report on Form 8-K (File No. 001-39303) filed on December 15, 2020).</w:t>
              </w:r>
            </w:hyperlink>
          </w:p>
        </w:tc>
        <w:tc>
          <w:tcPr>
            <w:tcW w:w="17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7"/>
          </w:tcPr>
          <w:p>
            <w:pPr>
              <w:spacing w:after="0"/>
              <w:rPr>
                <w:rFonts w:ascii="Arial" w:cs="Arial" w:eastAsia="Arial" w:hAnsi="Arial"/>
                <w:sz w:val="17"/>
                <w:szCs w:val="17"/>
                <w:color w:val="0000FF"/>
                <w:w w:val="91"/>
              </w:rPr>
            </w:pPr>
            <w:hyperlink r:id="rId98">
              <w:r>
                <w:rPr>
                  <w:rFonts w:ascii="Arial" w:cs="Arial" w:eastAsia="Arial" w:hAnsi="Arial"/>
                  <w:sz w:val="17"/>
                  <w:szCs w:val="17"/>
                  <w:color w:val="0000FF"/>
                  <w:w w:val="91"/>
                </w:rPr>
                <w:t>Specimen Common Stock Certificate (incorporated by reference to Exhibit 4.1 of the Registrant’s Registra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gridSpan w:val="8"/>
          </w:tcPr>
          <w:p>
            <w:pPr>
              <w:spacing w:after="0" w:line="145" w:lineRule="exact"/>
              <w:rPr>
                <w:rFonts w:ascii="Arial" w:cs="Arial" w:eastAsia="Arial" w:hAnsi="Arial"/>
                <w:sz w:val="16"/>
                <w:szCs w:val="16"/>
                <w:color w:val="0000FF"/>
              </w:rPr>
            </w:pPr>
            <w:hyperlink r:id="rId98">
              <w:r>
                <w:rPr>
                  <w:rFonts w:ascii="Arial" w:cs="Arial" w:eastAsia="Arial" w:hAnsi="Arial"/>
                  <w:sz w:val="16"/>
                  <w:szCs w:val="16"/>
                  <w:color w:val="0000FF"/>
                </w:rPr>
                <w:t>Statement on Form S-1, as amended (File No. 333-238146) filed on May 26,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7"/>
          </w:tcPr>
          <w:p>
            <w:pPr>
              <w:spacing w:after="0"/>
              <w:rPr>
                <w:rFonts w:ascii="Arial" w:cs="Arial" w:eastAsia="Arial" w:hAnsi="Arial"/>
                <w:sz w:val="17"/>
                <w:szCs w:val="17"/>
                <w:color w:val="0000FF"/>
                <w:w w:val="90"/>
              </w:rPr>
            </w:pPr>
            <w:hyperlink r:id="rId99">
              <w:r>
                <w:rPr>
                  <w:rFonts w:ascii="Arial" w:cs="Arial" w:eastAsia="Arial" w:hAnsi="Arial"/>
                  <w:sz w:val="17"/>
                  <w:szCs w:val="17"/>
                  <w:color w:val="0000FF"/>
                  <w:w w:val="90"/>
                </w:rPr>
                <w:t>Loan and Security Agreement, dated as of May 4, 2022, among Pliant Therapeutics, Inc., as borrower,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bottom w:val="single" w:sz="8" w:color="0000FF"/>
            </w:tcBorders>
            <w:gridSpan w:val="8"/>
          </w:tcPr>
          <w:p>
            <w:pPr>
              <w:spacing w:after="0" w:line="145" w:lineRule="exact"/>
              <w:rPr>
                <w:rFonts w:ascii="Arial" w:cs="Arial" w:eastAsia="Arial" w:hAnsi="Arial"/>
                <w:sz w:val="16"/>
                <w:szCs w:val="16"/>
                <w:color w:val="0000FF"/>
                <w:w w:val="96"/>
              </w:rPr>
            </w:pPr>
            <w:hyperlink r:id="rId99">
              <w:r>
                <w:rPr>
                  <w:rFonts w:ascii="Arial" w:cs="Arial" w:eastAsia="Arial" w:hAnsi="Arial"/>
                  <w:sz w:val="16"/>
                  <w:szCs w:val="16"/>
                  <w:color w:val="0000FF"/>
                  <w:w w:val="96"/>
                </w:rPr>
                <w:t>Finance LLC, as collateral agent and lender (incorporated by reference to Exhibit 10.1 of the Registrant’s Current Report 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bottom w:val="single" w:sz="8" w:color="0000FF"/>
            </w:tcBorders>
            <w:gridSpan w:val="2"/>
          </w:tcPr>
          <w:p>
            <w:pPr>
              <w:spacing w:after="0" w:line="145" w:lineRule="exact"/>
              <w:rPr>
                <w:rFonts w:ascii="Arial" w:cs="Arial" w:eastAsia="Arial" w:hAnsi="Arial"/>
                <w:sz w:val="16"/>
                <w:szCs w:val="16"/>
                <w:color w:val="0000FF"/>
                <w:w w:val="98"/>
              </w:rPr>
            </w:pPr>
            <w:hyperlink r:id="rId99">
              <w:r>
                <w:rPr>
                  <w:rFonts w:ascii="Arial" w:cs="Arial" w:eastAsia="Arial" w:hAnsi="Arial"/>
                  <w:sz w:val="16"/>
                  <w:szCs w:val="16"/>
                  <w:color w:val="0000FF"/>
                  <w:w w:val="98"/>
                </w:rPr>
                <w:t>8-K (File No. 001-39303) filed on May 5, 2022).</w:t>
              </w:r>
            </w:hyperlink>
          </w:p>
        </w:tc>
        <w:tc>
          <w:tcPr>
            <w:tcW w:w="50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91"/>
              </w:rPr>
            </w:pPr>
            <w:hyperlink w:anchor="page82">
              <w:r>
                <w:rPr>
                  <w:rFonts w:ascii="Arial" w:cs="Arial" w:eastAsia="Arial" w:hAnsi="Arial"/>
                  <w:sz w:val="17"/>
                  <w:szCs w:val="17"/>
                  <w:color w:val="0000FF"/>
                  <w:w w:val="91"/>
                </w:rPr>
                <w:t>Act of 1934, as</w:t>
              </w:r>
            </w:hyperlink>
          </w:p>
        </w:tc>
        <w:tc>
          <w:tcPr>
            <w:tcW w:w="7280" w:type="dxa"/>
            <w:vAlign w:val="bottom"/>
            <w:gridSpan w:val="8"/>
          </w:tcPr>
          <w:p>
            <w:pPr>
              <w:spacing w:after="0"/>
              <w:rPr>
                <w:rFonts w:ascii="Arial" w:cs="Arial" w:eastAsia="Arial" w:hAnsi="Arial"/>
                <w:sz w:val="17"/>
                <w:szCs w:val="17"/>
                <w:color w:val="0000FF"/>
                <w:w w:val="92"/>
              </w:rPr>
            </w:pPr>
            <w:hyperlink w:anchor="page82">
              <w:r>
                <w:rPr>
                  <w:rFonts w:ascii="Arial" w:cs="Arial" w:eastAsia="Arial" w:hAnsi="Arial"/>
                  <w:sz w:val="17"/>
                  <w:szCs w:val="17"/>
                  <w:color w:val="0000FF"/>
                  <w:w w:val="92"/>
                </w:rPr>
                <w:t>Certification of Chief Executive Officer required by Rule 13a-14(a) or Rule 15d-14(a) of the Securities Ex</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4680" w:type="dxa"/>
            <w:vAlign w:val="bottom"/>
            <w:tcBorders>
              <w:top w:val="single" w:sz="8" w:color="0000FF"/>
              <w:bottom w:val="single" w:sz="8" w:color="0000FF"/>
            </w:tcBorders>
            <w:gridSpan w:val="5"/>
          </w:tcPr>
          <w:p>
            <w:pPr>
              <w:ind w:left="20"/>
              <w:spacing w:after="0" w:line="145" w:lineRule="exact"/>
              <w:rPr>
                <w:rFonts w:ascii="Arial" w:cs="Arial" w:eastAsia="Arial" w:hAnsi="Arial"/>
                <w:sz w:val="16"/>
                <w:szCs w:val="16"/>
                <w:color w:val="0000FF"/>
                <w:w w:val="95"/>
              </w:rPr>
            </w:pPr>
            <w:hyperlink w:anchor="page82">
              <w:r>
                <w:rPr>
                  <w:rFonts w:ascii="Arial" w:cs="Arial" w:eastAsia="Arial" w:hAnsi="Arial"/>
                  <w:sz w:val="16"/>
                  <w:szCs w:val="16"/>
                  <w:color w:val="0000FF"/>
                  <w:w w:val="95"/>
                </w:rPr>
                <w:t>adopted pursuant to Section 302 of the Sarbanes-Oxley Act of 2002.</w:t>
              </w:r>
            </w:hyperlink>
          </w:p>
        </w:tc>
        <w:tc>
          <w:tcPr>
            <w:tcW w:w="25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91"/>
              </w:rPr>
            </w:pPr>
            <w:hyperlink w:anchor="page83">
              <w:r>
                <w:rPr>
                  <w:rFonts w:ascii="Arial" w:cs="Arial" w:eastAsia="Arial" w:hAnsi="Arial"/>
                  <w:sz w:val="17"/>
                  <w:szCs w:val="17"/>
                  <w:color w:val="0000FF"/>
                  <w:w w:val="91"/>
                </w:rPr>
                <w:t>Act of 1934, as</w:t>
              </w:r>
            </w:hyperlink>
          </w:p>
        </w:tc>
        <w:tc>
          <w:tcPr>
            <w:tcW w:w="7280" w:type="dxa"/>
            <w:vAlign w:val="bottom"/>
            <w:gridSpan w:val="8"/>
          </w:tcPr>
          <w:p>
            <w:pPr>
              <w:spacing w:after="0"/>
              <w:rPr>
                <w:rFonts w:ascii="Arial" w:cs="Arial" w:eastAsia="Arial" w:hAnsi="Arial"/>
                <w:sz w:val="17"/>
                <w:szCs w:val="17"/>
                <w:color w:val="0000FF"/>
                <w:w w:val="92"/>
              </w:rPr>
            </w:pPr>
            <w:hyperlink w:anchor="page83">
              <w:r>
                <w:rPr>
                  <w:rFonts w:ascii="Arial" w:cs="Arial" w:eastAsia="Arial" w:hAnsi="Arial"/>
                  <w:sz w:val="17"/>
                  <w:szCs w:val="17"/>
                  <w:color w:val="0000FF"/>
                  <w:w w:val="92"/>
                </w:rPr>
                <w:t>Certification of Chief Financial Officer required by Rule 13a-14(a) or Rule 15d-14(a) of the Securities Exc</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4660" w:type="dxa"/>
            <w:vAlign w:val="bottom"/>
            <w:tcBorders>
              <w:top w:val="single" w:sz="8" w:color="0000FF"/>
              <w:bottom w:val="single" w:sz="8" w:color="0000FF"/>
            </w:tcBorders>
            <w:gridSpan w:val="4"/>
          </w:tcPr>
          <w:p>
            <w:pPr>
              <w:ind w:left="20"/>
              <w:spacing w:after="0" w:line="145" w:lineRule="exact"/>
              <w:rPr>
                <w:rFonts w:ascii="Arial" w:cs="Arial" w:eastAsia="Arial" w:hAnsi="Arial"/>
                <w:sz w:val="16"/>
                <w:szCs w:val="16"/>
                <w:color w:val="0000FF"/>
                <w:w w:val="95"/>
              </w:rPr>
            </w:pPr>
            <w:hyperlink w:anchor="page83">
              <w:r>
                <w:rPr>
                  <w:rFonts w:ascii="Arial" w:cs="Arial" w:eastAsia="Arial" w:hAnsi="Arial"/>
                  <w:sz w:val="16"/>
                  <w:szCs w:val="16"/>
                  <w:color w:val="0000FF"/>
                  <w:w w:val="95"/>
                </w:rPr>
                <w:t>adopted pursuant to Section 302 of the Sarbanes-Oxley Act of 2002.</w:t>
              </w:r>
            </w:hyperlink>
          </w:p>
        </w:tc>
        <w:tc>
          <w:tcPr>
            <w:tcW w:w="260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7"/>
          </w:tcPr>
          <w:p>
            <w:pPr>
              <w:spacing w:after="0"/>
              <w:rPr>
                <w:rFonts w:ascii="Arial" w:cs="Arial" w:eastAsia="Arial" w:hAnsi="Arial"/>
                <w:sz w:val="17"/>
                <w:szCs w:val="17"/>
                <w:color w:val="0000FF"/>
                <w:w w:val="92"/>
              </w:rPr>
            </w:pPr>
            <w:hyperlink w:anchor="page84">
              <w:r>
                <w:rPr>
                  <w:rFonts w:ascii="Arial" w:cs="Arial" w:eastAsia="Arial" w:hAnsi="Arial"/>
                  <w:sz w:val="17"/>
                  <w:szCs w:val="17"/>
                  <w:color w:val="0000FF"/>
                  <w:w w:val="92"/>
                </w:rPr>
                <w:t>Certification of Chief Executive Officer and Chief Financial Officer pursuant to 18 U.S.C. Section 1350, 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bottom w:val="single" w:sz="8" w:color="0000FF"/>
            </w:tcBorders>
            <w:gridSpan w:val="3"/>
          </w:tcPr>
          <w:p>
            <w:pPr>
              <w:spacing w:after="0" w:line="145" w:lineRule="exact"/>
              <w:rPr>
                <w:rFonts w:ascii="Arial" w:cs="Arial" w:eastAsia="Arial" w:hAnsi="Arial"/>
                <w:sz w:val="16"/>
                <w:szCs w:val="16"/>
                <w:color w:val="0000FF"/>
                <w:w w:val="95"/>
              </w:rPr>
            </w:pPr>
            <w:hyperlink w:anchor="page84">
              <w:r>
                <w:rPr>
                  <w:rFonts w:ascii="Arial" w:cs="Arial" w:eastAsia="Arial" w:hAnsi="Arial"/>
                  <w:sz w:val="16"/>
                  <w:szCs w:val="16"/>
                  <w:color w:val="0000FF"/>
                  <w:w w:val="95"/>
                </w:rPr>
                <w:t>pursuant to Section 906 of the Sarbanes-Oxley Act of 2002.</w:t>
              </w:r>
            </w:hyperlink>
          </w:p>
        </w:tc>
        <w:tc>
          <w:tcPr>
            <w:tcW w:w="42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w w:val="90"/>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9"/>
          </w:tcPr>
          <w:p>
            <w:pPr>
              <w:spacing w:after="0"/>
              <w:rPr>
                <w:sz w:val="20"/>
                <w:szCs w:val="20"/>
                <w:color w:val="auto"/>
              </w:rPr>
            </w:pPr>
            <w:r>
              <w:rPr>
                <w:rFonts w:ascii="Arial" w:cs="Arial" w:eastAsia="Arial" w:hAnsi="Arial"/>
                <w:sz w:val="17"/>
                <w:szCs w:val="17"/>
                <w:color w:val="auto"/>
              </w:rPr>
              <w:t>tags are embedded within the Inline XBRL document.</w:t>
            </w:r>
          </w:p>
        </w:tc>
        <w:tc>
          <w:tcPr>
            <w:tcW w:w="0" w:type="dxa"/>
            <w:vAlign w:val="bottom"/>
          </w:tcPr>
          <w:p>
            <w:pPr>
              <w:spacing w:after="0"/>
              <w:rPr>
                <w:sz w:val="1"/>
                <w:szCs w:val="1"/>
                <w:color w:val="auto"/>
              </w:rPr>
            </w:pPr>
          </w:p>
        </w:tc>
      </w:tr>
      <w:tr>
        <w:trPr>
          <w:trHeight w:val="382"/>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36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69"/>
        </w:trPr>
        <w:tc>
          <w:tcPr>
            <w:tcW w:w="2900" w:type="dxa"/>
            <w:vAlign w:val="bottom"/>
            <w:gridSpan w:val="2"/>
          </w:tcPr>
          <w:p>
            <w:pPr>
              <w:spacing w:after="0"/>
              <w:rPr>
                <w:sz w:val="20"/>
                <w:szCs w:val="20"/>
                <w:color w:val="auto"/>
              </w:rPr>
            </w:pPr>
            <w:r>
              <w:rPr>
                <w:rFonts w:ascii="Arial" w:cs="Arial" w:eastAsia="Arial" w:hAnsi="Arial"/>
                <w:sz w:val="17"/>
                <w:szCs w:val="17"/>
                <w:color w:val="auto"/>
              </w:rPr>
              <w:t>______________________________</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000" w:type="dxa"/>
            <w:vAlign w:val="bottom"/>
            <w:gridSpan w:val="3"/>
          </w:tcPr>
          <w:p>
            <w:pPr>
              <w:spacing w:after="0"/>
              <w:rPr>
                <w:sz w:val="20"/>
                <w:szCs w:val="20"/>
                <w:color w:val="auto"/>
              </w:rPr>
            </w:pPr>
            <w:r>
              <w:rPr>
                <w:rFonts w:ascii="Arial" w:cs="Arial" w:eastAsia="Arial" w:hAnsi="Arial"/>
                <w:sz w:val="17"/>
                <w:szCs w:val="17"/>
                <w:color w:val="auto"/>
              </w:rPr>
              <w:t>*  Filed herewith</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20" w:right="100" w:hanging="918"/>
        <w:spacing w:after="0" w:line="255" w:lineRule="auto"/>
        <w:tabs>
          <w:tab w:leader="none" w:pos="36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120" w:firstLine="459"/>
        <w:spacing w:after="0" w:line="274"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August 8, 2022</w:t>
      </w:r>
    </w:p>
    <w:p>
      <w:pPr>
        <w:spacing w:after="0" w:line="136" w:lineRule="exact"/>
        <w:rPr>
          <w:sz w:val="20"/>
          <w:szCs w:val="20"/>
          <w:color w:val="auto"/>
        </w:rPr>
      </w:pPr>
    </w:p>
    <w:tbl>
      <w:tblPr>
        <w:tblLayout w:type="fixed"/>
        <w:tblInd w:w="492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5580" w:type="dxa"/>
            <w:vAlign w:val="bottom"/>
            <w:gridSpan w:val="2"/>
          </w:tcPr>
          <w:p>
            <w:pPr>
              <w:ind w:left="460"/>
              <w:spacing w:after="0"/>
              <w:rPr>
                <w:sz w:val="20"/>
                <w:szCs w:val="20"/>
                <w:color w:val="auto"/>
              </w:rPr>
            </w:pPr>
            <w:r>
              <w:rPr>
                <w:rFonts w:ascii="Arial" w:cs="Arial" w:eastAsia="Arial" w:hAnsi="Arial"/>
                <w:sz w:val="17"/>
                <w:szCs w:val="17"/>
                <w:color w:val="auto"/>
              </w:rPr>
              <w:t>PLIANT THERAPEUTICS, INC.</w:t>
            </w:r>
          </w:p>
        </w:tc>
      </w:tr>
      <w:tr>
        <w:trPr>
          <w:trHeight w:val="306"/>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Bernard Coulie</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Bernard Coulie, M.D., Ph.D.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r>
        <w:trPr>
          <w:trHeight w:val="45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Keith Cummings</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Keith Cummings, M.D., M.B.A.</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20"/>
          </w:cols>
          <w:pgMar w:left="320" w:top="849"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Bernard Coulie, certify that:</w:t>
      </w:r>
    </w:p>
    <w:p>
      <w:pPr>
        <w:spacing w:after="0" w:line="174" w:lineRule="exact"/>
        <w:rPr>
          <w:sz w:val="20"/>
          <w:szCs w:val="20"/>
          <w:color w:val="auto"/>
        </w:rPr>
      </w:pPr>
    </w:p>
    <w:p>
      <w:pPr>
        <w:ind w:left="1080" w:hanging="1078"/>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080" w:right="300" w:hanging="1078"/>
        <w:spacing w:after="0" w:line="262"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080" w:right="260" w:hanging="1078"/>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080" w:right="300" w:hanging="1078"/>
        <w:spacing w:after="0" w:line="262"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228"/>
        <w:spacing w:after="0" w:line="286" w:lineRule="auto"/>
        <w:tabs>
          <w:tab w:leader="none" w:pos="229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228"/>
        <w:spacing w:after="0" w:line="286" w:lineRule="auto"/>
        <w:tabs>
          <w:tab w:leader="none" w:pos="228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2300" w:right="60" w:hanging="1228"/>
        <w:spacing w:after="0" w:line="262" w:lineRule="auto"/>
        <w:tabs>
          <w:tab w:leader="none" w:pos="229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2300" w:right="160" w:hanging="1228"/>
        <w:spacing w:after="0" w:line="286" w:lineRule="auto"/>
        <w:tabs>
          <w:tab w:leader="none" w:pos="228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080" w:right="180" w:hanging="1078"/>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228"/>
        <w:spacing w:after="0" w:line="342" w:lineRule="auto"/>
        <w:tabs>
          <w:tab w:leader="none" w:pos="2292"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2300" w:right="280" w:hanging="1228"/>
        <w:spacing w:after="0" w:line="274" w:lineRule="auto"/>
        <w:tabs>
          <w:tab w:leader="none" w:pos="228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52"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Keith Cummings, certify that:</w:t>
      </w:r>
    </w:p>
    <w:p>
      <w:pPr>
        <w:spacing w:after="0" w:line="174" w:lineRule="exact"/>
        <w:rPr>
          <w:sz w:val="20"/>
          <w:szCs w:val="20"/>
          <w:color w:val="auto"/>
        </w:rPr>
      </w:pPr>
    </w:p>
    <w:p>
      <w:pPr>
        <w:ind w:left="1220" w:hanging="1218"/>
        <w:spacing w:after="0"/>
        <w:tabs>
          <w:tab w:leader="none" w:pos="1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220" w:right="140" w:hanging="1218"/>
        <w:spacing w:after="0" w:line="262" w:lineRule="auto"/>
        <w:tabs>
          <w:tab w:leader="none" w:pos="1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220" w:right="100" w:hanging="1218"/>
        <w:spacing w:after="0" w:line="306" w:lineRule="auto"/>
        <w:tabs>
          <w:tab w:leader="none" w:pos="1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220" w:right="140" w:hanging="1218"/>
        <w:spacing w:after="0" w:line="262" w:lineRule="auto"/>
        <w:tabs>
          <w:tab w:leader="none" w:pos="1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076"/>
        <w:spacing w:after="0" w:line="286" w:lineRule="auto"/>
        <w:tabs>
          <w:tab w:leader="none" w:pos="229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076"/>
        <w:spacing w:after="0" w:line="269" w:lineRule="auto"/>
        <w:tabs>
          <w:tab w:leader="none" w:pos="228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6"/>
          <w:szCs w:val="16"/>
          <w:color w:val="auto"/>
        </w:rPr>
      </w:pPr>
    </w:p>
    <w:p>
      <w:pPr>
        <w:ind w:left="2300" w:right="60" w:hanging="1076"/>
        <w:spacing w:after="0" w:line="234" w:lineRule="auto"/>
        <w:tabs>
          <w:tab w:leader="none" w:pos="229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7"/>
          <w:szCs w:val="17"/>
          <w:color w:val="auto"/>
        </w:rPr>
      </w:pPr>
    </w:p>
    <w:p>
      <w:pPr>
        <w:ind w:left="2300" w:right="160" w:hanging="1076"/>
        <w:spacing w:after="0" w:line="286" w:lineRule="auto"/>
        <w:tabs>
          <w:tab w:leader="none" w:pos="228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220" w:right="40" w:hanging="1218"/>
        <w:spacing w:after="0" w:line="306" w:lineRule="auto"/>
        <w:tabs>
          <w:tab w:leader="none" w:pos="1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076"/>
        <w:spacing w:after="0" w:line="342" w:lineRule="auto"/>
        <w:tabs>
          <w:tab w:leader="none" w:pos="2292"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2300" w:right="280" w:hanging="1076"/>
        <w:spacing w:after="0" w:line="274" w:lineRule="auto"/>
        <w:tabs>
          <w:tab w:leader="none" w:pos="228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75" w:lineRule="exact"/>
        <w:rPr>
          <w:sz w:val="20"/>
          <w:szCs w:val="20"/>
          <w:color w:val="auto"/>
        </w:rPr>
      </w:pPr>
    </w:p>
    <w:p>
      <w:pPr>
        <w:ind w:left="920" w:right="640" w:hanging="918"/>
        <w:spacing w:after="0" w:line="306" w:lineRule="auto"/>
        <w:tabs>
          <w:tab w:leader="none" w:pos="9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42" w:lineRule="exact"/>
        <w:rPr>
          <w:rFonts w:ascii="Arial" w:cs="Arial" w:eastAsia="Arial" w:hAnsi="Arial"/>
          <w:sz w:val="16"/>
          <w:szCs w:val="16"/>
          <w:color w:val="auto"/>
        </w:rPr>
      </w:pPr>
    </w:p>
    <w:p>
      <w:pPr>
        <w:ind w:left="920" w:right="600" w:hanging="918"/>
        <w:spacing w:after="0" w:line="274" w:lineRule="auto"/>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August 8,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1" w:lineRule="exact"/>
        <w:rPr>
          <w:sz w:val="20"/>
          <w:szCs w:val="20"/>
          <w:color w:val="auto"/>
        </w:rPr>
      </w:pPr>
    </w:p>
    <w:p>
      <w:pPr>
        <w:ind w:right="40" w:firstLine="611"/>
        <w:spacing w:after="0" w:line="262"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2"/>
    </w:lvl>
  </w:abstractNum>
  <w:abstractNum w:abstractNumId="11">
    <w:nsid w:val="235BA861"/>
    <w:multiLevelType w:val="hybridMultilevel"/>
    <w:lvl w:ilvl="0">
      <w:lvlJc w:val="left"/>
      <w:lvlText w:val="%1."/>
      <w:numFmt w:val="decimal"/>
      <w:start w:val="15"/>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lowerLetter"/>
      <w:start w:val="3"/>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96" Type="http://schemas.openxmlformats.org/officeDocument/2006/relationships/hyperlink" Target="https://www.sec.gov/Archives/edgar/data/0001746473/000156459020039327/plrx-ex31_301.htm" TargetMode="External"/><Relationship Id="rId97" Type="http://schemas.openxmlformats.org/officeDocument/2006/relationships/hyperlink" Target="https://www.sec.gov/Archives/edgar/data/0001746473/000119312520322128/d61993dex31.htm" TargetMode="External"/><Relationship Id="rId98" Type="http://schemas.openxmlformats.org/officeDocument/2006/relationships/hyperlink" Target="https://www.sec.gov/Archives/edgar/data/0001746473/000119312520150643/d729258dex41.htm" TargetMode="External"/><Relationship Id="rId99" Type="http://schemas.openxmlformats.org/officeDocument/2006/relationships/hyperlink" Target="https://www.sec.gov/Archives/edgar/data/0001746473/000119312522142365/d3235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2022-08-09T02:35:20Z</dcterms:created>
  <dcterms:modified xsi:type="dcterms:W3CDTF">2022-08-09T02:35:20Z</dcterms:modified>
</cp:coreProperties>
</file>