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2889e23d71e462f9aefd4b0361f55a7_7">
        <w:r>
          <w:rPr>
            <w:rStyle w:val="InternetLink"/>
            <w:rFonts w:ascii="Times New Roman;sans-serif" w:hAnsi="Times New Roman;sans-serif"/>
            <w:b w:val="false"/>
            <w:color w:val="000080"/>
            <w:sz w:val="20"/>
            <w:u w:val="single"/>
          </w:rPr>
          <w:t>Table of C</w:t>
        </w:r>
      </w:hyperlink>
      <w:hyperlink w:anchor="i82889e23d71e462f9aefd4b0361f55a7_7">
        <w:r>
          <w:rPr>
            <w:rStyle w:val="InternetLink"/>
            <w:rFonts w:ascii="Times New Roman;sans-serif" w:hAnsi="Times New Roman;sans-serif"/>
            <w:b w:val="false"/>
            <w:color w:val="000080"/>
            <w:sz w:val="20"/>
            <w:u w:val="single"/>
          </w:rPr>
          <w:t>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w:t>
      </w:r>
    </w:p>
    <w:p>
      <w:pPr>
        <w:pStyle w:val="TextBody"/>
        <w:bidi w:val="0"/>
        <w:spacing w:lineRule="auto" w:line="288" w:before="60" w:after="283"/>
        <w:jc w:val="center"/>
        <w:rPr>
          <w:rFonts w:ascii="Times New Roman;sans-serif" w:hAnsi="Times New Roman;sans-serif"/>
          <w:b/>
          <w:color w:val="000000"/>
          <w:sz w:val="30"/>
        </w:rPr>
      </w:pPr>
      <w:r>
        <w:rPr>
          <w:rFonts w:ascii="Times New Roman;sans-serif" w:hAnsi="Times New Roman;sans-serif"/>
          <w:b/>
          <w:color w:val="000000"/>
          <w:sz w:val="30"/>
        </w:rPr>
        <w:t>FORM 10-K</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w:t>
      </w:r>
    </w:p>
    <w:p>
      <w:pPr>
        <w:pStyle w:val="TextBody"/>
        <w:bidi w:val="0"/>
        <w:spacing w:lineRule="auto" w:line="288" w:before="60" w:after="283"/>
        <w:jc w:val="left"/>
        <w:rPr>
          <w:rFonts w:ascii="Times New Roman;sans-serif" w:hAnsi="Times New Roman;sans-serif"/>
          <w:b/>
          <w:color w:val="000000"/>
          <w:sz w:val="16"/>
        </w:rPr>
      </w:pPr>
      <w:r>
        <w:rPr>
          <w:rFonts w:ascii="Times New Roman;sans-serif" w:hAnsi="Times New Roman;sans-serif"/>
          <w:b/>
          <w:color w:val="000000"/>
          <w:sz w:val="16"/>
        </w:rPr>
        <w:t>(Mark One)</w:t>
      </w:r>
    </w:p>
    <w:tbl>
      <w:tblPr>
        <w:tblW w:w="8682" w:type="dxa"/>
        <w:jc w:val="left"/>
        <w:tblInd w:w="0" w:type="dxa"/>
        <w:tblLayout w:type="fixed"/>
        <w:tblCellMar>
          <w:top w:w="28" w:type="dxa"/>
          <w:left w:w="28" w:type="dxa"/>
          <w:bottom w:w="28" w:type="dxa"/>
          <w:right w:w="28" w:type="dxa"/>
        </w:tblCellMar>
      </w:tblPr>
      <w:tblGrid>
        <w:gridCol w:w="124"/>
        <w:gridCol w:w="109"/>
        <w:gridCol w:w="109"/>
        <w:gridCol w:w="2437"/>
        <w:gridCol w:w="2437"/>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8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ANNUAL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2023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 FOR THE TRANSITION PERIOD FROM                      TO</w:t>
            </w:r>
          </w:p>
        </w:tc>
      </w:tr>
    </w:tbl>
    <w:p>
      <w:pPr>
        <w:pStyle w:val="TextBody"/>
        <w:bidi w:val="0"/>
        <w:spacing w:lineRule="auto" w:line="288" w:before="60" w:after="283"/>
        <w:jc w:val="center"/>
        <w:rPr/>
      </w:pPr>
      <w:r>
        <w:rPr>
          <w:rFonts w:ascii="Times New Roman;sans-serif" w:hAnsi="Times New Roman;sans-serif"/>
          <w:b/>
          <w:color w:val="000000"/>
          <w:sz w:val="20"/>
        </w:rPr>
        <w:t>Commission File Number </w:t>
      </w:r>
      <w:r>
        <w:rPr>
          <w:rFonts w:ascii="Times New Roman;sans-serif" w:hAnsi="Times New Roman;sans-serif"/>
          <w:b/>
          <w:color w:val="000000"/>
          <w:sz w:val="18"/>
        </w:rPr>
        <w:t>001-39303</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PLIANT THERAPEUTICS,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w:t>
      </w:r>
    </w:p>
    <w:tbl>
      <w:tblPr>
        <w:tblW w:w="4324" w:type="dxa"/>
        <w:jc w:val="center"/>
        <w:tblInd w:w="0" w:type="dxa"/>
        <w:tblLayout w:type="fixed"/>
        <w:tblCellMar>
          <w:top w:w="28" w:type="dxa"/>
          <w:left w:w="28" w:type="dxa"/>
          <w:bottom w:w="28" w:type="dxa"/>
          <w:right w:w="28" w:type="dxa"/>
        </w:tblCellMar>
      </w:tblPr>
      <w:tblGrid>
        <w:gridCol w:w="635"/>
        <w:gridCol w:w="557"/>
        <w:gridCol w:w="562"/>
        <w:gridCol w:w="221"/>
        <w:gridCol w:w="221"/>
        <w:gridCol w:w="221"/>
        <w:gridCol w:w="221"/>
        <w:gridCol w:w="221"/>
        <w:gridCol w:w="221"/>
        <w:gridCol w:w="363"/>
        <w:gridCol w:w="363"/>
        <w:gridCol w:w="518"/>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30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47-4272481</w:t>
            </w:r>
          </w:p>
        </w:tc>
      </w:tr>
      <w:tr>
        <w:trPr/>
        <w:tc>
          <w:tcPr>
            <w:tcW w:w="30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w:t>
              <w:br/>
              <w:t>Incorporation or Organization)</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w:t>
              <w:br/>
              <w:t>Identification No.)</w:t>
            </w:r>
          </w:p>
        </w:tc>
      </w:tr>
      <w:tr>
        <w:trPr/>
        <w:tc>
          <w:tcPr>
            <w:tcW w:w="30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260 Littlefield Avenue</w:t>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South San Francisco,</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94080</w:t>
            </w:r>
          </w:p>
        </w:tc>
      </w:tr>
      <w:tr>
        <w:trPr/>
        <w:tc>
          <w:tcPr>
            <w:tcW w:w="30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bl>
    <w:p>
      <w:pPr>
        <w:pStyle w:val="TextBody"/>
        <w:bidi w:val="0"/>
        <w:spacing w:lineRule="auto" w:line="288" w:before="60" w:after="283"/>
        <w:jc w:val="center"/>
        <w:rPr/>
      </w:pPr>
      <w:r>
        <w:rPr>
          <w:rFonts w:ascii="Times New Roman;sans-serif" w:hAnsi="Times New Roman;sans-serif"/>
          <w:b/>
          <w:color w:val="000000"/>
          <w:sz w:val="20"/>
        </w:rPr>
        <w:t>Registrant’s telephone number, including area code: </w:t>
      </w:r>
      <w:r>
        <w:rPr>
          <w:rFonts w:ascii="Times New Roman;sans-serif" w:hAnsi="Times New Roman;sans-serif"/>
          <w:b/>
          <w:color w:val="000000"/>
          <w:sz w:val="18"/>
        </w:rPr>
        <w:t>(650) 481-6770</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w:t>
      </w:r>
    </w:p>
    <w:p>
      <w:pPr>
        <w:pStyle w:val="TextBody"/>
        <w:bidi w:val="0"/>
        <w:spacing w:lineRule="auto" w:line="288" w:before="6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Securities registered pursuant to Section 12(b) of the Act:</w:t>
      </w:r>
    </w:p>
    <w:tbl>
      <w:tblPr>
        <w:tblW w:w="8113" w:type="dxa"/>
        <w:jc w:val="center"/>
        <w:tblInd w:w="0" w:type="dxa"/>
        <w:tblLayout w:type="fixed"/>
        <w:tblCellMar>
          <w:top w:w="28" w:type="dxa"/>
          <w:left w:w="28" w:type="dxa"/>
          <w:bottom w:w="28" w:type="dxa"/>
          <w:right w:w="28" w:type="dxa"/>
        </w:tblCellMar>
      </w:tblPr>
      <w:tblGrid>
        <w:gridCol w:w="1169"/>
        <w:gridCol w:w="1032"/>
        <w:gridCol w:w="1039"/>
        <w:gridCol w:w="484"/>
        <w:gridCol w:w="484"/>
        <w:gridCol w:w="486"/>
        <w:gridCol w:w="1000"/>
        <w:gridCol w:w="1000"/>
        <w:gridCol w:w="1419"/>
      </w:tblGrid>
      <w:tr>
        <w:trPr/>
        <w:tc>
          <w:tcPr>
            <w:tcW w:w="116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PLRX</w:t>
            </w:r>
          </w:p>
        </w:tc>
        <w:tc>
          <w:tcPr>
            <w:tcW w:w="341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bidi w:val="0"/>
        <w:spacing w:lineRule="auto" w:line="288" w:before="60" w:after="283"/>
        <w:jc w:val="left"/>
        <w:rPr/>
      </w:pPr>
      <w:r>
        <w:rPr>
          <w:rFonts w:ascii="Times New Roman;sans-serif" w:hAnsi="Times New Roman;sans-serif"/>
          <w:b w:val="false"/>
          <w:color w:val="000000"/>
          <w:sz w:val="16"/>
        </w:rPr>
        <w:t>Securities registered pursuant to Section 12(g) of the Act: </w:t>
      </w:r>
      <w:r>
        <w:rPr>
          <w:rFonts w:ascii="Times New Roman;sans-serif" w:hAnsi="Times New Roman;sans-serif"/>
          <w:b/>
          <w:color w:val="000000"/>
          <w:sz w:val="16"/>
        </w:rPr>
        <w:t>None</w:t>
      </w:r>
    </w:p>
    <w:p>
      <w:pPr>
        <w:pStyle w:val="TextBody"/>
        <w:bidi w:val="0"/>
        <w:spacing w:lineRule="auto" w:line="288" w:before="60" w:after="283"/>
        <w:jc w:val="left"/>
        <w:rPr/>
      </w:pPr>
      <w:r>
        <w:rPr>
          <w:rFonts w:ascii="Times New Roman;sans-serif" w:hAnsi="Times New Roman;sans-serif"/>
          <w:b w:val="false"/>
          <w:color w:val="000000"/>
          <w:sz w:val="16"/>
        </w:rPr>
        <w:t>Indicate by check mark if the Registrant is a well-known seasoned issuer, as defined in Rule 405 of the Securities Act.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16"/>
        </w:rPr>
        <w:t>Indicate by check mark if the Registrant is not required to file reports pursuant to Section 13 or 15(d) of the Act.  Yes </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x</w:t>
      </w:r>
    </w:p>
    <w:p>
      <w:pPr>
        <w:pStyle w:val="TextBody"/>
        <w:bidi w:val="0"/>
        <w:spacing w:lineRule="auto" w:line="288" w:before="60" w:after="283"/>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76" w:type="dxa"/>
        <w:jc w:val="center"/>
        <w:tblInd w:w="0" w:type="dxa"/>
        <w:tblLayout w:type="fixed"/>
        <w:tblCellMar>
          <w:top w:w="28" w:type="dxa"/>
          <w:left w:w="28" w:type="dxa"/>
          <w:bottom w:w="28" w:type="dxa"/>
          <w:right w:w="28" w:type="dxa"/>
        </w:tblCellMar>
      </w:tblPr>
      <w:tblGrid>
        <w:gridCol w:w="739"/>
        <w:gridCol w:w="649"/>
        <w:gridCol w:w="652"/>
        <w:gridCol w:w="109"/>
        <w:gridCol w:w="109"/>
        <w:gridCol w:w="109"/>
        <w:gridCol w:w="109"/>
        <w:gridCol w:w="109"/>
        <w:gridCol w:w="109"/>
        <w:gridCol w:w="669"/>
        <w:gridCol w:w="669"/>
        <w:gridCol w:w="67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6"/>
        </w:rPr>
        <w:t>x</w:t>
      </w:r>
    </w:p>
    <w:p>
      <w:pPr>
        <w:pStyle w:val="TextBody"/>
        <w:bidi w:val="0"/>
        <w:spacing w:lineRule="auto" w:line="268" w:before="0" w:after="0"/>
        <w:jc w:val="left"/>
        <w:rPr/>
      </w:pPr>
      <w:r>
        <w:rPr>
          <w:rFonts w:ascii="Times New Roman;sans-serif" w:hAnsi="Times New Roman;sans-serif"/>
          <w:b w:val="false"/>
          <w:color w:val="000000"/>
          <w:sz w:val="16"/>
        </w:rPr>
        <w:t xml:space="preserve">If securities are registered pursuant to Section 12(b) of the Act, indicate by check mark whether financial statements of the registrant included in the filing reflect the correction of an error to previously issued financial statements. </w:t>
      </w:r>
      <w:r>
        <w:rPr>
          <w:color w:val="000000"/>
        </w:rPr>
        <w:t>☐ </w:t>
      </w:r>
    </w:p>
    <w:p>
      <w:pPr>
        <w:pStyle w:val="TextBody"/>
        <w:bidi w:val="0"/>
        <w:spacing w:lineRule="auto" w:line="268" w:before="0" w:after="0"/>
        <w:jc w:val="left"/>
        <w:rPr/>
      </w:pPr>
      <w:r>
        <w:rPr>
          <w:rFonts w:ascii="Times New Roman;sans-serif" w:hAnsi="Times New Roman;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x</w:t>
      </w:r>
    </w:p>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the voting and non-voting common equity held by non-affiliates of the Registrant, based on the closing price of the shares of common stock on The NASDAQ Stock Market on June 30, 2023, was $1,008,132,383.</w:t>
      </w:r>
    </w:p>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number of shares of Registrant’s Common Stock outstanding as of February 23, 2024 was 60,239,176.</w:t>
      </w:r>
    </w:p>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DOCUMENTS INCORPORATED BY REFERENCE</w:t>
      </w:r>
    </w:p>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Portions of the registrant’s definitive Proxy Statement for the 2024 Annual Meeting of Stockholders to be filed with the U.S. Securities and Exchange Commission pursuant to Regulation 14A not later than 120 days after the end of the fiscal year covered by this Annual Report on Form 10-K are incorporated by reference in Part III, Items 10-14 of this Annual Report on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2889e23d71e462f9aefd4b0361f55a7_7">
        <w:r>
          <w:rPr>
            <w:rStyle w:val="InternetLink"/>
            <w:rFonts w:ascii="Times New Roman;sans-serif" w:hAnsi="Times New Roman;sans-serif"/>
            <w:b w:val="false"/>
            <w:color w:val="000080"/>
            <w:sz w:val="20"/>
            <w:u w:val="single"/>
          </w:rPr>
          <w:t>Table of C</w:t>
        </w:r>
      </w:hyperlink>
      <w:hyperlink w:anchor="i82889e23d71e462f9aefd4b0361f55a7_7">
        <w:r>
          <w:rPr>
            <w:rStyle w:val="InternetLink"/>
            <w:rFonts w:ascii="Times New Roman;sans-serif" w:hAnsi="Times New Roman;sans-serif"/>
            <w:b w:val="false"/>
            <w:color w:val="000080"/>
            <w:sz w:val="20"/>
            <w:u w:val="single"/>
          </w:rPr>
          <w:t>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30"/>
        <w:gridCol w:w="289"/>
        <w:gridCol w:w="297"/>
        <w:gridCol w:w="2904"/>
        <w:gridCol w:w="2904"/>
        <w:gridCol w:w="2909"/>
        <w:gridCol w:w="167"/>
        <w:gridCol w:w="167"/>
        <w:gridCol w:w="238"/>
      </w:tblGrid>
      <w:tr>
        <w:trPr/>
        <w:tc>
          <w:tcPr>
            <w:tcW w:w="33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04" w:type="dxa"/>
            <w:tcBorders/>
            <w:vAlign w:val="center"/>
          </w:tcPr>
          <w:p>
            <w:pPr>
              <w:pStyle w:val="TableContents"/>
              <w:bidi w:val="0"/>
              <w:spacing w:before="0" w:after="283"/>
              <w:jc w:val="left"/>
              <w:rPr>
                <w:sz w:val="4"/>
                <w:szCs w:val="4"/>
              </w:rPr>
            </w:pPr>
            <w:r>
              <w:rPr>
                <w:sz w:val="4"/>
                <w:szCs w:val="4"/>
              </w:rPr>
            </w:r>
          </w:p>
        </w:tc>
        <w:tc>
          <w:tcPr>
            <w:tcW w:w="2904"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10">
              <w:r>
                <w:rPr>
                  <w:rStyle w:val="InternetLink"/>
                  <w:rFonts w:ascii="Times New Roman;sans-serif" w:hAnsi="Times New Roman;sans-serif"/>
                  <w:b w:val="false"/>
                  <w:color w:val="0000FF"/>
                  <w:sz w:val="20"/>
                  <w:u w:val="single"/>
                </w:rPr>
                <w:t>Special Note Regarding Forward-Looking Statements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89e23d71e462f9aefd4b0361f55a7_10">
              <w:r>
                <w:rPr>
                  <w:rStyle w:val="InternetLink"/>
                  <w:rFonts w:ascii="Times New Roman;sans-serif" w:hAnsi="Times New Roman;sans-serif"/>
                  <w:b w:val="false"/>
                  <w:strike w:val="false"/>
                  <w:dstrike w:val="false"/>
                  <w:color w:val="000000"/>
                  <w:sz w:val="20"/>
                  <w:u w:val="none"/>
                  <w:effect w:val="none"/>
                </w:rPr>
                <w:t>1</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13">
              <w:r>
                <w:rPr>
                  <w:rStyle w:val="InternetLink"/>
                  <w:rFonts w:ascii="Times New Roman;sans-serif" w:hAnsi="Times New Roman;sans-serif"/>
                  <w:b w:val="false"/>
                  <w:color w:val="0000FF"/>
                  <w:sz w:val="20"/>
                  <w:u w:val="single"/>
                </w:rPr>
                <w:t>Summary of Risks Associated With Our Business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89e23d71e462f9aefd4b0361f55a7_13">
              <w:r>
                <w:rPr>
                  <w:rStyle w:val="InternetLink"/>
                  <w:rFonts w:ascii="Times New Roman;sans-serif" w:hAnsi="Times New Roman;sans-serif"/>
                  <w:b w:val="false"/>
                  <w:strike w:val="false"/>
                  <w:dstrike w:val="false"/>
                  <w:color w:val="000000"/>
                  <w:sz w:val="20"/>
                  <w:u w:val="none"/>
                  <w:effect w:val="none"/>
                </w:rPr>
                <w:t>2</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16">
              <w:r>
                <w:rPr>
                  <w:rStyle w:val="InternetLink"/>
                  <w:rFonts w:ascii="Times New Roman;sans-serif" w:hAnsi="Times New Roman;sans-serif"/>
                  <w:b/>
                  <w:color w:val="0000FF"/>
                  <w:sz w:val="20"/>
                  <w:u w:val="single"/>
                </w:rPr>
                <w:t>PART I</w:t>
              </w:r>
            </w:hyperlink>
          </w:p>
        </w:tc>
        <w:tc>
          <w:tcPr>
            <w:tcW w:w="8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19">
              <w:r>
                <w:rPr>
                  <w:rStyle w:val="InternetLink"/>
                  <w:rFonts w:ascii="Times New Roman;sans-serif" w:hAnsi="Times New Roman;sans-serif"/>
                  <w:b w:val="false"/>
                  <w:strike w:val="false"/>
                  <w:dstrike w:val="false"/>
                  <w:color w:val="000000"/>
                  <w:sz w:val="20"/>
                  <w:u w:val="none"/>
                  <w:effect w:val="none"/>
                </w:rPr>
                <w:t>Item 1.</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19">
              <w:r>
                <w:rPr>
                  <w:rStyle w:val="InternetLink"/>
                  <w:rFonts w:ascii="Times New Roman;sans-serif" w:hAnsi="Times New Roman;sans-serif"/>
                  <w:b w:val="false"/>
                  <w:color w:val="0000FF"/>
                  <w:sz w:val="20"/>
                  <w:u w:val="single"/>
                </w:rPr>
                <w:t>Business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89e23d71e462f9aefd4b0361f55a7_19">
              <w:r>
                <w:rPr>
                  <w:rStyle w:val="InternetLink"/>
                  <w:rFonts w:ascii="Times New Roman;sans-serif" w:hAnsi="Times New Roman;sans-serif"/>
                  <w:b w:val="false"/>
                  <w:strike w:val="false"/>
                  <w:dstrike w:val="false"/>
                  <w:color w:val="000000"/>
                  <w:sz w:val="20"/>
                  <w:u w:val="none"/>
                  <w:effect w:val="none"/>
                </w:rPr>
                <w:t>4</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22">
              <w:r>
                <w:rPr>
                  <w:rStyle w:val="InternetLink"/>
                  <w:rFonts w:ascii="Times New Roman;sans-serif" w:hAnsi="Times New Roman;sans-serif"/>
                  <w:b w:val="false"/>
                  <w:strike w:val="false"/>
                  <w:dstrike w:val="false"/>
                  <w:color w:val="000000"/>
                  <w:sz w:val="20"/>
                  <w:u w:val="none"/>
                  <w:effect w:val="none"/>
                </w:rPr>
                <w:t>Item 1A.</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22">
              <w:r>
                <w:rPr>
                  <w:rStyle w:val="InternetLink"/>
                  <w:rFonts w:ascii="Times New Roman;sans-serif" w:hAnsi="Times New Roman;sans-serif"/>
                  <w:b w:val="false"/>
                  <w:color w:val="0000FF"/>
                  <w:sz w:val="20"/>
                  <w:u w:val="single"/>
                </w:rPr>
                <w:t>Risk Factors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89e23d71e462f9aefd4b0361f55a7_22">
              <w:r>
                <w:rPr>
                  <w:rStyle w:val="InternetLink"/>
                  <w:rFonts w:ascii="Times New Roman;sans-serif" w:hAnsi="Times New Roman;sans-serif"/>
                  <w:b w:val="false"/>
                  <w:strike w:val="false"/>
                  <w:dstrike w:val="false"/>
                  <w:color w:val="000000"/>
                  <w:sz w:val="20"/>
                  <w:u w:val="none"/>
                  <w:effect w:val="none"/>
                </w:rPr>
                <w:t>27</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25">
              <w:r>
                <w:rPr>
                  <w:rStyle w:val="InternetLink"/>
                  <w:rFonts w:ascii="Times New Roman;sans-serif" w:hAnsi="Times New Roman;sans-serif"/>
                  <w:b w:val="false"/>
                  <w:strike w:val="false"/>
                  <w:dstrike w:val="false"/>
                  <w:color w:val="000000"/>
                  <w:sz w:val="20"/>
                  <w:u w:val="none"/>
                  <w:effect w:val="none"/>
                </w:rPr>
                <w:t>Item 1B.</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25">
              <w:r>
                <w:rPr>
                  <w:rStyle w:val="InternetLink"/>
                  <w:rFonts w:ascii="Times New Roman;sans-serif" w:hAnsi="Times New Roman;sans-serif"/>
                  <w:b w:val="false"/>
                  <w:color w:val="0000FF"/>
                  <w:sz w:val="20"/>
                  <w:u w:val="single"/>
                </w:rPr>
                <w:t>Unresolved Staff Comments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89e23d71e462f9aefd4b0361f55a7_25">
              <w:r>
                <w:rPr>
                  <w:rStyle w:val="InternetLink"/>
                  <w:rFonts w:ascii="Times New Roman;sans-serif" w:hAnsi="Times New Roman;sans-serif"/>
                  <w:b w:val="false"/>
                  <w:strike w:val="false"/>
                  <w:dstrike w:val="false"/>
                  <w:color w:val="000000"/>
                  <w:sz w:val="20"/>
                  <w:u w:val="none"/>
                  <w:effect w:val="none"/>
                </w:rPr>
                <w:t>72</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549755815624">
              <w:r>
                <w:rPr>
                  <w:rStyle w:val="InternetLink"/>
                  <w:rFonts w:ascii="Times New Roman;sans-serif" w:hAnsi="Times New Roman;sans-serif"/>
                  <w:b w:val="false"/>
                  <w:strike w:val="false"/>
                  <w:dstrike w:val="false"/>
                  <w:color w:val="000080"/>
                  <w:sz w:val="20"/>
                  <w:u w:val="single"/>
                  <w:effect w:val="none"/>
                </w:rPr>
                <w:t>I</w:t>
              </w:r>
            </w:hyperlink>
            <w:hyperlink w:anchor="i82889e23d71e462f9aefd4b0361f55a7_549755815624">
              <w:r>
                <w:rPr>
                  <w:rStyle w:val="InternetLink"/>
                  <w:rFonts w:ascii="Times New Roman;sans-serif" w:hAnsi="Times New Roman;sans-serif"/>
                  <w:b w:val="false"/>
                  <w:strike w:val="false"/>
                  <w:dstrike w:val="false"/>
                  <w:color w:val="000080"/>
                  <w:sz w:val="20"/>
                  <w:u w:val="single"/>
                  <w:effect w:val="none"/>
                </w:rPr>
                <w:t>te</w:t>
              </w:r>
            </w:hyperlink>
            <w:hyperlink w:anchor="i82889e23d71e462f9aefd4b0361f55a7_549755815624">
              <w:r>
                <w:rPr>
                  <w:rStyle w:val="InternetLink"/>
                  <w:rFonts w:ascii="Times New Roman;sans-serif" w:hAnsi="Times New Roman;sans-serif"/>
                  <w:b w:val="false"/>
                  <w:strike w:val="false"/>
                  <w:dstrike w:val="false"/>
                  <w:color w:val="000080"/>
                  <w:sz w:val="20"/>
                  <w:u w:val="single"/>
                  <w:effect w:val="none"/>
                </w:rPr>
                <w:t>m 1C</w:t>
              </w:r>
            </w:hyperlink>
            <w:r>
              <w:rPr>
                <w:rFonts w:ascii="Times New Roman;sans-serif" w:hAnsi="Times New Roman;sans-serif"/>
                <w:b w:val="false"/>
                <w:color w:val="000000"/>
                <w:sz w:val="20"/>
              </w:rPr>
              <w:t>.</w:t>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549755815624">
              <w:r>
                <w:rPr>
                  <w:rStyle w:val="InternetLink"/>
                  <w:rFonts w:ascii="Times New Roman;sans-serif" w:hAnsi="Times New Roman;sans-serif"/>
                  <w:b w:val="false"/>
                  <w:color w:val="000080"/>
                  <w:sz w:val="20"/>
                  <w:u w:val="single"/>
                </w:rPr>
                <w:t>C</w:t>
              </w:r>
            </w:hyperlink>
            <w:hyperlink w:anchor="i82889e23d71e462f9aefd4b0361f55a7_549755815624">
              <w:r>
                <w:rPr>
                  <w:rStyle w:val="InternetLink"/>
                  <w:rFonts w:ascii="Times New Roman;sans-serif" w:hAnsi="Times New Roman;sans-serif"/>
                  <w:b w:val="false"/>
                  <w:color w:val="000080"/>
                  <w:sz w:val="20"/>
                  <w:u w:val="single"/>
                </w:rPr>
                <w:t>ybersecurity</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89e23d71e462f9aefd4b0361f55a7_25">
              <w:r>
                <w:rPr>
                  <w:rStyle w:val="InternetLink"/>
                  <w:rFonts w:ascii="Times New Roman;sans-serif" w:hAnsi="Times New Roman;sans-serif"/>
                  <w:b w:val="false"/>
                  <w:strike w:val="false"/>
                  <w:dstrike w:val="false"/>
                  <w:color w:val="000000"/>
                  <w:sz w:val="20"/>
                  <w:u w:val="none"/>
                  <w:effect w:val="none"/>
                </w:rPr>
                <w:t>72</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28">
              <w:r>
                <w:rPr>
                  <w:rStyle w:val="InternetLink"/>
                  <w:rFonts w:ascii="Times New Roman;sans-serif" w:hAnsi="Times New Roman;sans-serif"/>
                  <w:b w:val="false"/>
                  <w:strike w:val="false"/>
                  <w:dstrike w:val="false"/>
                  <w:color w:val="000000"/>
                  <w:sz w:val="20"/>
                  <w:u w:val="none"/>
                  <w:effect w:val="none"/>
                </w:rPr>
                <w:t>Item 2.</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28">
              <w:r>
                <w:rPr>
                  <w:rStyle w:val="InternetLink"/>
                  <w:rFonts w:ascii="Times New Roman;sans-serif" w:hAnsi="Times New Roman;sans-serif"/>
                  <w:b w:val="false"/>
                  <w:color w:val="0000FF"/>
                  <w:sz w:val="20"/>
                  <w:u w:val="single"/>
                </w:rPr>
                <w:t>Properties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89e23d71e462f9aefd4b0361f55a7_28">
              <w:r>
                <w:rPr>
                  <w:rStyle w:val="InternetLink"/>
                  <w:rFonts w:ascii="Times New Roman;sans-serif" w:hAnsi="Times New Roman;sans-serif"/>
                  <w:b w:val="false"/>
                  <w:strike w:val="false"/>
                  <w:dstrike w:val="false"/>
                  <w:color w:val="000000"/>
                  <w:sz w:val="20"/>
                  <w:u w:val="none"/>
                  <w:effect w:val="none"/>
                </w:rPr>
                <w:t>73</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31">
              <w:r>
                <w:rPr>
                  <w:rStyle w:val="InternetLink"/>
                  <w:rFonts w:ascii="Times New Roman;sans-serif" w:hAnsi="Times New Roman;sans-serif"/>
                  <w:b w:val="false"/>
                  <w:strike w:val="false"/>
                  <w:dstrike w:val="false"/>
                  <w:color w:val="000000"/>
                  <w:sz w:val="20"/>
                  <w:u w:val="none"/>
                  <w:effect w:val="none"/>
                </w:rPr>
                <w:t>Item 3.</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31">
              <w:r>
                <w:rPr>
                  <w:rStyle w:val="InternetLink"/>
                  <w:rFonts w:ascii="Times New Roman;sans-serif" w:hAnsi="Times New Roman;sans-serif"/>
                  <w:b w:val="false"/>
                  <w:color w:val="0000FF"/>
                  <w:sz w:val="20"/>
                  <w:u w:val="single"/>
                </w:rPr>
                <w:t>Legal Proceedings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89e23d71e462f9aefd4b0361f55a7_31">
              <w:r>
                <w:rPr>
                  <w:rStyle w:val="InternetLink"/>
                  <w:rFonts w:ascii="Times New Roman;sans-serif" w:hAnsi="Times New Roman;sans-serif"/>
                  <w:b w:val="false"/>
                  <w:strike w:val="false"/>
                  <w:dstrike w:val="false"/>
                  <w:color w:val="000000"/>
                  <w:sz w:val="20"/>
                  <w:u w:val="none"/>
                  <w:effect w:val="none"/>
                </w:rPr>
                <w:t>73</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34">
              <w:r>
                <w:rPr>
                  <w:rStyle w:val="InternetLink"/>
                  <w:rFonts w:ascii="Times New Roman;sans-serif" w:hAnsi="Times New Roman;sans-serif"/>
                  <w:b w:val="false"/>
                  <w:strike w:val="false"/>
                  <w:dstrike w:val="false"/>
                  <w:color w:val="000000"/>
                  <w:sz w:val="20"/>
                  <w:u w:val="none"/>
                  <w:effect w:val="none"/>
                </w:rPr>
                <w:t>Item 4.</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34">
              <w:r>
                <w:rPr>
                  <w:rStyle w:val="InternetLink"/>
                  <w:rFonts w:ascii="Times New Roman;sans-serif" w:hAnsi="Times New Roman;sans-serif"/>
                  <w:b w:val="false"/>
                  <w:color w:val="0000FF"/>
                  <w:sz w:val="20"/>
                  <w:u w:val="single"/>
                </w:rPr>
                <w:t>Mine Safety Disclosures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89e23d71e462f9aefd4b0361f55a7_34">
              <w:r>
                <w:rPr>
                  <w:rStyle w:val="InternetLink"/>
                  <w:rFonts w:ascii="Times New Roman;sans-serif" w:hAnsi="Times New Roman;sans-serif"/>
                  <w:b w:val="false"/>
                  <w:strike w:val="false"/>
                  <w:dstrike w:val="false"/>
                  <w:color w:val="000000"/>
                  <w:sz w:val="20"/>
                  <w:u w:val="none"/>
                  <w:effect w:val="none"/>
                </w:rPr>
                <w:t>73</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37">
              <w:r>
                <w:rPr>
                  <w:rStyle w:val="InternetLink"/>
                  <w:rFonts w:ascii="Times New Roman;sans-serif" w:hAnsi="Times New Roman;sans-serif"/>
                  <w:b/>
                  <w:color w:val="0000FF"/>
                  <w:sz w:val="20"/>
                  <w:u w:val="single"/>
                </w:rPr>
                <w:t>PART II</w:t>
              </w:r>
            </w:hyperlink>
          </w:p>
        </w:tc>
        <w:tc>
          <w:tcPr>
            <w:tcW w:w="8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40">
              <w:r>
                <w:rPr>
                  <w:rStyle w:val="InternetLink"/>
                  <w:rFonts w:ascii="Times New Roman;sans-serif" w:hAnsi="Times New Roman;sans-serif"/>
                  <w:b w:val="false"/>
                  <w:strike w:val="false"/>
                  <w:dstrike w:val="false"/>
                  <w:color w:val="000000"/>
                  <w:sz w:val="20"/>
                  <w:u w:val="none"/>
                  <w:effect w:val="none"/>
                </w:rPr>
                <w:t>Item 5.</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40">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89e23d71e462f9aefd4b0361f55a7_40">
              <w:r>
                <w:rPr>
                  <w:rStyle w:val="InternetLink"/>
                  <w:rFonts w:ascii="Times New Roman;sans-serif" w:hAnsi="Times New Roman;sans-serif"/>
                  <w:b w:val="false"/>
                  <w:strike w:val="false"/>
                  <w:dstrike w:val="false"/>
                  <w:color w:val="000000"/>
                  <w:sz w:val="20"/>
                  <w:u w:val="none"/>
                  <w:effect w:val="none"/>
                </w:rPr>
                <w:t>74</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43">
              <w:r>
                <w:rPr>
                  <w:rStyle w:val="InternetLink"/>
                  <w:rFonts w:ascii="Times New Roman;sans-serif" w:hAnsi="Times New Roman;sans-serif"/>
                  <w:b w:val="false"/>
                  <w:strike w:val="false"/>
                  <w:dstrike w:val="false"/>
                  <w:color w:val="000000"/>
                  <w:sz w:val="20"/>
                  <w:u w:val="none"/>
                  <w:effect w:val="none"/>
                </w:rPr>
                <w:t>Item 6.</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43">
              <w:r>
                <w:rPr>
                  <w:rStyle w:val="InternetLink"/>
                  <w:rFonts w:ascii="Times New Roman;sans-serif" w:hAnsi="Times New Roman;sans-serif"/>
                  <w:b w:val="false"/>
                  <w:color w:val="0000FF"/>
                  <w:sz w:val="20"/>
                  <w:u w:val="single"/>
                </w:rPr>
                <w:t>Reserved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89e23d71e462f9aefd4b0361f55a7_43">
              <w:r>
                <w:rPr>
                  <w:rStyle w:val="InternetLink"/>
                  <w:rFonts w:ascii="Times New Roman;sans-serif" w:hAnsi="Times New Roman;sans-serif"/>
                  <w:b w:val="false"/>
                  <w:strike w:val="false"/>
                  <w:dstrike w:val="false"/>
                  <w:color w:val="000000"/>
                  <w:sz w:val="20"/>
                  <w:u w:val="none"/>
                  <w:effect w:val="none"/>
                </w:rPr>
                <w:t>75</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46">
              <w:r>
                <w:rPr>
                  <w:rStyle w:val="InternetLink"/>
                  <w:rFonts w:ascii="Times New Roman;sans-serif" w:hAnsi="Times New Roman;sans-serif"/>
                  <w:b w:val="false"/>
                  <w:strike w:val="false"/>
                  <w:dstrike w:val="false"/>
                  <w:color w:val="000000"/>
                  <w:sz w:val="20"/>
                  <w:u w:val="none"/>
                  <w:effect w:val="none"/>
                </w:rPr>
                <w:t>Item 7.</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4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89e23d71e462f9aefd4b0361f55a7_46">
              <w:r>
                <w:rPr>
                  <w:rStyle w:val="InternetLink"/>
                  <w:rFonts w:ascii="Times New Roman;sans-serif" w:hAnsi="Times New Roman;sans-serif"/>
                  <w:b w:val="false"/>
                  <w:strike w:val="false"/>
                  <w:dstrike w:val="false"/>
                  <w:color w:val="000000"/>
                  <w:sz w:val="20"/>
                  <w:u w:val="none"/>
                  <w:effect w:val="none"/>
                </w:rPr>
                <w:t>75</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76">
              <w:r>
                <w:rPr>
                  <w:rStyle w:val="InternetLink"/>
                  <w:rFonts w:ascii="Times New Roman;sans-serif" w:hAnsi="Times New Roman;sans-serif"/>
                  <w:b w:val="false"/>
                  <w:strike w:val="false"/>
                  <w:dstrike w:val="false"/>
                  <w:color w:val="000000"/>
                  <w:sz w:val="20"/>
                  <w:u w:val="none"/>
                  <w:effect w:val="none"/>
                </w:rPr>
                <w:t>Item 7A.</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76">
              <w:r>
                <w:rPr>
                  <w:rStyle w:val="InternetLink"/>
                  <w:rFonts w:ascii="Times New Roman;sans-serif" w:hAnsi="Times New Roman;sans-serif"/>
                  <w:b w:val="false"/>
                  <w:color w:val="0000FF"/>
                  <w:sz w:val="20"/>
                  <w:u w:val="single"/>
                </w:rPr>
                <w:t>Quantitative and Qualitative Disclosures About Market Risk</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89e23d71e462f9aefd4b0361f55a7_76">
              <w:r>
                <w:rPr>
                  <w:rStyle w:val="InternetLink"/>
                  <w:rFonts w:ascii="Times New Roman;sans-serif" w:hAnsi="Times New Roman;sans-serif"/>
                  <w:b w:val="false"/>
                  <w:strike w:val="false"/>
                  <w:dstrike w:val="false"/>
                  <w:color w:val="000000"/>
                  <w:sz w:val="20"/>
                  <w:u w:val="none"/>
                  <w:effect w:val="none"/>
                </w:rPr>
                <w:t>85</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79">
              <w:r>
                <w:rPr>
                  <w:rStyle w:val="InternetLink"/>
                  <w:rFonts w:ascii="Times New Roman;sans-serif" w:hAnsi="Times New Roman;sans-serif"/>
                  <w:b w:val="false"/>
                  <w:strike w:val="false"/>
                  <w:dstrike w:val="false"/>
                  <w:color w:val="000000"/>
                  <w:sz w:val="20"/>
                  <w:u w:val="none"/>
                  <w:effect w:val="none"/>
                </w:rPr>
                <w:t>Item 8.</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79">
              <w:r>
                <w:rPr>
                  <w:rStyle w:val="InternetLink"/>
                  <w:rFonts w:ascii="Times New Roman;sans-serif" w:hAnsi="Times New Roman;sans-serif"/>
                  <w:b w:val="false"/>
                  <w:color w:val="0000FF"/>
                  <w:sz w:val="20"/>
                  <w:u w:val="single"/>
                </w:rPr>
                <w:t>Financial Statements and Supplementary Data</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89e23d71e462f9aefd4b0361f55a7_79">
              <w:r>
                <w:rPr>
                  <w:rStyle w:val="InternetLink"/>
                  <w:rFonts w:ascii="Times New Roman;sans-serif" w:hAnsi="Times New Roman;sans-serif"/>
                  <w:b w:val="false"/>
                  <w:strike w:val="false"/>
                  <w:dstrike w:val="false"/>
                  <w:color w:val="000000"/>
                  <w:sz w:val="20"/>
                  <w:u w:val="none"/>
                  <w:effect w:val="none"/>
                </w:rPr>
                <w:t>86</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163">
              <w:r>
                <w:rPr>
                  <w:rStyle w:val="InternetLink"/>
                  <w:rFonts w:ascii="Times New Roman;sans-serif" w:hAnsi="Times New Roman;sans-serif"/>
                  <w:b w:val="false"/>
                  <w:strike w:val="false"/>
                  <w:dstrike w:val="false"/>
                  <w:color w:val="000000"/>
                  <w:sz w:val="20"/>
                  <w:u w:val="none"/>
                  <w:effect w:val="none"/>
                </w:rPr>
                <w:t>Item 9.</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163">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89e23d71e462f9aefd4b0361f55a7_163">
              <w:r>
                <w:rPr>
                  <w:rStyle w:val="InternetLink"/>
                  <w:rFonts w:ascii="Times New Roman;sans-serif" w:hAnsi="Times New Roman;sans-serif"/>
                  <w:b w:val="false"/>
                  <w:strike w:val="false"/>
                  <w:dstrike w:val="false"/>
                  <w:color w:val="000000"/>
                  <w:sz w:val="20"/>
                  <w:u w:val="none"/>
                  <w:effect w:val="none"/>
                </w:rPr>
                <w:t>109</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166">
              <w:r>
                <w:rPr>
                  <w:rStyle w:val="InternetLink"/>
                  <w:rFonts w:ascii="Times New Roman;sans-serif" w:hAnsi="Times New Roman;sans-serif"/>
                  <w:b w:val="false"/>
                  <w:strike w:val="false"/>
                  <w:dstrike w:val="false"/>
                  <w:color w:val="000000"/>
                  <w:sz w:val="20"/>
                  <w:u w:val="none"/>
                  <w:effect w:val="none"/>
                </w:rPr>
                <w:t>Item 9A.</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166">
              <w:r>
                <w:rPr>
                  <w:rStyle w:val="InternetLink"/>
                  <w:rFonts w:ascii="Times New Roman;sans-serif" w:hAnsi="Times New Roman;sans-serif"/>
                  <w:b w:val="false"/>
                  <w:color w:val="0000FF"/>
                  <w:sz w:val="20"/>
                  <w:u w:val="single"/>
                </w:rPr>
                <w:t>Controls and Procedures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89e23d71e462f9aefd4b0361f55a7_166">
              <w:r>
                <w:rPr>
                  <w:rStyle w:val="InternetLink"/>
                  <w:rFonts w:ascii="Times New Roman;sans-serif" w:hAnsi="Times New Roman;sans-serif"/>
                  <w:b w:val="false"/>
                  <w:strike w:val="false"/>
                  <w:dstrike w:val="false"/>
                  <w:color w:val="000000"/>
                  <w:sz w:val="20"/>
                  <w:u w:val="none"/>
                  <w:effect w:val="none"/>
                </w:rPr>
                <w:t>109</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169">
              <w:r>
                <w:rPr>
                  <w:rStyle w:val="InternetLink"/>
                  <w:rFonts w:ascii="Times New Roman;sans-serif" w:hAnsi="Times New Roman;sans-serif"/>
                  <w:b w:val="false"/>
                  <w:strike w:val="false"/>
                  <w:dstrike w:val="false"/>
                  <w:color w:val="000000"/>
                  <w:sz w:val="20"/>
                  <w:u w:val="none"/>
                  <w:effect w:val="none"/>
                </w:rPr>
                <w:t>Item 9B.</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169">
              <w:r>
                <w:rPr>
                  <w:rStyle w:val="InternetLink"/>
                  <w:rFonts w:ascii="Times New Roman;sans-serif" w:hAnsi="Times New Roman;sans-serif"/>
                  <w:b w:val="false"/>
                  <w:color w:val="0000FF"/>
                  <w:sz w:val="20"/>
                  <w:u w:val="single"/>
                </w:rPr>
                <w:t>Other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89e23d71e462f9aefd4b0361f55a7_169">
              <w:r>
                <w:rPr>
                  <w:rStyle w:val="InternetLink"/>
                  <w:rFonts w:ascii="Times New Roman;sans-serif" w:hAnsi="Times New Roman;sans-serif"/>
                  <w:b w:val="false"/>
                  <w:strike w:val="false"/>
                  <w:dstrike w:val="false"/>
                  <w:color w:val="000000"/>
                  <w:sz w:val="20"/>
                  <w:u w:val="none"/>
                  <w:effect w:val="none"/>
                </w:rPr>
                <w:t>111</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172">
              <w:r>
                <w:rPr>
                  <w:rStyle w:val="InternetLink"/>
                  <w:rFonts w:ascii="Times New Roman;sans-serif" w:hAnsi="Times New Roman;sans-serif"/>
                  <w:b w:val="false"/>
                  <w:strike w:val="false"/>
                  <w:dstrike w:val="false"/>
                  <w:color w:val="000080"/>
                  <w:sz w:val="20"/>
                  <w:u w:val="single"/>
                  <w:effect w:val="none"/>
                </w:rPr>
                <w:t>I</w:t>
              </w:r>
            </w:hyperlink>
            <w:hyperlink w:anchor="i82889e23d71e462f9aefd4b0361f55a7_172">
              <w:r>
                <w:rPr>
                  <w:rStyle w:val="InternetLink"/>
                  <w:rFonts w:ascii="Times New Roman;sans-serif" w:hAnsi="Times New Roman;sans-serif"/>
                  <w:b w:val="false"/>
                  <w:strike w:val="false"/>
                  <w:dstrike w:val="false"/>
                  <w:color w:val="000080"/>
                  <w:sz w:val="20"/>
                  <w:u w:val="single"/>
                  <w:effect w:val="none"/>
                </w:rPr>
                <w:t>te</w:t>
              </w:r>
            </w:hyperlink>
            <w:hyperlink w:anchor="i82889e23d71e462f9aefd4b0361f55a7_172">
              <w:r>
                <w:rPr>
                  <w:rStyle w:val="InternetLink"/>
                  <w:rFonts w:ascii="Times New Roman;sans-serif" w:hAnsi="Times New Roman;sans-serif"/>
                  <w:b w:val="false"/>
                  <w:strike w:val="false"/>
                  <w:dstrike w:val="false"/>
                  <w:color w:val="000080"/>
                  <w:sz w:val="20"/>
                  <w:u w:val="single"/>
                  <w:effect w:val="none"/>
                </w:rPr>
                <w:t>m 9C</w:t>
              </w:r>
            </w:hyperlink>
            <w:r>
              <w:rPr>
                <w:rFonts w:ascii="Times New Roman;sans-serif" w:hAnsi="Times New Roman;sans-serif"/>
                <w:b w:val="false"/>
                <w:color w:val="000000"/>
                <w:sz w:val="20"/>
              </w:rPr>
              <w:t>.</w:t>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172">
              <w:r>
                <w:rPr>
                  <w:rStyle w:val="InternetLink"/>
                  <w:rFonts w:ascii="Times New Roman;sans-serif" w:hAnsi="Times New Roman;sans-serif"/>
                  <w:b w:val="false"/>
                  <w:color w:val="0000FF"/>
                  <w:sz w:val="20"/>
                  <w:u w:val="single"/>
                </w:rPr>
                <w:t>Disclosure Regarding Foreign Jurisdictions that Prevent Inspections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89e23d71e462f9aefd4b0361f55a7_172">
              <w:r>
                <w:rPr>
                  <w:rStyle w:val="InternetLink"/>
                  <w:rFonts w:ascii="Times New Roman;sans-serif" w:hAnsi="Times New Roman;sans-serif"/>
                  <w:b w:val="false"/>
                  <w:strike w:val="false"/>
                  <w:dstrike w:val="false"/>
                  <w:color w:val="000000"/>
                  <w:sz w:val="20"/>
                  <w:u w:val="none"/>
                  <w:effect w:val="none"/>
                </w:rPr>
                <w:t>117</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175">
              <w:r>
                <w:rPr>
                  <w:rStyle w:val="InternetLink"/>
                  <w:rFonts w:ascii="Times New Roman;sans-serif" w:hAnsi="Times New Roman;sans-serif"/>
                  <w:b/>
                  <w:color w:val="0000FF"/>
                  <w:sz w:val="20"/>
                  <w:u w:val="single"/>
                </w:rPr>
                <w:t>PART III</w:t>
              </w:r>
            </w:hyperlink>
          </w:p>
        </w:tc>
        <w:tc>
          <w:tcPr>
            <w:tcW w:w="8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178">
              <w:r>
                <w:rPr>
                  <w:rStyle w:val="InternetLink"/>
                  <w:rFonts w:ascii="Times New Roman;sans-serif" w:hAnsi="Times New Roman;sans-serif"/>
                  <w:b w:val="false"/>
                  <w:strike w:val="false"/>
                  <w:dstrike w:val="false"/>
                  <w:color w:val="000000"/>
                  <w:sz w:val="20"/>
                  <w:u w:val="none"/>
                  <w:effect w:val="none"/>
                </w:rPr>
                <w:t>Item 10.</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178">
              <w:r>
                <w:rPr>
                  <w:rStyle w:val="InternetLink"/>
                  <w:rFonts w:ascii="Times New Roman;sans-serif" w:hAnsi="Times New Roman;sans-serif"/>
                  <w:b w:val="false"/>
                  <w:color w:val="0000FF"/>
                  <w:sz w:val="20"/>
                  <w:u w:val="single"/>
                </w:rPr>
                <w:t>Directors, Executive Officers and Corporate Governance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89e23d71e462f9aefd4b0361f55a7_178">
              <w:r>
                <w:rPr>
                  <w:rStyle w:val="InternetLink"/>
                  <w:rFonts w:ascii="Times New Roman;sans-serif" w:hAnsi="Times New Roman;sans-serif"/>
                  <w:b w:val="false"/>
                  <w:strike w:val="false"/>
                  <w:dstrike w:val="false"/>
                  <w:color w:val="000000"/>
                  <w:sz w:val="20"/>
                  <w:u w:val="none"/>
                  <w:effect w:val="none"/>
                </w:rPr>
                <w:t>113</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181">
              <w:r>
                <w:rPr>
                  <w:rStyle w:val="InternetLink"/>
                  <w:rFonts w:ascii="Times New Roman;sans-serif" w:hAnsi="Times New Roman;sans-serif"/>
                  <w:b w:val="false"/>
                  <w:strike w:val="false"/>
                  <w:dstrike w:val="false"/>
                  <w:color w:val="000000"/>
                  <w:sz w:val="20"/>
                  <w:u w:val="none"/>
                  <w:effect w:val="none"/>
                </w:rPr>
                <w:t>Item 11.</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181">
              <w:r>
                <w:rPr>
                  <w:rStyle w:val="InternetLink"/>
                  <w:rFonts w:ascii="Times New Roman;sans-serif" w:hAnsi="Times New Roman;sans-serif"/>
                  <w:b w:val="false"/>
                  <w:color w:val="0000FF"/>
                  <w:sz w:val="20"/>
                  <w:u w:val="single"/>
                </w:rPr>
                <w:t>Executive Compensation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89e23d71e462f9aefd4b0361f55a7_181">
              <w:r>
                <w:rPr>
                  <w:rStyle w:val="InternetLink"/>
                  <w:rFonts w:ascii="Times New Roman;sans-serif" w:hAnsi="Times New Roman;sans-serif"/>
                  <w:b w:val="false"/>
                  <w:strike w:val="false"/>
                  <w:dstrike w:val="false"/>
                  <w:color w:val="000000"/>
                  <w:sz w:val="20"/>
                  <w:u w:val="none"/>
                  <w:effect w:val="none"/>
                </w:rPr>
                <w:t>113</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184">
              <w:r>
                <w:rPr>
                  <w:rStyle w:val="InternetLink"/>
                  <w:rFonts w:ascii="Times New Roman;sans-serif" w:hAnsi="Times New Roman;sans-serif"/>
                  <w:b w:val="false"/>
                  <w:strike w:val="false"/>
                  <w:dstrike w:val="false"/>
                  <w:color w:val="000000"/>
                  <w:sz w:val="20"/>
                  <w:u w:val="none"/>
                  <w:effect w:val="none"/>
                </w:rPr>
                <w:t>Item 12.</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184">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89e23d71e462f9aefd4b0361f55a7_184">
              <w:r>
                <w:rPr>
                  <w:rStyle w:val="InternetLink"/>
                  <w:rFonts w:ascii="Times New Roman;sans-serif" w:hAnsi="Times New Roman;sans-serif"/>
                  <w:b w:val="false"/>
                  <w:strike w:val="false"/>
                  <w:dstrike w:val="false"/>
                  <w:color w:val="000000"/>
                  <w:sz w:val="20"/>
                  <w:u w:val="none"/>
                  <w:effect w:val="none"/>
                </w:rPr>
                <w:t>113</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187">
              <w:r>
                <w:rPr>
                  <w:rStyle w:val="InternetLink"/>
                  <w:rFonts w:ascii="Times New Roman;sans-serif" w:hAnsi="Times New Roman;sans-serif"/>
                  <w:b w:val="false"/>
                  <w:strike w:val="false"/>
                  <w:dstrike w:val="false"/>
                  <w:color w:val="000000"/>
                  <w:sz w:val="20"/>
                  <w:u w:val="none"/>
                  <w:effect w:val="none"/>
                </w:rPr>
                <w:t>Item 13.</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187">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89e23d71e462f9aefd4b0361f55a7_187">
              <w:r>
                <w:rPr>
                  <w:rStyle w:val="InternetLink"/>
                  <w:rFonts w:ascii="Times New Roman;sans-serif" w:hAnsi="Times New Roman;sans-serif"/>
                  <w:b w:val="false"/>
                  <w:strike w:val="false"/>
                  <w:dstrike w:val="false"/>
                  <w:color w:val="000000"/>
                  <w:sz w:val="20"/>
                  <w:u w:val="none"/>
                  <w:effect w:val="none"/>
                </w:rPr>
                <w:t>113</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190">
              <w:r>
                <w:rPr>
                  <w:rStyle w:val="InternetLink"/>
                  <w:rFonts w:ascii="Times New Roman;sans-serif" w:hAnsi="Times New Roman;sans-serif"/>
                  <w:b w:val="false"/>
                  <w:strike w:val="false"/>
                  <w:dstrike w:val="false"/>
                  <w:color w:val="000000"/>
                  <w:sz w:val="20"/>
                  <w:u w:val="none"/>
                  <w:effect w:val="none"/>
                </w:rPr>
                <w:t>Item 14.</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190">
              <w:r>
                <w:rPr>
                  <w:rStyle w:val="InternetLink"/>
                  <w:rFonts w:ascii="Times New Roman;sans-serif" w:hAnsi="Times New Roman;sans-serif"/>
                  <w:b w:val="false"/>
                  <w:color w:val="0000FF"/>
                  <w:sz w:val="20"/>
                  <w:u w:val="single"/>
                </w:rPr>
                <w:t>Principal Accounting Fees and Services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89e23d71e462f9aefd4b0361f55a7_190">
              <w:r>
                <w:rPr>
                  <w:rStyle w:val="InternetLink"/>
                  <w:rFonts w:ascii="Times New Roman;sans-serif" w:hAnsi="Times New Roman;sans-serif"/>
                  <w:b w:val="false"/>
                  <w:strike w:val="false"/>
                  <w:dstrike w:val="false"/>
                  <w:color w:val="000000"/>
                  <w:sz w:val="20"/>
                  <w:u w:val="none"/>
                  <w:effect w:val="none"/>
                </w:rPr>
                <w:t>113</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193">
              <w:r>
                <w:rPr>
                  <w:rStyle w:val="InternetLink"/>
                  <w:rFonts w:ascii="Times New Roman;sans-serif" w:hAnsi="Times New Roman;sans-serif"/>
                  <w:b/>
                  <w:color w:val="0000FF"/>
                  <w:sz w:val="20"/>
                  <w:u w:val="single"/>
                </w:rPr>
                <w:t>PART IV</w:t>
              </w:r>
            </w:hyperlink>
          </w:p>
        </w:tc>
        <w:tc>
          <w:tcPr>
            <w:tcW w:w="8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196">
              <w:r>
                <w:rPr>
                  <w:rStyle w:val="InternetLink"/>
                  <w:rFonts w:ascii="Times New Roman;sans-serif" w:hAnsi="Times New Roman;sans-serif"/>
                  <w:b w:val="false"/>
                  <w:strike w:val="false"/>
                  <w:dstrike w:val="false"/>
                  <w:color w:val="000000"/>
                  <w:sz w:val="20"/>
                  <w:u w:val="none"/>
                  <w:effect w:val="none"/>
                </w:rPr>
                <w:t>Item 15.</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196">
              <w:r>
                <w:rPr>
                  <w:rStyle w:val="InternetLink"/>
                  <w:rFonts w:ascii="Times New Roman;sans-serif" w:hAnsi="Times New Roman;sans-serif"/>
                  <w:b w:val="false"/>
                  <w:color w:val="0000FF"/>
                  <w:sz w:val="20"/>
                  <w:u w:val="single"/>
                </w:rPr>
                <w:t>Exhibits and Financial Statement Schedules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89e23d71e462f9aefd4b0361f55a7_196">
              <w:r>
                <w:rPr>
                  <w:rStyle w:val="InternetLink"/>
                  <w:rFonts w:ascii="Times New Roman;sans-serif" w:hAnsi="Times New Roman;sans-serif"/>
                  <w:b w:val="false"/>
                  <w:strike w:val="false"/>
                  <w:dstrike w:val="false"/>
                  <w:color w:val="000000"/>
                  <w:sz w:val="20"/>
                  <w:u w:val="none"/>
                  <w:effect w:val="none"/>
                </w:rPr>
                <w:t>114</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199">
              <w:r>
                <w:rPr>
                  <w:rStyle w:val="InternetLink"/>
                  <w:rFonts w:ascii="Times New Roman;sans-serif" w:hAnsi="Times New Roman;sans-serif"/>
                  <w:b w:val="false"/>
                  <w:strike w:val="false"/>
                  <w:dstrike w:val="false"/>
                  <w:color w:val="000000"/>
                  <w:sz w:val="20"/>
                  <w:u w:val="none"/>
                  <w:effect w:val="none"/>
                </w:rPr>
                <w:t>Item 16</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199">
              <w:r>
                <w:rPr>
                  <w:rStyle w:val="InternetLink"/>
                  <w:rFonts w:ascii="Times New Roman;sans-serif" w:hAnsi="Times New Roman;sans-serif"/>
                  <w:b w:val="false"/>
                  <w:color w:val="0000FF"/>
                  <w:sz w:val="20"/>
                  <w:u w:val="single"/>
                </w:rPr>
                <w:t>Form 10-K Summary</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89e23d71e462f9aefd4b0361f55a7_199">
              <w:r>
                <w:rPr>
                  <w:rStyle w:val="InternetLink"/>
                  <w:rFonts w:ascii="Times New Roman;sans-serif" w:hAnsi="Times New Roman;sans-serif"/>
                  <w:b w:val="false"/>
                  <w:strike w:val="false"/>
                  <w:dstrike w:val="false"/>
                  <w:color w:val="000000"/>
                  <w:sz w:val="20"/>
                  <w:u w:val="none"/>
                  <w:effect w:val="none"/>
                </w:rPr>
                <w:t>116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82889e23d71e462f9aefd4b0361f55a7_7">
        <w:r>
          <w:rPr>
            <w:rStyle w:val="InternetLink"/>
            <w:rFonts w:ascii="Times New Roman;sans-serif" w:hAnsi="Times New Roman;sans-serif"/>
            <w:b w:val="false"/>
            <w:color w:val="000080"/>
            <w:sz w:val="20"/>
            <w:u w:val="single"/>
          </w:rPr>
          <w:t>Table of C</w:t>
        </w:r>
      </w:hyperlink>
      <w:hyperlink w:anchor="i82889e23d71e462f9aefd4b0361f55a7_7">
        <w:r>
          <w:rPr>
            <w:rStyle w:val="InternetLink"/>
            <w:rFonts w:ascii="Times New Roman;sans-serif" w:hAnsi="Times New Roman;sans-serif"/>
            <w:b w:val="false"/>
            <w:color w:val="000080"/>
            <w:sz w:val="20"/>
            <w:u w:val="single"/>
          </w:rPr>
          <w:t>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or this Report, contains forward-looking statements that involve risks, uncertainties, and assumptions that, if they never materialize or prove incorrect, could cause our results to differ materially from those expressed or implied by such forward-looking statements.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“anticipate,” “believe,” “could,” “estimate,” “expect,” “intend,” “may,” “plan,” “potential,” “predict,” “project,” “should,” “will,” “would” or the negative of those terms, and similar expressions that convey uncertainty of future events or outcomes. Any statements contained herein that are not statements of historical facts may be deemed to be forward-looking statements. Forward-looking statements in this Report include, but are not limited to, statements about:</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estimates regarding expenses, future revenue, capital requirements and needs for additional financing;</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success, cost and timing of our product development activities and clinical trials of our lead product candidate, bexotegrast (PLN-74809) and our other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to initiate, recruit and enroll patients in, and conduct our clinical trials at the pace that we project;</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to obtain and maintain regulatory approvals of our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to obtain funding for our operations, including funding necessary to complete further development and, upon successful development, if approved, commercialize any of our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effect and impact of new, existing and proposed laws and regulations;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potential benefit of orphan drug and Fast Track designations for bexotegrast;</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ability to compete with companies currently marketing or engaged in the development of treatments for fibrosis;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regarding obtaining and maintaining intellectual property protection for our product candidates and the duration of such protection;</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regarding the manufacture of our product candidates for clinical trials and for commercial use, if approved;</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dependence on future collaborators for developing, obtaining regulatory approval for and commercializing product candidates in the collaboration;</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receipt and timing of any milestone payments or royalties under any future research collaboration or license agreements or arrangements;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regarding the commercialization of any products that are approved for marketing and our ability to establish adequate pricing in the U.S. and international markets;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size and growth potential of the markets for our product candidates, and our ability to serve those markets, either alone or in combination with others;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 xml:space="preserve">Our ability to attract and retain qualified employees and key personnel; </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expectations regarding government and third-party payor coverage and reimbursement; and</w:t>
      </w:r>
    </w:p>
    <w:p>
      <w:pPr>
        <w:pStyle w:val="TextBody"/>
        <w:bidi w:val="0"/>
        <w:spacing w:lineRule="auto" w:line="288" w:before="0" w:after="0"/>
        <w:ind w:left="0" w:right="0" w:hanging="630"/>
        <w:jc w:val="left"/>
        <w:rPr/>
      </w:pPr>
      <w:r>
        <w:rPr>
          <w:color w:val="000000"/>
        </w:rPr>
        <w:t>•</w:t>
      </w:r>
      <w:r>
        <w:rPr>
          <w:rFonts w:ascii="Times New Roman;sans-serif" w:hAnsi="Times New Roman;sans-serif"/>
          <w:b w:val="false"/>
          <w:color w:val="000000"/>
          <w:sz w:val="20"/>
        </w:rPr>
        <w:t>Our expectations of obtaining a positive health technology assessment recommending our products.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These statements are based on the beliefs and assumptions of our management, which are in turn based on information currently available to management. Such forward-looking statements are subject to risks, uncertainties and other important factors that could cause actual results and the timing of certain events to differ materially from future results and timing expressed or implied by such forward-looking statements. Factors that could cause or contribute to such differences include, but are not limited to, those discussed in the section entitled “Risk Factors” included under Part I, Item 1A in this Report. Furthermore, such forward-looking statements speak only as of the date of this Report. Except as required by law, we undertake no obligation to update any forward-looking statements to reflect events or circumstances after the date of such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82889e23d71e462f9aefd4b0361f55a7_7">
        <w:r>
          <w:rPr>
            <w:rStyle w:val="InternetLink"/>
            <w:rFonts w:ascii="Times New Roman;sans-serif" w:hAnsi="Times New Roman;sans-serif"/>
            <w:b w:val="false"/>
            <w:color w:val="000080"/>
            <w:sz w:val="20"/>
            <w:u w:val="single"/>
          </w:rPr>
          <w:t>Table of C</w:t>
        </w:r>
      </w:hyperlink>
      <w:hyperlink w:anchor="i82889e23d71e462f9aefd4b0361f55a7_7">
        <w:r>
          <w:rPr>
            <w:rStyle w:val="InternetLink"/>
            <w:rFonts w:ascii="Times New Roman;sans-serif" w:hAnsi="Times New Roman;sans-serif"/>
            <w:b w:val="false"/>
            <w:color w:val="000080"/>
            <w:sz w:val="20"/>
            <w:u w:val="single"/>
          </w:rPr>
          <w:t>ontents</w:t>
        </w:r>
      </w:hyperlink>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SUMMARY OF RISKS ASSOCIATED WITH OUR BUSINESS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involves significant risks, some of which are summarized below. The summary risk factors listed below should be read together with the text of the full risk factors discussed in "Part I, Item 1A. Risk Factors" in this Report. You should carefully consider the risks described below, as well as the other information in this Report, including our financial statements and the related notes and “Management’s Discussion and Analysis of Financial Condition and Results of Operations” as well as in other documents that we file with the Securities and Exchange Commission, or the SEC. The occurrence of any of the events or developments described in this Report could have a material adverse effect on our business, financial condition, results of operations, growth prospects and stock price. In such an event, the market price of our common stock could decline. Additional risks and uncertainties not presently known to us or that we currently deem immaterial may also impair our business operations and the market price of our common stock.</w:t>
      </w:r>
    </w:p>
    <w:p>
      <w:pPr>
        <w:pStyle w:val="TextBody"/>
        <w:bidi w:val="0"/>
        <w:spacing w:lineRule="auto" w:line="288" w:before="12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Our Financial Position and Need for Additional Capital</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have incurred significant net losses since inception, and we expect to continue to incur significant net losses for the foreseeable future.</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future commercialization efforts or other operations.</w:t>
      </w:r>
    </w:p>
    <w:p>
      <w:pPr>
        <w:pStyle w:val="TextBody"/>
        <w:bidi w:val="0"/>
        <w:spacing w:lineRule="auto" w:line="288" w:before="12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Research and Development and the Biopharmaceutical Industry</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have a limited operating history, which may make it difficult to evaluate our prospects and likelihood of success.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business is highly dependent on the success of our lead product candidate, bexotegrast and any other product candidates that we advance into the clinic. All of our product candidates will require significant additional preclinical and clinical development before we may be able to seek regulatory approval for and launch a product commercially.</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approach to drug discovery and development in the area of fibrotic diseases is unproven and may not result in marketable products.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Clinical development involves a lengthy, complex, and expensive process, with an uncertain outcome to support either a marketing authorization or positive pricing and reimbursement decisions.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may incur additional costs or experience delays in completing, or ultimately be unable to complete, the development and commercialization of bexotegrast or any other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may fail to obtain and maintain certain regulatory exclusivities and orphan designations in some jurisdictions and therefore fail to secure orphan exclusivity or other exclusivity extensions in those jurisdictions.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If we encounter difficulties enrolling patients in our clinical trials, our clinical development activities could be delayed or otherwise adversely affected.</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face substantial competition, which may result in others discovering, developing, or commercializing products before or more successfully than us.</w:t>
      </w:r>
    </w:p>
    <w:p>
      <w:pPr>
        <w:pStyle w:val="TextBody"/>
        <w:bidi w:val="0"/>
        <w:spacing w:lineRule="auto" w:line="288" w:before="0" w:after="0"/>
        <w:ind w:left="0" w:right="0" w:hanging="630"/>
        <w:jc w:val="left"/>
        <w:rPr/>
      </w:pPr>
      <w:r>
        <w:rPr>
          <w:color w:val="000000"/>
        </w:rPr>
        <w:t>•</w:t>
      </w:r>
      <w:r>
        <w:rPr>
          <w:rFonts w:ascii="Times New Roman;sans-serif" w:hAnsi="Times New Roman;sans-serif"/>
          <w:b w:val="false"/>
          <w:color w:val="000000"/>
          <w:sz w:val="20"/>
        </w:rPr>
        <w:t>We may fail to secure an appropriate reimbursement price or a positive health technology assessment.</w:t>
      </w:r>
    </w:p>
    <w:p>
      <w:pPr>
        <w:pStyle w:val="TextBody"/>
        <w:bidi w:val="0"/>
        <w:spacing w:lineRule="auto" w:line="288" w:before="12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Our Intellectual Property</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success depends in part on our ability to obtain patent term extensions and to protect our intellectual property. It is difficult and costly to protect our proprietary rights and technology, and we may not be able to ensure their protection.</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pStyle w:val="TextBody"/>
        <w:bidi w:val="0"/>
        <w:spacing w:lineRule="auto" w:line="288" w:before="12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Our Reliance on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2889e23d71e462f9aefd4b0361f55a7_7">
        <w:r>
          <w:rPr>
            <w:rStyle w:val="InternetLink"/>
            <w:rFonts w:ascii="Times New Roman;sans-serif" w:hAnsi="Times New Roman;sans-serif"/>
            <w:b w:val="false"/>
            <w:color w:val="000080"/>
            <w:sz w:val="20"/>
            <w:u w:val="single"/>
          </w:rPr>
          <w:t>Table of C</w:t>
        </w:r>
      </w:hyperlink>
      <w:hyperlink w:anchor="i82889e23d71e462f9aefd4b0361f55a7_7">
        <w:r>
          <w:rPr>
            <w:rStyle w:val="InternetLink"/>
            <w:rFonts w:ascii="Times New Roman;sans-serif" w:hAnsi="Times New Roman;sans-serif"/>
            <w:b w:val="false"/>
            <w:color w:val="000080"/>
            <w:sz w:val="20"/>
            <w:u w:val="single"/>
          </w:rPr>
          <w:t>ontents</w:t>
        </w:r>
      </w:hyperlink>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rely on third parties to conduct certain aspects of our preclinical studies and clinical trials and for tissue samples and other materials required for our research and development activities.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rely on single-source third party suppliers located in foreign jurisdictions, including China, to manufacture our drug candidates. An interruption in this supply, caused by a business interruption or geopolitical events, could materially disrupt our research and development activities.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If we are unable to enter into new collaborations, or if these collaborations are not successful, our business could be adversely affected.</w:t>
      </w:r>
    </w:p>
    <w:p>
      <w:pPr>
        <w:pStyle w:val="TextBody"/>
        <w:bidi w:val="0"/>
        <w:spacing w:lineRule="auto" w:line="288" w:before="12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Managing Our Business and Operations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effects of health epidemics and pandemics, such as COVID-19 could adversely impact our business, including our preclinical studies and clinical trials.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loss of key management personnel, or our failure to recruit additional highly skilled personnel, will impair our ability to develop current product candidates or identify and develop new product candidates, could result in loss of markets or market share and could make us less competitive.</w:t>
      </w:r>
    </w:p>
    <w:p>
      <w:pPr>
        <w:pStyle w:val="TextBody"/>
        <w:bidi w:val="0"/>
        <w:spacing w:lineRule="auto" w:line="288" w:before="0" w:after="0"/>
        <w:ind w:left="0" w:right="0" w:hanging="630"/>
        <w:jc w:val="left"/>
        <w:rPr/>
      </w:pPr>
      <w:r>
        <w:rPr>
          <w:color w:val="000000"/>
        </w:rPr>
        <w:t>•</w:t>
      </w:r>
      <w:r>
        <w:rPr>
          <w:rFonts w:ascii="Times New Roman;sans-serif" w:hAnsi="Times New Roman;sans-serif"/>
          <w:b w:val="false"/>
          <w:color w:val="000000"/>
          <w:sz w:val="20"/>
        </w:rPr>
        <w:t>Effective December 31, 2023, we became a large accelerated filer and no longer qualify as a smaller reporting company, which will increase our costs and demands on management.</w:t>
      </w:r>
    </w:p>
    <w:p>
      <w:pPr>
        <w:pStyle w:val="TextBody"/>
        <w:bidi w:val="0"/>
        <w:spacing w:before="0" w:after="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2889e23d71e462f9aefd4b0361f55a7_7">
        <w:r>
          <w:rPr>
            <w:rStyle w:val="InternetLink"/>
            <w:rFonts w:ascii="Times New Roman;sans-serif" w:hAnsi="Times New Roman;sans-serif"/>
            <w:b w:val="false"/>
            <w:color w:val="000080"/>
            <w:sz w:val="20"/>
            <w:u w:val="single"/>
          </w:rPr>
          <w:t>Table of C</w:t>
        </w:r>
      </w:hyperlink>
      <w:hyperlink w:anchor="i82889e23d71e462f9aefd4b0361f55a7_7">
        <w:r>
          <w:rPr>
            <w:rStyle w:val="InternetLink"/>
            <w:rFonts w:ascii="Times New Roman;sans-serif" w:hAnsi="Times New Roman;sans-serif"/>
            <w:b w:val="false"/>
            <w:color w:val="000080"/>
            <w:sz w:val="20"/>
            <w:u w:val="single"/>
          </w:rPr>
          <w:t>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8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late stage biopharmaceutical company focused on discovering and developing novel therapies for the treatment of fibrosis and related diseases. Our initial focus is on treating fibrosis by inhibiting integrin-mediated activation of TGF-β. We have applied our deep understanding of fibrosis biology, along with our medicinal chemistry and translational medicine expertise to develop a set of proprietary tools designed to discover and de-risk product candidates quickly and efficiently. Our wholly-owned lead product candidate, bexotegrast (PLN-74809), is an oral, small molecule, dual selective inhibitor of αvß6 and αvß1 integrins that we are developing for the treatment of idiopathic pulmonary fibrosis, or IPF, and primary sclerosing cholangitis, or PSC. We are currently conducting a Phase 2b trial in IPF and a Phase 2a trial in PSC. We announced positive data from our Phase 2a INTEGRIS-IPF trial in May 2023. We are currently conducting BEACON-IPF, a 52-week, randomized, double-blind, placebo-controlled Phase 2b trial, in patients with IPF. We announced positive interim data from our Phase 2a INTEGRIS-PSC trial in September 2023 and February 2024. We expect to release final data from the INTEGRIS-PSC trial in mid-2024. </w:t>
      </w:r>
    </w:p>
    <w:p>
      <w:pPr>
        <w:pStyle w:val="TextBody"/>
        <w:bidi w:val="0"/>
        <w:spacing w:lineRule="auto" w:line="288" w:before="120" w:after="120"/>
        <w:ind w:left="0" w:right="0" w:firstLine="450"/>
        <w:jc w:val="left"/>
        <w:rPr/>
      </w:pPr>
      <w:r>
        <w:rPr>
          <w:rFonts w:ascii="Times New Roman;sans-serif" w:hAnsi="Times New Roman;sans-serif"/>
          <w:b w:val="false"/>
          <w:color w:val="000000"/>
          <w:sz w:val="20"/>
        </w:rPr>
        <w:t xml:space="preserve">In January 2023, we received FDA clearance of investigational new drug application, or IND, for our third clinical program to date, PLN-101095, a dual inhibitor of integrins αvß8 and αvß1 for the treatment of solid tumors that are resistant to immune checkpoint inhibitors. </w:t>
      </w:r>
      <w:r>
        <w:rPr>
          <w:rFonts w:ascii="Times New Roman;sans-serif" w:hAnsi="Times New Roman;sans-serif"/>
          <w:b w:val="false"/>
          <w:color w:val="231F20"/>
          <w:sz w:val="20"/>
        </w:rPr>
        <w:t>We are currently dosing the third of five planned dose cohorts in a Phase 1 open label dose-escalation trial of PLN-101095 as monotherapy and in combination with pembrolizumab in patients with solid tumors that are resistant to immune checkpoint inhibitors. We expect to release preliminary data from the trial in late 2024.</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fourth program to date, PLN-101325, in development for treatment of muscular dystrophies, including Duchenne muscular dystrophy. PLN-101325 is a monoclonal antibody designed to act as an allosteric agonist of integrin α7ß1. We expect to file with regulators for first-in-human studies in the first quarter of 2024.</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developed PLN-1474, an oral, small molecule selective inhibitor of αvß1 for the treatment of liver fibrosis associated with nonalcoholic steatohepatitis, or NASH. PLN-1474 is Phase 2-ready, having shown an excellent safety and pharmacokinetic profile in Phase 1 trials. PLN-1474 was licensed to Novartis in 2019. As part of a broad strategic realignment, Novartis has discontinued clinical development in NASH and, as a result, discontinued development of PLN-1474. In February 2023, Novartis returned global rights to PLN-1474 to Pliant. </w:t>
      </w:r>
    </w:p>
    <w:p>
      <w:pPr>
        <w:pStyle w:val="TextBody"/>
        <w:bidi w:val="0"/>
        <w:spacing w:lineRule="auto" w:line="288" w:before="80" w:after="283"/>
        <w:jc w:val="left"/>
        <w:rPr>
          <w:rFonts w:ascii="Times New Roman;sans-serif" w:hAnsi="Times New Roman;sans-serif"/>
          <w:b/>
          <w:color w:val="000000"/>
          <w:sz w:val="20"/>
        </w:rPr>
      </w:pPr>
      <w:r>
        <w:rPr>
          <w:rFonts w:ascii="Times New Roman;sans-serif" w:hAnsi="Times New Roman;sans-serif"/>
          <w:b/>
          <w:color w:val="000000"/>
          <w:sz w:val="20"/>
        </w:rPr>
        <w:t xml:space="preserve">Our Pipeline </w:t>
      </w:r>
    </w:p>
    <w:p>
      <w:pPr>
        <w:pStyle w:val="TextBody"/>
        <w:bidi w:val="0"/>
        <w:spacing w:before="200" w:after="283"/>
        <w:jc w:val="center"/>
        <w:rPr/>
      </w:pPr>
      <w:r>
        <w:rPr/>
        <w:drawing>
          <wp:inline distT="0" distB="0" distL="0" distR="0">
            <wp:extent cx="6286500" cy="269557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6286500" cy="2695575"/>
                    </a:xfrm>
                    <a:prstGeom prst="rect">
                      <a:avLst/>
                    </a:prstGeom>
                  </pic:spPr>
                </pic:pic>
              </a:graphicData>
            </a:graphic>
          </wp:inline>
        </w:drawing>
      </w:r>
    </w:p>
    <w:p>
      <w:pPr>
        <w:pStyle w:val="TextBody"/>
        <w:bidi w:val="0"/>
        <w:spacing w:before="200" w:after="283"/>
        <w:jc w:val="center"/>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Our Lead Candidate - Bexotegrast</w:t>
      </w:r>
    </w:p>
    <w:p>
      <w:pPr>
        <w:pStyle w:val="TextBody"/>
        <w:bidi w:val="0"/>
        <w:spacing w:lineRule="auto" w:line="288" w:before="120" w:after="120"/>
        <w:ind w:left="0" w:right="0" w:firstLine="45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Our lead wholly-owned product candidate, bexotegrast, is an oral, small molecule, dual-selective inhibitor of αvß6 and αvß1 that we are advancing in IPF and PSC. While expressed at very low levels in normal tissues, αvß6 and αvß1 are upregulated in the pulmonary tissues of IPF patients, and in the liver tissues of PSC patients. They both serve as activators of TGF-β, leading to increased collagen production and fibrosis in these tissues. By blocking TGF-β activation by both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231F20"/>
          <w:sz w:val="20"/>
        </w:rPr>
      </w:pPr>
      <w:r>
        <w:rPr>
          <w:rFonts w:ascii="Times New Roman;sans-serif" w:hAnsi="Times New Roman;sans-serif"/>
          <w:b w:val="false"/>
          <w:color w:val="231F20"/>
          <w:sz w:val="20"/>
        </w:rPr>
        <w:t>αvß6 and αvß1, we believe bexotegrast may slow and potentially halt the progression of fibrosis in these patient populations. Bexotegrast has been granted orphan drug designation by the United States Food and Drug Administration, or FDA and the European Medicines Agency, or EMA, for both IPF and PSC. In addition, bexotegrast has been granted Fast Track designation by the FDA for IPF and PSC.</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Bexotegrast for Treatment of IPF</w:t>
      </w:r>
    </w:p>
    <w:p>
      <w:pPr>
        <w:pStyle w:val="TextBody"/>
        <w:bidi w:val="0"/>
        <w:spacing w:lineRule="auto" w:line="288" w:before="120" w:after="120"/>
        <w:ind w:left="0" w:right="0" w:firstLine="450"/>
        <w:jc w:val="left"/>
        <w:rPr>
          <w:rFonts w:ascii="Times New Roman;sans-serif" w:hAnsi="Times New Roman;sans-serif"/>
          <w:b w:val="false"/>
          <w:color w:val="231F20"/>
          <w:sz w:val="20"/>
        </w:rPr>
      </w:pPr>
      <w:r>
        <w:rPr>
          <w:rFonts w:ascii="Times New Roman;sans-serif" w:hAnsi="Times New Roman;sans-serif"/>
          <w:b w:val="false"/>
          <w:color w:val="231F20"/>
          <w:sz w:val="20"/>
        </w:rPr>
        <w:t>IPF is the most common and severe form of progressive pulmonary fibrosis, affecting approximately 140,000 patients in the United States and over 3 million patients around the world. While the underlying cause of IPF is unknown, the course of the disease is well documented, with progressive scarring that destroys the structure and function of the lungs over time. The average life expectancy for patients with confirmed IPF is between three and five years. There are currently two FDA-approved therapies for IPF. Both have shown modest slowing of disease progression. However, both therapies have raised significant safety and tolerability concerns.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Bexotegrast is an oral small molecule that selectively inhibits both αvß6 and αvß1 integrins that we are developing as a potential therapy for IPF and PSC. It has been shown that expression of both αvß6 on epithelial cells and αvß1 on fibroblasts can lead to excessive activation of TGF-β in fibrosis. Epithelial tissue includes any tissue that lines the surfaces of the body such as alveoli, bile ducts, urinary tract, skin, and gastrointestinal tract. Each of these tissues contains multiple cell types including epithelial cells and fibroblasts. An important secondary effect of the TGF-β cascade is that it promotes upregulation of αvß6 on epithelial cells and αvß1 on fibroblasts. The increased expression of these integrins on the cell surface contributes in turn to further TGF-β activation in a TGF-β-driven positive feed-forward loop.</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May 2023 we announced final data from INTEGRIS-IPF, a multinational, randomized, double-blind, placebo-controlled Phase 2a clinical trial of bexotegrast in patients with IPF. The trial compared bexotegrast doses of 40 mg, 80 mg, 160 mg and 320 mg versus placebo over 12 weeks of treatment, with the 320 mg dose group allowed to treat for at least 24 weeks. The trial met its primary and secondary endpoints demonstrating that bexotegrast was well tolerated over a 12-week treatment period and displayed a favorable pharmacokinetic profile. The trial’s exploratory efficacy endpoints assessing changes in forced vital capacity, or FVC, Quantitative Lung Fibrosis, or QLF, imaging, serum biomarkers and clinical symptoms. Bexotegrast demonstrated a dose-dependent treatment effect on FVC, FVC percent predicted, or FVCpp, and QLF, as well as serum biomarkers and cough compared to placebo over 12 weeks in treated patients. Bexotegrast was well tolerated over 12 weeks of treatment with no drug related serious adverse events, or SAEs.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Bexotegrast at 320 mg demonstrated a statistically significant mean increase in FVC from baseline at all timepoints up to 12 weeks, surpassing all lower dose groups, and showed a strong treatment effect on FVC, FVCpp, QLF, profibrotic biomarkers and cough versus placebo at 12 weeks.</w:t>
      </w:r>
    </w:p>
    <w:p>
      <w:pPr>
        <w:pStyle w:val="TextBody"/>
        <w:bidi w:val="0"/>
        <w:spacing w:before="120" w:after="120"/>
        <w:ind w:left="0" w:right="0" w:firstLine="450"/>
        <w:jc w:val="left"/>
        <w:rPr/>
      </w:pPr>
      <w:r>
        <w:rPr/>
      </w:r>
    </w:p>
    <w:p>
      <w:pPr>
        <w:pStyle w:val="TextBody"/>
        <w:bidi w:val="0"/>
        <w:spacing w:before="120" w:after="120"/>
        <w:ind w:left="0" w:right="0" w:firstLine="450"/>
        <w:jc w:val="left"/>
        <w:rPr/>
      </w:pPr>
      <w:r>
        <w:rPr/>
        <w:drawing>
          <wp:inline distT="0" distB="0" distL="0" distR="0">
            <wp:extent cx="5543550" cy="295275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5543550" cy="2952750"/>
                    </a:xfrm>
                    <a:prstGeom prst="rect">
                      <a:avLst/>
                    </a:prstGeom>
                  </pic:spPr>
                </pic:pic>
              </a:graphicData>
            </a:graphic>
          </wp:inline>
        </w:drawing>
      </w:r>
    </w:p>
    <w:p>
      <w:pPr>
        <w:pStyle w:val="TextBody"/>
        <w:bidi w:val="0"/>
        <w:spacing w:lineRule="auto" w:line="25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Change in FVC from Baseline of Bexotegrast 320 mg Over 12 Weeks in INTEGRIS-IPF; Mixed Model Repeat Measures Analysis – Modified Intent to Treat Population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drawing>
          <wp:inline distT="0" distB="0" distL="0" distR="0">
            <wp:extent cx="5438775" cy="2752725"/>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5438775" cy="275272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Proportion of Participants with FVCpp Decline ≥10% - Intent to Treat Population</w:t>
      </w:r>
    </w:p>
    <w:p>
      <w:pPr>
        <w:pStyle w:val="TextBody"/>
        <w:bidi w:val="0"/>
        <w:spacing w:before="0" w:after="0"/>
        <w:jc w:val="center"/>
        <w:rPr/>
      </w:pPr>
      <w:r>
        <w:rPr/>
      </w:r>
    </w:p>
    <w:p>
      <w:pPr>
        <w:pStyle w:val="TextBody"/>
        <w:bidi w:val="0"/>
        <w:spacing w:before="120" w:after="283"/>
        <w:jc w:val="center"/>
        <w:rPr/>
      </w:pPr>
      <w:r>
        <w:rPr/>
        <w:drawing>
          <wp:inline distT="0" distB="0" distL="0" distR="0">
            <wp:extent cx="6286500" cy="240030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6286500" cy="2400300"/>
                    </a:xfrm>
                    <a:prstGeom prst="rect">
                      <a:avLst/>
                    </a:prstGeom>
                  </pic:spPr>
                </pic:pic>
              </a:graphicData>
            </a:graphic>
          </wp:inline>
        </w:drawing>
      </w:r>
    </w:p>
    <w:p>
      <w:pPr>
        <w:pStyle w:val="TextBody"/>
        <w:bidi w:val="0"/>
        <w:spacing w:lineRule="auto" w:line="256"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Circulating PRO-C3 and Integrin beta-6 Biomarker Levels–</w:t>
        <w:br/>
        <w:t>Change from Baseline at 4- and 12-Weeks vs Placebo</w:t>
      </w:r>
    </w:p>
    <w:p>
      <w:pPr>
        <w:pStyle w:val="TextBody"/>
        <w:bidi w:val="0"/>
        <w:spacing w:before="0" w:after="0"/>
        <w:jc w:val="left"/>
        <w:rPr/>
      </w:pPr>
      <w:r>
        <w:rPr/>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bexotegrast 320 mg group at 24 weeks met its primary and secondary endpoints demonstrating that bexotegrast was well tolerated over the 24-week treatment period and displayed a favorable pharmacokinetic profile. At Week 24, bexotegrast at 320 mg, in combination with standard of care, reduced FVC decline by 80% relative to standard of care alone. Eighty-nine percent of bexotegrast-treated patients who experienced an increase in FVC from baseline at Week 12 maintained an increase at Week 24. Bexotegrast at 320 mg showed a strong treatment effect with stabilization of fibrosis as measured by QLF imaging at Week 24. Bexotegrast was well tolerated up to 40 weeks of treatment at 320 mg with no drug-related serious adverse events.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6286500" cy="188595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6286500" cy="1885950"/>
                    </a:xfrm>
                    <a:prstGeom prst="rect">
                      <a:avLst/>
                    </a:prstGeom>
                  </pic:spPr>
                </pic:pic>
              </a:graphicData>
            </a:graphic>
          </wp:inline>
        </w:drawing>
      </w:r>
    </w:p>
    <w:p>
      <w:pPr>
        <w:pStyle w:val="TextBody"/>
        <w:bidi w:val="0"/>
        <w:spacing w:lineRule="auto" w:line="256"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Change in FVC from Baseline of Bexotegrast 320 mg Over 24 Weeks</w:t>
      </w:r>
    </w:p>
    <w:p>
      <w:pPr>
        <w:pStyle w:val="TextBody"/>
        <w:bidi w:val="0"/>
        <w:spacing w:before="120" w:after="283"/>
        <w:jc w:val="center"/>
        <w:rPr/>
      </w:pPr>
      <w:r>
        <w:rPr/>
      </w:r>
    </w:p>
    <w:p>
      <w:pPr>
        <w:pStyle w:val="TextBody"/>
        <w:bidi w:val="0"/>
        <w:spacing w:before="120" w:after="283"/>
        <w:jc w:val="center"/>
        <w:rPr/>
      </w:pPr>
      <w:r>
        <w:rPr/>
        <w:drawing>
          <wp:inline distT="0" distB="0" distL="0" distR="0">
            <wp:extent cx="6286500" cy="3171825"/>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6286500" cy="3171825"/>
                    </a:xfrm>
                    <a:prstGeom prst="rect">
                      <a:avLst/>
                    </a:prstGeom>
                  </pic:spPr>
                </pic:pic>
              </a:graphicData>
            </a:graphic>
          </wp:inline>
        </w:drawing>
      </w:r>
    </w:p>
    <w:p>
      <w:pPr>
        <w:pStyle w:val="TextBody"/>
        <w:bidi w:val="0"/>
        <w:spacing w:lineRule="auto" w:line="256"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Proportion of Patients with FVC Change from Baseline of Bexotegrast 320 mg </w:t>
        <w:br/>
        <w:t>Over 12 and 24 Weeks versus Placebo - Intent to Treat Population</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6286500" cy="2905125"/>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6286500" cy="2905125"/>
                    </a:xfrm>
                    <a:prstGeom prst="rect">
                      <a:avLst/>
                    </a:prstGeom>
                  </pic:spPr>
                </pic:pic>
              </a:graphicData>
            </a:graphic>
          </wp:inline>
        </w:drawing>
      </w:r>
    </w:p>
    <w:p>
      <w:pPr>
        <w:pStyle w:val="TextBody"/>
        <w:bidi w:val="0"/>
        <w:spacing w:lineRule="auto" w:line="256"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QLF Mean Percent Change from Baseline at Weeks 12 and 24 versus Placebo – Per CT Protocol Population</w: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2023, we initiated BEACON-IPF, a 52-week, multinational, randomized, dose-ranging, double-blind, placebo-controlled Phase 2b trial evaluating bexotegrast at doses of 160 mg or 320 mg. BEACON-IPF is a multinational trial enrolling approximately 270 patients with IPF. The primary endpoint is an assessment of the change from baseline in absolute mL of forced vital capacity (FVC) at Week 52. Key secondary endpoints include the measurement of time to disease progression (defined as either a ≥10% decline from baseline in FVC precent predicted (FVCpp), respiratory-related hospitalization, or all-cause mortality), change from baseline of absolute FVC (mL) with or without background therapies, change from baseline in patient reported measurements of symptoms, well-being at Week 52 and safety and tolerability.</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Bexotegrast for Treatment of Primary Sclerosing Cholangitis</w:t>
      </w:r>
    </w:p>
    <w:p>
      <w:pPr>
        <w:pStyle w:val="TextBody"/>
        <w:bidi w:val="0"/>
        <w:spacing w:lineRule="auto" w:line="288" w:before="120" w:after="120"/>
        <w:ind w:left="0" w:right="0" w:firstLine="450"/>
        <w:jc w:val="left"/>
        <w:rPr>
          <w:rFonts w:ascii="Times New Roman;sans-serif" w:hAnsi="Times New Roman;sans-serif"/>
          <w:b w:val="false"/>
          <w:color w:val="231F20"/>
          <w:sz w:val="20"/>
        </w:rPr>
      </w:pPr>
      <w:r>
        <w:rPr>
          <w:rFonts w:ascii="Times New Roman;sans-serif" w:hAnsi="Times New Roman;sans-serif"/>
          <w:b w:val="false"/>
          <w:color w:val="231F20"/>
          <w:sz w:val="20"/>
        </w:rPr>
        <w:t>PSC is a progressive liver disorder affecting approximately 30,000 to 45,000 patients in the United States. The disease is characterized by fibrosis originating in the bile ducts that ultimately results in bile flow obstruction or cholestasis, causing liver inflammation and progressive fibrosis of the liver. Patients have a median survival of 10 to 12 years without intervention and carry high lifetime risk of developing gastrointestinal malignancies. There are currently no FDA-approved therapies for PSC.</w:t>
      </w:r>
    </w:p>
    <w:p>
      <w:pPr>
        <w:pStyle w:val="TextBody"/>
        <w:bidi w:val="0"/>
        <w:spacing w:lineRule="auto" w:line="288" w:before="120" w:after="120"/>
        <w:ind w:left="0" w:right="0" w:firstLine="450"/>
        <w:jc w:val="left"/>
        <w:rPr/>
      </w:pPr>
      <w:r>
        <w:rPr>
          <w:rFonts w:ascii="Times New Roman;sans-serif" w:hAnsi="Times New Roman;sans-serif"/>
          <w:b w:val="false"/>
          <w:color w:val="231F20"/>
          <w:sz w:val="20"/>
        </w:rPr>
        <w:t xml:space="preserve">We are currently conducting INTEGRIS-PSC, a Phase 2a trial of bexotegrast in PSC. The trial is a 12-week multinational, randomized, double-blind, placebo-controlled trial enrolling approximately 112 PSC patients across bexotegrast doses of 40 mg, 80 mg, 160 mg and 320 mg versus placebo that will evaluate safety, tolerability and PK. We also plan to evaluate exploratory efficacy endpoints including fibrosis biomarkers such as Pro-C3 and enhanced liver fibrosis (ELF) score, as well as </w:t>
      </w:r>
      <w:r>
        <w:rPr>
          <w:rFonts w:ascii="Times New Roman;sans-serif" w:hAnsi="Times New Roman;sans-serif"/>
          <w:b w:val="false"/>
          <w:color w:val="000000"/>
          <w:sz w:val="20"/>
        </w:rPr>
        <w:t>alkaline phosphatase (</w:t>
      </w:r>
      <w:r>
        <w:rPr>
          <w:rFonts w:ascii="Times New Roman;sans-serif" w:hAnsi="Times New Roman;sans-serif"/>
          <w:b w:val="false"/>
          <w:color w:val="231F20"/>
          <w:sz w:val="20"/>
        </w:rPr>
        <w:t>ALP) and liver imaging. While the lower doses end the treatment period at 12 weeks, the 320 mg dose cohort will be allowed to continue treatment to at least 24 weeks.</w:t>
      </w:r>
    </w:p>
    <w:p>
      <w:pPr>
        <w:pStyle w:val="TextBody"/>
        <w:bidi w:val="0"/>
        <w:spacing w:lineRule="auto" w:line="288" w:before="120" w:after="120"/>
        <w:ind w:left="0" w:right="0" w:firstLine="450"/>
        <w:jc w:val="left"/>
        <w:rPr/>
      </w:pPr>
      <w:r>
        <w:rPr>
          <w:rFonts w:ascii="Times New Roman;sans-serif" w:hAnsi="Times New Roman;sans-serif"/>
          <w:b w:val="false"/>
          <w:color w:val="231F20"/>
          <w:sz w:val="20"/>
        </w:rPr>
        <w:t xml:space="preserve">In January 2024, we released 12-week data from all four dose cohorts of the INTEGRIS-PSC data. </w:t>
      </w:r>
      <w:r>
        <w:rPr>
          <w:rFonts w:ascii="Times New Roman;sans-serif" w:hAnsi="Times New Roman;sans-serif"/>
          <w:b w:val="false"/>
          <w:color w:val="000000"/>
          <w:sz w:val="20"/>
        </w:rPr>
        <w:t xml:space="preserve">The trial met its primary and secondary endpoints demonstrating that bexotegrast was well tolerated over a 12-week treatment period with no drug-related severe or serious adverse events (SAEs). Notably, PSC related AEs of cholangitis and pruritis occurred at lower rates in the treated groups compared to placebo. Bexotegrast displayed a favorable pharmacokinetic profile with exposures increasing with dose. </w:t>
      </w:r>
    </w:p>
    <w:p>
      <w:pPr>
        <w:pStyle w:val="TextBody"/>
        <w:bidi w:val="0"/>
        <w:spacing w:lineRule="auto" w:line="288" w:before="120" w:after="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bexotegrast doses reduced the fibrotic biomarkers ELF (Enhanced Liver Fibrosis score) and PRO-C3 relative to placebo at week 12 with PRO-C3 achieving statistical significance at the 40 mg and 160 mg doses. All doses also showed improvement in liver function and bile flow as measured by MRI imaging at week 12. In patients with elevated baseline alkaline phosphatase (ALP) levels, all bexotegrast doses showed improvement of ALP relative to placebo at week 12.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Lastly, all bexotegrast doses displayed improvement in itch relative to placebo as measured by the itch numerical rating scale, with statistical significance achieved at the 160 mg and 320 mg doses.</w:t>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drawing>
          <wp:inline distT="0" distB="0" distL="0" distR="0">
            <wp:extent cx="6000750" cy="352425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6000750" cy="3524250"/>
                    </a:xfrm>
                    <a:prstGeom prst="rect">
                      <a:avLst/>
                    </a:prstGeom>
                  </pic:spPr>
                </pic:pic>
              </a:graphicData>
            </a:graphic>
          </wp:inline>
        </w:drawing>
      </w:r>
    </w:p>
    <w:p>
      <w:pPr>
        <w:pStyle w:val="TextBody"/>
        <w:bidi w:val="0"/>
        <w:spacing w:lineRule="auto" w:line="256" w:before="120" w:after="283"/>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ELF Score at 12 Weeks in INTEGRIS-PSC - Single Doses, Pooled Doses and Pooled Placebo </w:t>
      </w:r>
    </w:p>
    <w:p>
      <w:pPr>
        <w:pStyle w:val="TextBody"/>
        <w:bidi w:val="0"/>
        <w:spacing w:before="120" w:after="283"/>
        <w:jc w:val="center"/>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planning to share data from the INTEGRIS-PSC trial with regulatory authorities to discuss the path to registration.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Twenty-four week data from the 320 mg dose group of the INTEGRIS-PSC trial is expected in mid-2024.</w:t>
      </w:r>
    </w:p>
    <w:p>
      <w:pPr>
        <w:pStyle w:val="TextBody"/>
        <w:bidi w:val="0"/>
        <w:spacing w:lineRule="auto" w:line="256" w:before="240" w:after="120"/>
        <w:jc w:val="left"/>
        <w:rPr>
          <w:rFonts w:ascii="Times New Roman;sans-serif" w:hAnsi="Times New Roman;sans-serif"/>
          <w:b/>
          <w:color w:val="000000"/>
          <w:sz w:val="20"/>
        </w:rPr>
      </w:pPr>
      <w:r>
        <w:rPr>
          <w:rFonts w:ascii="Times New Roman;sans-serif" w:hAnsi="Times New Roman;sans-serif"/>
          <w:b/>
          <w:color w:val="000000"/>
          <w:sz w:val="20"/>
        </w:rPr>
        <w:t>PLN-101095 for Treatment of Solid Tumors That are Resistant to Immune Checkpoint Inhibitors</w:t>
      </w:r>
    </w:p>
    <w:p>
      <w:pPr>
        <w:pStyle w:val="TextBody"/>
        <w:bidi w:val="0"/>
        <w:spacing w:lineRule="auto" w:line="288" w:before="120" w:after="120"/>
        <w:ind w:left="0" w:right="0" w:firstLine="450"/>
        <w:jc w:val="left"/>
        <w:rPr>
          <w:rFonts w:ascii="Times New Roman;sans-serif" w:hAnsi="Times New Roman;sans-serif"/>
          <w:b w:val="false"/>
          <w:color w:val="231F20"/>
          <w:sz w:val="20"/>
        </w:rPr>
      </w:pPr>
      <w:r>
        <w:rPr>
          <w:rFonts w:ascii="Times New Roman;sans-serif" w:hAnsi="Times New Roman;sans-serif"/>
          <w:b w:val="false"/>
          <w:color w:val="231F20"/>
          <w:sz w:val="20"/>
        </w:rPr>
        <w:t>Our third clinical program to date, PLN-101095, is an oral, dual inhibitor of αvß8 and αvß1 integrins for the treatment of solid tumors with a suboptimal response to immune checkpoint inhibitors, or ICIs. As TGF-β biology has been elucidated, it has become increasingly understood in the scientific literature that TGF-β plays an important anti-inflammatory role in the tumor micro-environment, preventing T-cell infiltration and inhibiting release of various cytokines. This mechanism is becoming increasingly recognized as a potential cause of the resistance to checkpoint inhibitors such as anti-PD-1 therapies seen in many tumors. We are targeting the TGF-β activating integrins αvβ8 and αvβ1, which are upregulated in certain tumors, with the goal of sensitizing tumors to checkpoint inhibitors. We are currently dosing the third of five planned dose cohorts in a Phase 1 open label dose-escalation trial of PLN-101095 as monotherapy for 14 days, followed by combination therapy with pembrolizumab in patients with solid tumors that are resistant to immune checkpoint inhibitors. We expect to release preliminary data from the trial in late 2024.</w:t>
      </w:r>
    </w:p>
    <w:p>
      <w:pPr>
        <w:pStyle w:val="TextBody"/>
        <w:bidi w:val="0"/>
        <w:spacing w:lineRule="auto" w:line="276"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PLN-101325 for Treatment of Muscular Dystrophies </w:t>
      </w:r>
    </w:p>
    <w:p>
      <w:pPr>
        <w:pStyle w:val="TextBody"/>
        <w:bidi w:val="0"/>
        <w:spacing w:lineRule="auto" w:line="288" w:before="120" w:after="120"/>
        <w:ind w:left="0" w:right="0" w:firstLine="450"/>
        <w:jc w:val="left"/>
        <w:rPr/>
      </w:pPr>
      <w:r>
        <w:rPr>
          <w:rFonts w:ascii="Times New Roman;sans-serif" w:hAnsi="Times New Roman;sans-serif"/>
          <w:b w:val="false"/>
          <w:color w:val="231F20"/>
          <w:sz w:val="20"/>
        </w:rPr>
        <w:t xml:space="preserve">We are developing PLN-101325, a monoclonal antibody targeting α7β1 for treatment of muscular dystrophies, including Duchenne Muscular Dystrophy, or DMD. The α7β1 integrin is upregulated on muscle cells in several muscular dystrophy indications. It partially compensates for the lack of dystrophin by helping to anchor muscle cells to the extracellular matrix. PLN-101325 binds and allosterically activates α7β1 in order to augment this naturally occurring compensatory mechanism. Because the antibody is not mutation specific, it could potentially be effective as a single therapy or in combination with other treatment modalities across multiple muscular dystrophy indications. </w:t>
      </w:r>
      <w:r>
        <w:rPr>
          <w:rFonts w:ascii="Times New Roman;sans-serif" w:hAnsi="Times New Roman;sans-serif"/>
          <w:b w:val="false"/>
          <w:color w:val="000000"/>
          <w:sz w:val="20"/>
        </w:rPr>
        <w:t>We expect to file with regulators for first-in-human studies in the first quarter of 2024</w:t>
      </w:r>
      <w:r>
        <w:rPr>
          <w:rFonts w:ascii="Times New Roman;sans-serif" w:hAnsi="Times New Roman;sans-serif"/>
          <w:b w:val="false"/>
          <w:color w:val="231F20"/>
          <w:sz w:val="20"/>
        </w:rPr>
        <w:t>.</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PLN-1474 for Treatment of Liver Fibrosis Associated with NASH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 have developed a clinical stage product candidate, PLN-1474, which is an oral, small molecule, selective inhibitor of TGF-β activation by the integrin αvß1 in development for treatment of advanced liver fibrosis associated with NASH. αvß1 serves as an activator of TGF-β and its expression has been shown to be upregulated in hepatic stellate cells in late-stage NASH-associated liver fibrosis. </w:t>
      </w:r>
    </w:p>
    <w:p>
      <w:pPr>
        <w:pStyle w:val="TextBody"/>
        <w:bidi w:val="0"/>
        <w:spacing w:lineRule="auto" w:line="288" w:before="120" w:after="120"/>
        <w:ind w:left="0" w:right="0" w:firstLine="45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PLN-1474 has completed a first-in-human, randomized, double-blind, placebo-controlled Phase 1 dose escalation trial that enrolled 84 healthy volunteers across single ascending dose and multiple ascending dose groups. Results showed that PLN-1474 was rapidly absorbed and well tolerated with no dose- or treatment-limiting toxicities observed with adverse events that were mostly mild with no severe or serious adverse events observed. </w:t>
      </w:r>
    </w:p>
    <w:p>
      <w:pPr>
        <w:pStyle w:val="TextBody"/>
        <w:bidi w:val="0"/>
        <w:spacing w:lineRule="auto" w:line="288" w:before="120" w:after="120"/>
        <w:ind w:left="0" w:right="0" w:firstLine="450"/>
        <w:jc w:val="left"/>
        <w:rPr/>
      </w:pPr>
      <w:r>
        <w:rPr>
          <w:rFonts w:ascii="Times New Roman;sans-serif" w:hAnsi="Times New Roman;sans-serif"/>
          <w:b w:val="false"/>
          <w:color w:val="231F20"/>
          <w:sz w:val="20"/>
        </w:rPr>
        <w:t xml:space="preserve">In October 2019, we entered into a collaboration and license agreement with Novartis in which Novartis licensed global rights to PLN-1474. Pursuant to the terms of the agreement, we received an upfront $50.0 million license fee and a $25.0 million contingent payment upon first-patient first-dose in the Phase 1 clinical trial of PLN-1474. </w:t>
      </w:r>
      <w:r>
        <w:rPr>
          <w:rFonts w:ascii="Times New Roman;sans-serif" w:hAnsi="Times New Roman;sans-serif"/>
          <w:b w:val="false"/>
          <w:color w:val="000000"/>
          <w:sz w:val="20"/>
        </w:rPr>
        <w:t xml:space="preserve">As part of a broad strategic realignment, Novartis has discontinued clinical development in NASH and, as a result, discontinued development of PLN-1474. In February 2023, Novartis returned global rights to PLN-1474 to Pliant. </w:t>
      </w:r>
      <w:r>
        <w:rPr>
          <w:rFonts w:ascii="Times New Roman;sans-serif" w:hAnsi="Times New Roman;sans-serif"/>
          <w:b w:val="false"/>
          <w:color w:val="231F20"/>
          <w:sz w:val="20"/>
        </w:rPr>
        <w:t>Please refer to Note 8</w:t>
      </w:r>
      <w:r>
        <w:rPr>
          <w:color w:val="000000"/>
        </w:rPr>
        <w:t xml:space="preserve"> </w:t>
      </w:r>
      <w:r>
        <w:rPr>
          <w:rFonts w:ascii="Times New Roman;sans-serif" w:hAnsi="Times New Roman;sans-serif"/>
          <w:b w:val="false"/>
          <w:color w:val="000000"/>
          <w:sz w:val="20"/>
        </w:rPr>
        <w:t>to our financial statements appearing elsewhere in this Annual Report for further information about the license and collaboration.</w:t>
      </w:r>
    </w:p>
    <w:p>
      <w:pPr>
        <w:pStyle w:val="TextBody"/>
        <w:bidi w:val="0"/>
        <w:spacing w:lineRule="auto" w:line="288" w:before="120" w:after="120"/>
        <w:jc w:val="left"/>
        <w:rPr>
          <w:rFonts w:ascii="Times New Roman;sans-serif" w:hAnsi="Times New Roman;sans-serif"/>
          <w:b/>
          <w:color w:val="231F20"/>
          <w:sz w:val="20"/>
        </w:rPr>
      </w:pPr>
      <w:r>
        <w:rPr>
          <w:rFonts w:ascii="Times New Roman;sans-serif" w:hAnsi="Times New Roman;sans-serif"/>
          <w:b/>
          <w:color w:val="231F20"/>
          <w:sz w:val="20"/>
        </w:rPr>
        <w:t>Our Team</w:t>
      </w:r>
    </w:p>
    <w:p>
      <w:pPr>
        <w:pStyle w:val="TextBody"/>
        <w:bidi w:val="0"/>
        <w:spacing w:lineRule="auto" w:line="288" w:before="120" w:after="120"/>
        <w:ind w:left="0" w:right="0" w:firstLine="450"/>
        <w:jc w:val="left"/>
        <w:rPr>
          <w:rFonts w:ascii="Times New Roman;sans-serif" w:hAnsi="Times New Roman;sans-serif"/>
          <w:b w:val="false"/>
          <w:color w:val="231F20"/>
          <w:sz w:val="20"/>
        </w:rPr>
      </w:pPr>
      <w:r>
        <w:rPr>
          <w:rFonts w:ascii="Times New Roman;sans-serif" w:hAnsi="Times New Roman;sans-serif"/>
          <w:b w:val="false"/>
          <w:color w:val="231F20"/>
          <w:sz w:val="20"/>
        </w:rPr>
        <w:t>We have assembled an executive team with highly relevant experience in fibrosis, small molecule drug discovery and clinical development. Bernard Coulie, M.D., Ph.D., our President and Chief Executive Officer, has over 20 years of experience in drug development, previously serving as Chief Executive Officer and Chief Medical Officer of ActoGeniX, as well as holding senior roles at Johnson &amp; Johnson. Éric Lefebvre, M.D., our Chief Medical Officer, brings deep experience in clinical development in liver disease. He previously served as head of clinical research and development for the NASH program at Allergan. Prior to Allergan, Dr. Lefebvre led HIV and HCV development at Janssen and later served as Chief Medical Officer at Tobira. Our science builds on the research of world-renowned researchers Dean Sheppard, M.D., Rik Derynck, Ph.D., Bill DeGrado, Ph.D. and Hal Chapman, M.D., all from the University of California, San Francisco, who bring broad experience in fibrosis biology and small molecule chemistry among other related disciplines.</w:t>
      </w:r>
    </w:p>
    <w:p>
      <w:pPr>
        <w:pStyle w:val="TextBody"/>
        <w:bidi w:val="0"/>
        <w:spacing w:lineRule="auto" w:line="276" w:before="200" w:after="120"/>
        <w:jc w:val="left"/>
        <w:rPr>
          <w:rFonts w:ascii="Times New Roman;sans-serif" w:hAnsi="Times New Roman;sans-serif"/>
          <w:b/>
          <w:color w:val="000000"/>
          <w:sz w:val="20"/>
        </w:rPr>
      </w:pPr>
      <w:r>
        <w:rPr>
          <w:rFonts w:ascii="Times New Roman;sans-serif" w:hAnsi="Times New Roman;sans-serif"/>
          <w:b/>
          <w:color w:val="000000"/>
          <w:sz w:val="20"/>
        </w:rPr>
        <w:t>Our Strategy</w:t>
      </w:r>
    </w:p>
    <w:p>
      <w:pPr>
        <w:pStyle w:val="TextBody"/>
        <w:bidi w:val="0"/>
        <w:spacing w:lineRule="auto" w:line="249" w:before="120" w:after="283"/>
        <w:ind w:left="0" w:right="0" w:firstLine="720"/>
        <w:jc w:val="left"/>
        <w:rPr>
          <w:rFonts w:ascii="Times New Roman;sans-serif" w:hAnsi="Times New Roman;sans-serif"/>
          <w:b w:val="false"/>
          <w:color w:val="231F20"/>
          <w:sz w:val="20"/>
        </w:rPr>
      </w:pPr>
      <w:r>
        <w:rPr>
          <w:rFonts w:ascii="Times New Roman;sans-serif" w:hAnsi="Times New Roman;sans-serif"/>
          <w:b w:val="false"/>
          <w:color w:val="231F20"/>
          <w:sz w:val="20"/>
        </w:rPr>
        <w:t>Our goal is to become a world-leading fibrosis company, developing and commercializing disease- modifying therapies across a spectrum of fibrotic diseases. To achieve this, we are focused on the following key strategies: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color w:val="000000"/>
          <w:sz w:val="20"/>
        </w:rPr>
        <w:t>Rapidly advance bexotegrast through clinical development and commercialization in IPF and PSC.</w:t>
      </w:r>
      <w:r>
        <w:rPr>
          <w:color w:val="000000"/>
        </w:rPr>
        <w:t xml:space="preserve"> </w:t>
      </w:r>
      <w:r>
        <w:rPr>
          <w:rFonts w:ascii="Times New Roman;sans-serif" w:hAnsi="Times New Roman;sans-serif"/>
          <w:b w:val="false"/>
          <w:color w:val="000000"/>
          <w:sz w:val="20"/>
        </w:rPr>
        <w:t>We are developing our lead oral, small molecule inhibitor of αvß6 and αvß1 as a novel therapy for IPF and PSC, each an area of high unmet medical need. Both IPF and PSC are orphan indications that we believe we can commercialize on our own in key geographies using targeted sales forces.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color w:val="000000"/>
          <w:sz w:val="20"/>
        </w:rPr>
        <w:t xml:space="preserve">Selectively evaluate additional partnerships in indications and geographies where we believe partners can add significant commercial and/or development capabilities. </w:t>
      </w:r>
      <w:r>
        <w:rPr>
          <w:rFonts w:ascii="Times New Roman;sans-serif" w:hAnsi="Times New Roman;sans-serif"/>
          <w:b w:val="false"/>
          <w:color w:val="000000"/>
          <w:sz w:val="20"/>
        </w:rPr>
        <w:t>Fibrotic diseases represent a broad set of disease indications to pursue. Our focus is to commercialize our assets in orphan fibrosis indications and to selectively work with partners in larger indications and in geographies outside of North America. Furthermore, we will evaluate and potentially choose to partner our unpartnered product candidates in indications outside of fibrosis.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color w:val="000000"/>
          <w:sz w:val="20"/>
        </w:rPr>
        <w:t xml:space="preserve">Explore opportunities for our pipeline assets in additional fibrotic indications. </w:t>
      </w:r>
      <w:r>
        <w:rPr>
          <w:rFonts w:ascii="Times New Roman;sans-serif" w:hAnsi="Times New Roman;sans-serif"/>
          <w:b w:val="false"/>
          <w:color w:val="000000"/>
          <w:sz w:val="20"/>
        </w:rPr>
        <w:t>We are evaluating the potential benefit of our product candidates outside of their lead indications. Our product candidates have shown anti-fibrotic activity in multiple animal models as well as human tissue in indications outside of IPF, PSC and NASH. We will continue to evaluate additional indications to maximize the potential of our pipeline.</w:t>
      </w:r>
    </w:p>
    <w:p>
      <w:pPr>
        <w:pStyle w:val="TextBody"/>
        <w:bidi w:val="0"/>
        <w:spacing w:lineRule="auto" w:line="288" w:before="120" w:after="120"/>
        <w:ind w:left="0" w:right="0" w:hanging="630"/>
        <w:jc w:val="left"/>
        <w:rPr/>
      </w:pPr>
      <w:r>
        <w:rPr>
          <w:color w:val="000000"/>
        </w:rPr>
        <w:t>•</w:t>
      </w:r>
      <w:r>
        <w:rPr>
          <w:rFonts w:ascii="Times New Roman;sans-serif" w:hAnsi="Times New Roman;sans-serif"/>
          <w:b/>
          <w:color w:val="000000"/>
          <w:sz w:val="20"/>
        </w:rPr>
        <w:t xml:space="preserve">Leverage our industry leading tools and capabilities to advance our mission of becoming a leading fibrosis company. </w:t>
      </w:r>
      <w:r>
        <w:rPr>
          <w:rFonts w:ascii="Times New Roman;sans-serif" w:hAnsi="Times New Roman;sans-serif"/>
          <w:b w:val="false"/>
          <w:color w:val="000000"/>
          <w:sz w:val="20"/>
        </w:rPr>
        <w:t>Since our founding, we have endeavored to advance the understanding of fibrosis biology, uncover new targets and advance novel product candidates. Currently, our proprietary capabilities include a target expression atlas, an expansive library of over 10,000 integrin binding molecules, an integrin screening assay platform, a live fibrotic human tissue program, a PET-ligand imaging program and biomarker assays. We continue to expand our integrin inhibitor library and develop tools such as additional PET-ligands as well as novel disease biomarkers. In addition, we have a library of over 70,000 compounds for non-integrin targets. We intend to leverage these tools and capabilities in a target- and modality-agnostic manner to expand our pipeline with a mission to become a world-leading fibrosis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120" w:after="120"/>
        <w:ind w:left="0" w:right="0" w:firstLine="450"/>
        <w:jc w:val="left"/>
        <w:rPr>
          <w:rFonts w:ascii="Times New Roman;sans-serif" w:hAnsi="Times New Roman;sans-serif"/>
          <w:b w:val="false"/>
          <w:color w:val="231F20"/>
          <w:sz w:val="20"/>
        </w:rPr>
      </w:pPr>
      <w:r>
        <w:rPr>
          <w:rFonts w:ascii="Times New Roman;sans-serif" w:hAnsi="Times New Roman;sans-serif"/>
          <w:b w:val="false"/>
          <w:color w:val="231F20"/>
          <w:sz w:val="20"/>
        </w:rPr>
        <w:t>The biotechnology and biopharmaceutical industries are characterized by rapidly advancing technologies, strong competition and an emphasis on proprietary products. While we believe that our technology, knowledge, experience and scientific personnel provide us with competitive advantages, we face substantial competition from many different sources, including larger pharmaceutical companies with greater resources. Smaller specialty biotechnology and biopharmaceutical companies, academic research institutions, governmental agencies, as well as public and private institutions are also potential sources of competitive products and technologies, including through collaborative arrangements with large and established biopharmaceutical companies. We also face competition in recruiting and retaining qualified scientific and management personnel, establishing clinical trial sites and enrolling patients for clinical trials, and acquiring technologies complementary to, or necessary for, our programs. We believe that the key competitive factors affecting the success of any of our product candidates will include efficacy, safety profile, convenience, method of administration, cost, level of promotional activity and intellectual property protection.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are a number of biopharmaceutical and biotechnology companies that are currently pursuing the development of products for the treatment of fibrosis. Companies that we are aware of that are targeting the treatment of various fibrosis indications through inhibiting various parts of the TGF-β pathway include companies with significant financial resources such as AbbVie Inc., AstraZeneca plc, Bristol Myers Squibb Co., Corbus Pharmaceutical, Merck &amp; Co., Inc., Morphic Therapeutics, Inc., Novartis AG, Scholar Rock, Inc. and Takeda Pharmaceutical Company.</w:t>
      </w:r>
    </w:p>
    <w:p>
      <w:pPr>
        <w:pStyle w:val="TextBody"/>
        <w:bidi w:val="0"/>
        <w:spacing w:lineRule="auto" w:line="268" w:before="0" w:after="0"/>
        <w:ind w:left="0" w:right="0" w:firstLine="450"/>
        <w:jc w:val="left"/>
        <w:rPr/>
      </w:pPr>
      <w:r>
        <w:rPr>
          <w:rFonts w:ascii="Times New Roman;sans-serif" w:hAnsi="Times New Roman;sans-serif"/>
          <w:b w:val="false"/>
          <w:color w:val="231F20"/>
          <w:sz w:val="20"/>
        </w:rPr>
        <w:t xml:space="preserve">Boehringer Ingelheim's PDE4B inhibitor (BI 1015550), </w:t>
      </w:r>
      <w:r>
        <w:rPr>
          <w:rFonts w:ascii="Times New Roman;sans-serif" w:hAnsi="Times New Roman;sans-serif"/>
          <w:b w:val="false"/>
          <w:color w:val="000000"/>
          <w:sz w:val="20"/>
        </w:rPr>
        <w:t>Bristol Myers Squibb Co.’s LPAR1 inhibitor (BMS-986278)</w:t>
      </w:r>
      <w:r>
        <w:rPr>
          <w:color w:val="231F20"/>
        </w:rPr>
        <w:t xml:space="preserve"> </w:t>
      </w:r>
      <w:r>
        <w:rPr>
          <w:rFonts w:ascii="Times New Roman;sans-serif" w:hAnsi="Times New Roman;sans-serif"/>
          <w:b w:val="false"/>
          <w:color w:val="231F20"/>
          <w:sz w:val="20"/>
        </w:rPr>
        <w:t>and United Therapeutics Corporation prostacyclin vasodilator (treprostinil) are the most advanced development candidates for the treatment of IPF.</w:t>
      </w:r>
    </w:p>
    <w:p>
      <w:pPr>
        <w:pStyle w:val="TextBody"/>
        <w:bidi w:val="0"/>
        <w:spacing w:lineRule="auto" w:line="288" w:before="120" w:after="120"/>
        <w:ind w:left="0" w:right="0" w:firstLine="450"/>
        <w:jc w:val="left"/>
        <w:rPr>
          <w:rFonts w:ascii="Times New Roman;sans-serif" w:hAnsi="Times New Roman;sans-serif"/>
          <w:b w:val="false"/>
          <w:color w:val="231F20"/>
          <w:sz w:val="20"/>
        </w:rPr>
      </w:pPr>
      <w:r>
        <w:rPr>
          <w:rFonts w:ascii="Times New Roman;sans-serif" w:hAnsi="Times New Roman;sans-serif"/>
          <w:b w:val="false"/>
          <w:color w:val="231F20"/>
          <w:sz w:val="20"/>
        </w:rPr>
        <w:t>Although our novel approach is unique from most other existing or investigational therapies across the disease areas where we are focusing our development, we will need to compete with currently approved therapies, and potentially those currently in development if they are approved. We are aware of several marketed and investigational products in our leading disease areas, including but not limited to:</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i/>
          <w:color w:val="000000"/>
          <w:sz w:val="20"/>
        </w:rPr>
        <w:t>IPF</w:t>
      </w:r>
      <w:r>
        <w:rPr>
          <w:rFonts w:ascii="Times New Roman;sans-serif" w:hAnsi="Times New Roman;sans-serif"/>
          <w:b w:val="false"/>
          <w:color w:val="000000"/>
          <w:sz w:val="20"/>
        </w:rPr>
        <w:t>: There are currently two approved products for the treatment of IPF; pirfenidone – brand name Esbriet</w:t>
      </w:r>
      <w:r>
        <w:rPr>
          <w:rFonts w:ascii="Times New Roman;sans-serif" w:hAnsi="Times New Roman;sans-serif"/>
          <w:b w:val="false"/>
          <w:color w:val="000000"/>
          <w:sz w:val="13"/>
        </w:rPr>
        <w:t>®</w:t>
      </w:r>
      <w:r>
        <w:rPr>
          <w:rFonts w:ascii="Times New Roman;sans-serif" w:hAnsi="Times New Roman;sans-serif"/>
          <w:b w:val="false"/>
          <w:color w:val="000000"/>
          <w:sz w:val="20"/>
        </w:rPr>
        <w:t>, marketed by Roche Holding AG, with generics marketed by Sandoz Group AG, Teva Pharmaceutical Industries Ltd., and others, and nintedanib – brand name Ofev</w:t>
      </w:r>
      <w:r>
        <w:rPr>
          <w:rFonts w:ascii="Times New Roman;sans-serif" w:hAnsi="Times New Roman;sans-serif"/>
          <w:b w:val="false"/>
          <w:color w:val="000000"/>
          <w:sz w:val="13"/>
        </w:rPr>
        <w:t>®</w:t>
      </w:r>
      <w:r>
        <w:rPr>
          <w:rFonts w:ascii="Times New Roman;sans-serif" w:hAnsi="Times New Roman;sans-serif"/>
          <w:b w:val="false"/>
          <w:color w:val="000000"/>
          <w:sz w:val="20"/>
        </w:rPr>
        <w:t>, marketed by Boehringer Ingelheim GmbH. Companies currently developing product candidates in IPF include Boehringer Ingelheim Pharmaceuticals, Inc., Bristol Myers Squibb Co., United Therapeutics Corporation, Amgen, Roche Holding AG, Vicore Pharma Holding, CSL Behring, PureTech Health PLC, BridgeBio Pharma Inc, Syndax Pharmaceuticals Inc., Endeavor BioMedicines, Inc., and Avalyn Pharma Inc..</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i/>
          <w:color w:val="000000"/>
          <w:sz w:val="20"/>
        </w:rPr>
        <w:t>PSC</w:t>
      </w:r>
      <w:r>
        <w:rPr>
          <w:rFonts w:ascii="Times New Roman;sans-serif" w:hAnsi="Times New Roman;sans-serif"/>
          <w:b w:val="false"/>
          <w:color w:val="000000"/>
          <w:sz w:val="20"/>
        </w:rPr>
        <w:t>: There are currently no approved therapies for the treatment of PSC. Companies currently developing product candidates in PSC include Dr. Falk Pharma GmbH, Mirum Pharmaceuticals, Inc., Chemomab Therapeutics Ltd., Ipsen Biopharmaceuticals Inc., Curome Biosciences, NGM Biopharmaceuticals, Inc. and Escient Pharmaceuticals, Inc.</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i/>
          <w:color w:val="000000"/>
          <w:sz w:val="20"/>
        </w:rPr>
        <w:t>NASH</w:t>
      </w:r>
      <w:r>
        <w:rPr>
          <w:rFonts w:ascii="Times New Roman;sans-serif" w:hAnsi="Times New Roman;sans-serif"/>
          <w:b w:val="false"/>
          <w:color w:val="000000"/>
          <w:sz w:val="20"/>
        </w:rPr>
        <w:t>: There are currently no FDA-approved therapies for the treatment of NASH. There are a number of companies developing product candidates for the treatment of NASH including 89bio, Inc., AbbVie Inc., Akero Therapeutics, Inc., Amgen Inc., AstraZeneca plc, Boehringer Ingelheim, Bristol Myers Squibb Co., Cascade Pharmaceuticals, Inc., Cirius Therapeutics, Inc., Dr. Falk Pharma GmbH, Eli Lilly &amp; Company, Enanta Pharmaceuticals, Inc., Gannex Pharma Co., Ltd., Galectin Therapeutics Inc., Gilead Sciences, Inc., Genfit SA, GlaxoSmithKline plc, Inventiva Pharma, Ionis Pharmaceuticals, Inc., Johnson &amp; Johnson, Madrigal Pharmaceuticals, Inc., Merck &amp; Co., Inc., Metacrine, Inc., NGM Biopharmaceuticals, Inc., NorthSea Therapeutics B.V., Novo Nordisk, Pfizer Inc.,Roche Holding AG, Regeneron Pharmaceuticals, Inc., Sanofi S.A., Takeda Pharmaceutical Company, Terns Pharmaceuticals, Inc., Viking Therapeutics, Inc. and Zydus Therapeutics Inc. Most of the drugs currently in development for NASH are focused on decreasing liver fat or improving liver inflammation as opposed to direct liver anti-fibrotic approaches.</w:t>
      </w:r>
    </w:p>
    <w:p>
      <w:pPr>
        <w:pStyle w:val="TextBody"/>
        <w:bidi w:val="0"/>
        <w:spacing w:lineRule="auto" w:line="288" w:before="120" w:after="120"/>
        <w:ind w:left="0" w:right="0" w:firstLine="450"/>
        <w:jc w:val="left"/>
        <w:rPr>
          <w:rFonts w:ascii="Times New Roman;sans-serif" w:hAnsi="Times New Roman;sans-serif"/>
          <w:b w:val="false"/>
          <w:color w:val="231F20"/>
          <w:sz w:val="20"/>
        </w:rPr>
      </w:pPr>
      <w:r>
        <w:rPr>
          <w:rFonts w:ascii="Times New Roman;sans-serif" w:hAnsi="Times New Roman;sans-serif"/>
          <w:b w:val="false"/>
          <w:color w:val="231F20"/>
          <w:sz w:val="20"/>
        </w:rPr>
        <w:t>The availability of reimbursement from government and other third-party payors will also significantly affect the pricing and competitiveness of our product candidates, if approved for marketing. Our competitors also may obtain FDA or other regulatory approval for their products more rapidly than we do, which could result in our competitors establishing a strong market position before we are able to enter the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80" w:after="283"/>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strive to protect and enhance the proprietary technology, inventions, and improvements that are commercially important to the development of our business, including seeking, maintaining, and defending patent rights, whether developed internally or licensed from third parties. We also rely on trade secrets relating to our proprietary technology platform and on know-how, continuing technological innovation and in-licensing opportunities to develop, strengthen, and maintain our proprietary position in the field of fibrosis that may be important for the development of our business. We additionally may rely on regulatory protection afforded through data exclusivity, market exclusivity, and patent term extensions, where available.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success may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 Our ability to stop third parties from making, using, selling, offering to sell, or importing our products may depend on the extent to which we have rights under valid and enforceable licenses, patents, or trade secrets that cover these activities. In some cases, enforcement of these rights may depend on third 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13, 2024, we own or co-own over 300 pending patent applications worldwide in over 30 patent families, including United States and corresponding foreign patent applications. As of February 13, 2024, twelve U.S. patents and seventeen foreign patents have been issued, granted or allowed. Our patents and any patents that may issue from our pending patent applications are generally expected to expire between the years 2037 to 2044, subject to possible patent term adjustment and/or extension. Our policy is to file patent applications to protect technology, inventions and improvements to inventions that are commercially important to the development of our business. We seek United States and foreign patent protection for a variety of technologies, including, research compounds and methods, candidate compounds and antibodies for modulating the activity of integrins, methods for treating diseases of interest, and methods for manufacturing our products. We also intend to seek patent protection or rely upon trade secret rights to protect other technologies that may be used to discover and validate targets and that may be used to identify and develop novel products. We seek protection, in part, through confidentiality and proprietary information agreements. We are a party to various other license agreements that give us rights to use specific technologies in our research and development.</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Company Owned IP</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own multiple families of patent applications that are directed to small molecule compositions capable of modulating integrins and methods for treating or preventing diseases associated with integrins. Certain applications in these families relate to our bexotegrast and PLN-1474 small molecule product candidates, backup compounds and structural analogs, various unit dosages, dosing regimens, and routes of administration. We are also pursuing innovative ways to modulate integrin function using antibodies and have 36 pending patent applications to that technology in the United States and foreign jurisdictions, and one issued foreign patent. Patents that may issue from these company owned applications are generally expected to expire between the years 2040 to 2044, subject to possible patent term adjustment and/or extension.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Trademark Protection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two registered U.S. trademarks for use in connection with our products. We may pursue additional registrations for future products in markets of interest.</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Trade Secret Protection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rely, in some circumstances, on trade secrets to protect our technology.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we have established expertise and development capabilities focused in the areas of preclinical research and development, manufacturing and manufacturing process development, quality control, quality assurance, regulatory affairs, and clinical trial design and implementation. We believe that our focus and expertise will help us develop products based on our proprietary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License Agreements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Novartis Collaboration and License Agreement</w:t>
      </w:r>
    </w:p>
    <w:p>
      <w:pPr>
        <w:pStyle w:val="TextBody"/>
        <w:bidi w:val="0"/>
        <w:spacing w:lineRule="auto" w:line="288" w:before="120" w:after="120"/>
        <w:ind w:left="0" w:right="0" w:firstLine="450"/>
        <w:jc w:val="left"/>
        <w:rPr/>
      </w:pPr>
      <w:r>
        <w:rPr>
          <w:rFonts w:ascii="Times New Roman;sans-serif" w:hAnsi="Times New Roman;sans-serif"/>
          <w:b w:val="false"/>
          <w:color w:val="000000"/>
          <w:sz w:val="20"/>
        </w:rPr>
        <w:t>In October 2019, we entered into a collaboration and license agreement, or the Novartis Agreement, with Novartis Institutes for Biomedical Research, Inc., or Novartis, for the research, development, and commercialization of PLN-1474. Pursuant to the terms of the Novartis Agreement, t</w:t>
      </w:r>
      <w:r>
        <w:rPr>
          <w:rFonts w:ascii="Times New Roman;sans-serif" w:hAnsi="Times New Roman;sans-serif"/>
          <w:b w:val="false"/>
          <w:color w:val="231F20"/>
          <w:sz w:val="20"/>
        </w:rPr>
        <w:t xml:space="preserve">he PLN-1474 IND was transferred to Novartis in the first quarter of 2021 following completion of </w:t>
      </w:r>
      <w:r>
        <w:rPr>
          <w:rFonts w:ascii="Times New Roman;sans-serif" w:hAnsi="Times New Roman;sans-serif"/>
          <w:b w:val="false"/>
          <w:color w:val="000000"/>
          <w:sz w:val="20"/>
        </w:rPr>
        <w:t xml:space="preserve">our first-in-human Phase 1 clinical trial. Upon transfer of the IND, Novartis assumed responsibility for all future development, manufacturing, and commercialization </w:t>
      </w:r>
      <w:r>
        <w:rPr>
          <w:rFonts w:ascii="Times New Roman;sans-serif" w:hAnsi="Times New Roman;sans-serif"/>
          <w:b w:val="false"/>
          <w:color w:val="231F20"/>
          <w:sz w:val="20"/>
        </w:rPr>
        <w:t xml:space="preserve">and we earned research and development services revenues in performing certain activities outlined in the Novartis Agreement. All such services were substantially complete as of December 31, 2022.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Novartis Agreement provided for an early research program for up to three additional integrin targets, or the Research Targets. The research term, as amended in 2022, concludes in the first quarter of 2023. During the research term, we collaborate with Novartis to biologically validate certain potential Research Targets and identify and synthesize potential research compounds for each Research Target in accordance with the applicable research plan. In the second quarter of 2022 we validated one of the Research Targets and began synthesizing potential research compounds.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a broad strategic realignment, Novartis has discontinued clinical development in NASH and, as a result, discontinued development of PLN-1474. In February 2023, Novartis issued a termination notice for the collaboration and license agreement, and returned global rights to Pliant for PLN-1474 as well as the early research targets and associated compounds.</w:t>
      </w:r>
    </w:p>
    <w:p>
      <w:pPr>
        <w:pStyle w:val="TextBody"/>
        <w:bidi w:val="0"/>
        <w:spacing w:lineRule="auto" w:line="288" w:before="120" w:after="120"/>
        <w:ind w:left="0" w:right="0" w:firstLine="450"/>
        <w:jc w:val="left"/>
        <w:rPr/>
      </w:pPr>
      <w:r>
        <w:rPr>
          <w:rFonts w:ascii="Times New Roman;sans-serif" w:hAnsi="Times New Roman;sans-serif"/>
          <w:b w:val="false"/>
          <w:color w:val="231F20"/>
          <w:sz w:val="20"/>
        </w:rPr>
        <w:t>Please refer to Note 8 to our financial statements appearing elsewhere</w:t>
      </w:r>
      <w:r>
        <w:rPr>
          <w:color w:val="000000"/>
        </w:rPr>
        <w:t xml:space="preserve"> </w:t>
      </w:r>
      <w:r>
        <w:rPr>
          <w:rFonts w:ascii="Times New Roman;sans-serif" w:hAnsi="Times New Roman;sans-serif"/>
          <w:b w:val="false"/>
          <w:color w:val="000000"/>
          <w:sz w:val="20"/>
        </w:rPr>
        <w:t>in this Annual Report for further information about the license and collaboration.</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Manufacturing</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lead product candidate, bexotegrast, is a small molecule inhibitor amenable to standard formulation technologies. We have confirmed the utility of the synthetic process and manufactured multi-kilogram quantities sufficient to provide drug product for our clinical trials. The manufacturing process of the drug substance for such product candidate is robust and accessed from readily available starting materials. The synthetic route is amenable to large-scale production and does not require unusual equipment or handling during the manufacturing process.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own or operate facilities for clinical drug manufacturing, storage, distribution, or quality testing. All of our clinical manufacturing is outsourced to third-party manufacturers. Our agreements with third-party manufacturers include confidentiality and intellectual property provisions as well as routine quality audits. We also rely on internal personnel with extensive cGMP manufacturing experience in order to ensure effective technology transfer and to manage the manufacturing and development processes conducted by third-party manufacturers.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established an adequate supply of the drug substance for bexotegrast from our Asian contract manufacturing organizations, or CMOs, to satisfy both our clinical and preclinical requirements.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our development programs expand and we build new process efficiencies, we expect to continually evaluate this strategy with the objective of satisfying demand for our clinical trials and, if approved, the manufacture, sale, and distribution of commercial products.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FDA, CMS,HHS-OIG and comparable regulatory authorities in state and local jurisdictions and in other countries impose substantial and burdensome requirements upon companies involved in the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coverage, reimbursement, pricing, and export and import of our product candidates.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U.S. government regulation of drug products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the FDA regulates drugs under the Federal Food, Drug, and Cosmetic Act, or FDCA, and its implementing regulations. The FDA also regulates biological products under the FDCA and the Public Health Service Act, or PHSA. If we advance clinical development of a biological product candidate in the future, these development activities will be subject to additional regulatory requirements specific to biological products.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time during the product development process, approval process or after approval, may subject an applicant to a variety of administrative or judicial sanctions, such as the FDA’s refusal to approve pending New Drug Applications, or NDAs,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process required by the FDA before a drug may be marketed in the United States generally involves the following:</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Completion of preclinical laboratory tests, animal studies and formulation studies in compliance with the FDA’s good laboratory practice, or GLP, regulations;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Submission to the FDA of an investigational new drug application, or IND, which must become effective before human clinical trials may begin;</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Approval by an independent institutional review board, or IRB, at each clinical site before each trial may be initiated;</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Performance of adequate and well-controlled human clinical trials in accordance with good clinical practice, or GCP, requirements to establish the safety and efficacy of the proposed drug product for each indication;</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Submission to the FDA of an NDA;</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Satisfactory completion of an FDA advisory committee review, if applicable;</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Satisfactory completion of an FDA inspection of the manufacturing facility or facilities at which the product is produced to assess compliance with current good manufacturing practice, or cGMP, requirements and to assure that the facilities, methods and controls are adequate to preserve the drug’s identity, strength, quality and purity;</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Satisfactory completion of FDA audits of clinical trial sites to assure compliance with GCPs and the integrity of the clinical data;</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Payment of user fees and securing FDA approval of the NDA; and</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Compliance with any post-approval requirements, including the potential requirement to implement a Risk Evaluation and Mitigation Strategy, or REMS, and the potential requirement to conduct post-approval studies.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Preclinical studies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Preclinical studies include laboratory evaluation of product chemistry, toxicity and formulation, as well as animal studies to assess potential safety and efficacy.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initiate.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Clinical trials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 involve the administration of the investigational new drug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of the trial, the parameters to be used in monitoring safety, and the effectiveness criteria to be evaluated. A protocol for each clinical trial and any subsequent protocol amendments must be submitted to the FDA as part of the IND. In addition, an IRB at each institution participating in the clinical trial must review and approve the plan for any clinical trial before it initiates at that institution. Information about certain clinical trials must be submitted within specific timeframes to the National Institutes of Health, or NIH, for public dissemination on their www.clinicaltrials.gov website.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Human clinical trials are typically conducted in three sequential phases, which may overlap or be combined:</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Phase 1: The drug is initially introduced into healthy human subjects or patients with the target disease or condition and tested for safety, dosage tolerance, absorption, metabolism, distribution, excretion and, if possible, to gain an early indication of its effectiveness.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Phase 2: The drug is administered to a limited patient population to identify possible adverse effects and safety risks, to preliminarily evaluate the efficacy of the product for specific targeted diseases and to determine dosage tolerance and optimal dosage.</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Phase 3: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Progress reports detailing the results of the clinical trials must be submitted at least annually to the FDA and more frequently if serious adverse events occur. Phase 1, Phase 2 and Phase 3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Marketing approval</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the Pediatric Research Equity Act of 2003, or PREA,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An Agreed Initial Pediatric Study Plan requesting a waiver from the requirement to conduct clinical studies has been submitted to the FDA.</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FDA also may require submission of a risk evaluation and mitigation strategy, or REMS, plan to ensure that the benefits of the drug outweigh its risks. The REMS plan could include medication guides, physician communication plans, assessment plans, and/or elements to assure safe use, such as restricted distribution methods, patient registries, or other risk minimization tools.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specifications. Additionally, before approving an NDA, the FDA may inspect one or more clinical trial sites to assure compliance with GCP requirements.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pStyle w:val="TextBody"/>
        <w:bidi w:val="0"/>
        <w:spacing w:lineRule="auto" w:line="268" w:before="200" w:after="283"/>
        <w:jc w:val="left"/>
        <w:rPr>
          <w:rFonts w:ascii="Times New Roman;sans-serif" w:hAnsi="Times New Roman;sans-serif"/>
          <w:b/>
          <w:i/>
          <w:color w:val="000000"/>
          <w:sz w:val="20"/>
        </w:rPr>
      </w:pPr>
      <w:r>
        <w:rPr>
          <w:rFonts w:ascii="Times New Roman;sans-serif" w:hAnsi="Times New Roman;sans-serif"/>
          <w:b/>
          <w:i/>
          <w:color w:val="000000"/>
          <w:sz w:val="20"/>
        </w:rPr>
        <w:t>Fast Track designation</w:t>
      </w:r>
    </w:p>
    <w:p>
      <w:pPr>
        <w:pStyle w:val="TextBody"/>
        <w:bidi w:val="0"/>
        <w:spacing w:lineRule="auto" w:line="26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FDA is authorized to designate certain products for expedited review if they are intended to address an unmet medical need in the treatment of a serious or life-threatening disease or condition. Among these programs is Fast Track designation. In May 2014, the FDA published a final Guidance for Industry titled “Expedited Programs for Serious Conditions Drugs and Biologics,” which provides guidance on the FDA programs that are intended to facilitate and expedite development and review of new drug or biological product candidates as well as threshold criteria generally applicable to concluding that a product candidate is a candidate for these expedited development and review programs.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FDA may designate a product for Fast Track review if it is intended, whether alone or in combination with one or more other products, for the treatment of a serious or life-threatening disease or condition, and nonclinical or clinical data demonstrate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review clock for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Orphan drug designation and exclusivity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If the request is granted, the FDA will disclose the identity of the therapeutic agent and its potential use. Orphan product designation does not convey any advantage in or shorten the duration of the regulatory review and approval process.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 product with orphan status receives the first FDA approval for the disease or condition for which it has such designation or for a select indication or use within the rare disease or condition for which it was designated, the product generally will be receiving orphan product exclusivity. The first active moiety to be approved to treat a disease with FDA's Orphan Drug designation is entitled to a seven-year period of marketing exclusivity in the United States for that product indication, except in certain limited circumstances. If a drug or drug product designated as an orphan product ultimately receives marketing approval for an indication broader than what was designated in its orphan product application, it may not be entitled to exclusivity.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for the same orphan indication or disease as long as the products contain different active ingredients. Moreover, competitors may receive approval of different products for the indication for which the orphan product has exclusivity or obtain approval for the same product but for a different indication for which the orphan product has exclusivity.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Congress is considering updates to the orphan drug provisions of the FDCA in response to a recent decision by the U.S. Court of Appeals for the Eleventh Circuit. Any changes to the orphan drug provisions could change our opportunities for, or likelihood of success in obtaining, orphan drug exclusivity and would materially adversely affect our business, results of operations, financial condition and prospects.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U.S. marketing exclusivity</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Market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the original non-modified version of the drug.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Pediatric exclusivity is another type of regulatory market exclusivity in the United States. Pediatric exclusivity, if granted, adds six months to existing regulatory exclusivity periods. This six-month exclusivity may be granted based on the voluntary completion of a pediatric trial in accordance with an FDA-issued “Written Request” for such a trial.</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Post-approval requirements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are continuing, annual user fee requirements for any marketed products and the establishments where such products are manufactured, as well as new application fees for supplemental applications with clinical data.</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Once an approval of a drug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risks; or imposition of distribution or other restrictions under a REMS program. Other potential consequences include, among other things: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Restrictions on the marketing or manufacturing of the product, complete withdrawal of the product from the market or product recalls;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Fines, warning letters or holds on post-approval clinical trials;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Refusal of the FDA to approve pending NDAs or supplements to approved NDAs, or suspension or revocation of product approvals;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Product seizure or detention, or refusal to permit the import or export of products; and</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Injunctions or the imposition of civil or criminal penalties.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strictly regulates marketing, labeling, advertising, and promotion of products that are placed on the market. Drugs may be promoted by a manufacturer and any third parties acting on behalf of a manufacturer only for the approved indications and in a manner consistent with the approved label for the product. The FDA and other agencies actively enforce the laws and regulations prohibiting the promotion of off-label uses, and a company that is found to have improperly promoted off-label uses may be subject to significant liability.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Other healthcare laws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Healthcare providers, physicians, and third party payors play a primary role in the recommendation and prescription of drug products for which we obtain marketing approval. Arrangements with third party payors, healthcare providers and physicians, in connection with the clinical research, sales, marketing and promotion of products, once approved, and related activities, may expose a pharmaceutical manufacturer to broadly applicable fraud and abuse and other healthcare laws and regulations. In the United States, these laws include, without limitation, state and federal anti- kickback, false claims, physician payment transparency, price transparency, and patient data privacy and security laws and regulations, including but not limited to those described below:</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federal Anti-Kickback Statute, or AKS, which makes it illegal for any person, including a prescription drug manufacturer (or a party acting on its behalf) to knowingly and willfully solicit, receive, offer or pay any remuneration (including any kickback, bribe, or rebate), directly or indirectly, overtly or covertly, in cash or in kind, that is intended to induce or reward, referrals including the purchase recommendation, order or prescription of a particular drug for which payment may be made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False Claims Act, or FCA. Violations of the federal Anti-Kickback Statute are punishable by imprisonment for up to ten years and statutory fines of up to $100,000.</w:t>
      </w:r>
      <w:r>
        <w:rPr>
          <w:color w:val="000000"/>
        </w:rPr>
        <w:t xml:space="preserve"> </w:t>
      </w:r>
      <w:r>
        <w:rPr>
          <w:rFonts w:ascii="Times New Roman;sans-serif" w:hAnsi="Times New Roman;sans-serif"/>
          <w:b w:val="false"/>
          <w:color w:val="000000"/>
          <w:sz w:val="20"/>
        </w:rPr>
        <w:t>Additional criminal fines can be imposed under federal U.S. criminal procedure laws.</w:t>
      </w:r>
      <w:r>
        <w:rPr>
          <w:color w:val="000000"/>
        </w:rPr>
        <w:t xml:space="preserve"> </w:t>
      </w:r>
      <w:r>
        <w:rPr>
          <w:rFonts w:ascii="Times New Roman;sans-serif" w:hAnsi="Times New Roman;sans-serif"/>
          <w:b w:val="false"/>
          <w:color w:val="000000"/>
          <w:sz w:val="20"/>
        </w:rPr>
        <w:t>Civil penalties include statutory amounts of up to $100,000 (adjusted for inflation) per violation, assessments of up to three times the total payments between the parties to the arrangement, and exclusion from participation in the federal healthcare programs or suspension from future participation in Medicare and Medicaid. Further, violation of the federal Anti-Kickback Statute can also form the basis for False Claims Act liability (discussed below).</w:t>
      </w:r>
      <w:r>
        <w:rPr>
          <w:color w:val="000000"/>
        </w:rPr>
        <w:t xml:space="preserve"> </w:t>
      </w:r>
      <w:r>
        <w:rPr>
          <w:rFonts w:ascii="Times New Roman;sans-serif" w:hAnsi="Times New Roman;sans-serif"/>
          <w:b w:val="false"/>
          <w:color w:val="000000"/>
          <w:sz w:val="20"/>
        </w:rPr>
        <w:t xml:space="preserve">Although there are a number of statutory exceptions and regulatory safe harbors to the federal Anti-Kickback Statute protecting certain common business arrangements and activities from prosecution or regulatory sanctions, the exceptions and safe harbors are drawn narrowly, and practices that involve remuneration to those who prescribe, purchase, or recommend pharmaceutical and biological products, may be subject to scrutiny if they do not fit squarely within an exception or safe harbor; </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 xml:space="preserve">the federal civil and criminal false claims laws, including the FCA, which can be enforced through “qui tam” or “whistleblower” actions, and civil monetary penalty laws, which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or transmit money or property to the federal government; or knowingly concealing or knowingly and improperly avoiding or decreasing such an obligation. A person or entity does not need to have actual knowledge of these statutes or specific intent to violate them in order to have committed a violation. Violations of the False Claims Act can result in civil penalties of up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to more than $25,000 per false claim or statement (an amount adjusted annually for inflation) plus three times the amount of damages sustained by the government;</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that perform services for them that involve the creation, use, receipt, maintenance or disclosure of individually identifiable health information, relating to the privacy, security and transmission of individually identifiable health information;</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 xml:space="preserve">the federal Physician Payments Sunshine Act, created under Patient Protection and Affordable Care Act, as amended by the Health Care and Education Reconciliation Act of 2010, or collectively, the ACA, and its implementing regulations, which require manufacturers of drugs, devices, biological products and medical supplies for which payment is available under Medicare, Medicaid or the Children’s Health Insurance Program to report annually to the Centers for Medicare and Medicaid Services, or CMS, under the Open Payments Program, information related to payments or other transfers of value made to physicians (defined to include doctors, dentists, optometrists, podiatrists and chiropractors) , nurse practitioners, clinical nurse specialists, certified registered nurse anesthetists, anesthesiologist assistants, certified nurse-midwives, and teaching hospitals, as well as ownership and investment interests held by physicians and their immediate family members; and </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analogous state and foreign laws and regulations, such as state and foreign anti-kickback, false claims, consumer protection, transparency and disclosure laws,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in some states, the reporting of drug wholesale acquisition costs or average manufacturer prices, information related to new drug launches, and drug price increases above certain statutory thresholds;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breadth of these laws, it is possible that some of a pharmaceutical manufacturer’s business activities could be subject to challenge under one or more of such laws. Efforts to ensure that business arrangements comply with applicable healthcare laws involve substantial costs. It is possible that governmental and enforcement authorities will conclude that a pharmaceutical manufacturer’s business practices do not comply with current or future statutes, regulations or case law interpreting applicable fraud and abuse or other healthcare laws and regulations. If any such actions are instituted against a pharmaceutical manufacturer, and it is not successful in defending itself or asserting its rights, those actions could have a significant impact on its business, including the imposition of significant civil, criminal and administrative penalties, damages, disgorgement, imprisonment, monetary fines, possible exclusion from participation in Medicare, Medicaid and other federal healthcare programs, reporting obligations and oversight if a pharmaceutical manufacturer becomes subject to integrity and oversight agreements to resolve allegations of non-compliance, contractual damages, reputational harm, diminished profits and future earnings, and curtailment of operations, any of which could adversely affect a pharmaceutical manufacturer’s ability to operate its business and the results of operations. In addition, commercialization of any drug product outside the United States will also likely be subject to foreign equivalents of the healthcare laws mentioned above, among other foreign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California Consumer Privacy Act of 2018, or the CCPA, which came into effect on January 1, 2020 and provides new data privacy rights for consumers and new operational requirements for companies, which may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impacts certain of our business activities. The CCPA could mark the beginning of a trend toward more stringent state privacy legislation in the U.S., which could increase our potential liability and adversely affect our business.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we decide to conduct clinical trials or continue to enroll subjects in our ongoing or future clinical trials, we may be subject to additional privacy restrictions. In the European Union, the collection, use, storage, disclosure, transfer, or other processing of personal data including special categories of personal data such as health data, is subject to the EU General Data Protection Regulation, or EU GDPR. The U.K. has implemented the EU GDPR as the U.K. GDPR which sits alongside the U.K. Data Protection Act 2018, or the U.K. GDPR, and together with the EU GDPR, the GDPR.</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GDPR is wide-ranging in scope and imposes numerous requirements on controllers that process personal data (i.e., data relating to identified or identifiable individuals), including requirements around (among others): accountability and transparency, relating to having legal bases for processing personal data, including specific requirements for obtaining valid consent where consent is the legal basis for processing, responding to individuals’ requests to exercise their rights in respect of their personal data, implementing safeguards to protect the security and confidentiality of personal data to provide notification of personal data breaches to data protection authorities and affected individuals in certain circumstances, having data processing agreements with third parties who process personal data on our behalf, and to undertake due diligence in relation to such third-party processors, considering data protection when any new products or services are developed and designed, as well as obligations for data protection impact assessments, record-keeping and accountability.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EU GDPR also prohibits the international transfer of personal data from the EEA to the United States and other countries that are not recognized as having “adequate” data protection laws by the European Commission unless the parties to the transfer have implemented specific safeguards to protect the transferred personal data or a derogation under the EU GDPR can be relied upon. One of the primary safeguards allowing U.S. companies to import personal data from the EEA had historically been certification to the EU-U.S. Privacy Shield framework administered by the U.S. Department of Commerce. However, the European Court of Justice, or the CJEU, issued a decision in July 2020 which invalidated the EU-U.S. Privacy Shield framework for purposes of international transfers (Schrems II) and imposed further restrictions on using the specific safeguard standard contractual clauses (EU SCCs) including, a requirement for companies to carry out a transfer privacy impact assessment, or a TIA. A TIA, among other things, assesses laws governing access to personal data in the recipient country and considers whether supplementary measures that provide privacy protections additional to those provided under the EU SCCs will need to be implemented to ensure an “essentially equivalent” level of data protection to that afforded in the EEA. Following that decision, the Swiss Federal Data Protection and Information Commissioner took a similar view and considered that data transfers based on the Swiss-U.S. Privacy Shield framework are no longer lawful (despite the fact that Schrems II is not directly applicable in Switzerland (unless the Swiss based company is subject to the EU GDPR) although the Swiss-U.S. Privacy Shield has not been officially invalidated).</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7, 2022, U.S. President Biden introduced an Executive Order to facilitate a new Trans-Atlantic Data Privacy Framework, or the DPF, and on July10, 2023, the European Commission adopted its Final Implementing Decision granting the U.S. adequacy, or the Adequacy Decision, for EU-U.S. transfers of personal data for entities self-certified to the DPF. Entities relying on EU SCCs for transfers to the U.S. are also able to rely on the analysis in the Adequacy Decision as support for their TIA regarding the equivalence of U.S. national security safeguards and redress.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U.K. GDPR also prohibits the transfer of personal data from the U.K. to countries that the U.K. Government does not recognize as having “adequate” data protection laws, including the U.S., in a similar manner to the EU. In addition, the U.K. Government has published its own form of EU SCCs, known as the International Data Transfer Agreement and an International Data Transfer Addendum to the new EU SCCs. The U.K. Information Commissioner’s Office, or the ICO, has also published its own version of the TIA and revised guidance on international transfers, although companies may choose to either use the EU-style or U.K.-style TIA. Further, on September 21, 2023, the U.K. Secretary of State for Science, Innovation and Technology established a U.K.-U.S. data bridge (i.e., a U.K. equivalent of the Adequacy Decision) and adopted U.K. regulations to implement the U.K.-U.S. data bridge. Personal data may now be transferred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the U.K. under the U.K.-U.S. data bridge through the U.K. extension to the DPF to organizations self-certified under the U.K. extension to DPF.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GDPR permits data protection authorities to impose large penalties for violations of the GDPR, including potential fines of up to €20 million (£17.5 million under the U.K. GDPR)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EU GDPR.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in the EEA or required in connection with our clinical trials. Compliance with the GDPR is a rigorous and time-intensive process that increases our cost of doing business and increases risk that we may be subject to fines and penalties, litigation, and reputational harm in connection with our European activities.</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Current and future healthcare reform legislation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both the United States and certain foreign jurisdictions, there have been a number of legislative and regulatory changes to the health care system. For example, in the United States, in March 2010, the Patient Protection and Affordable Care Act, as amended by the Health Care and Education Reconciliation Act, collectively known as the ACA, was enacted, which substantially changed the way healthcare is financed by both governmental and private payors, and significantly affected the pharmaceutical industry.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(which has been subsequently eliminated by the Inflation Reduction Act of 2022, or the IRA), in which manufacturers were required to provide certain point-of-sale discounts off negotiated prices of applicable brand drugs to eligible beneficiaries during their coverage gap period, as a condition for the manufacturer’s outpatient drugs to be covered under Medicare Part D. There have been numerous historic judicial, administrative, executive, and legislative challenges and amendments (including recent amendments that aimed at expanding access to care and reforming prescription drug pricing) to certain aspects of the ACA and other healthcare laws. In June 2021, the Supreme Court dismissed a lawsuit challenging the constitutionality of certain aspects of the ACA, without ruling on the meris of the constitutionality arguments. In the future, there may be additional legislative, regulatory, executive, or judicial actions that result in healthcare reform. It remains to be seen precisely what any new reforms will provide, when or if they will be enacted, and what impact they will have on the availability and cost of healthcare items and services, including drug products.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legislative and regulatory changes have been proposed or adopted in the United States since the ACA was enacted, including several legislative and regulatory changes that are focused on capping or reducing healthcare costs, as well as measures that would address healthcare fraud and abuse, value-based care, drug pricing and other reforms. For example, in August 2022, President Biden signed into law the IRA, which implements substantial changes to the Medicare program, including drug pricing reforms and changes to the Medicare Part D benefit design. Among other reforms, the IRA imposes inflation rebates on drug manufacturers for products reimbursed under Medicare Parts B and D if the prices of those products increase faster than inflation; implements changes to the Medicare Part D benefit that, beginning in 2025, will cap benefit annual out-of-pocket spending at $2,000, while imposing new discount obligations for pharmaceutical manufacturers (requiring manufacturers to pay 10% of the negotiated price of brands, biologics and biosimilar products when Medicare Part D beneficiaries are in the initial coverage phase, and 20% of the negotiated price during the catastrophic phase of Medicare Part D coverage); and, beginning in 2026, establishes a “maximum fair price” for a fixed number of high spend pharmaceutical and biological products covered under Medicare Parts B and D following a price negotiation process with the Centers for Medicare and Medicaid Services. The IRA explicitly excludes from price negotiation orphan drugs designated for only one rare disease or condition and for which the only approved indication is for such disease or condition. However, those drugs with multiple orphan designations are not explicitly excluded from drug price negotiation. Since its enactment, the CMS has taken steps to implement various drug pricing provisions of the IRA. This includes, without limitation, issuing new guidance on June 30, 2023 detailing the requirements and parameters of the first round of price negotiations, to take place during 2023 and 2024, for products subject to the “maximum fair price” provision that would become effective in 2026 and, on August 29, 2023, releasing the initial list of 10 drugs subject to price negotiations. It remains to be seen how the maximum fair prices or other drug pricing provisions imposed by the IRA will affect orphan drug and small molecule development or the broader pharmaceutical industry. Several pharmaceutical manufacturers and other industry stakeholders have challenged the law, including through lawsuits brought against the HHS, the Secretary of HHS, CMS, and the CMS Administrator challenging the constitutionality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administrative implementation of the IRA’s drug price negotiation provisions. We cannot predict whether the IRA, or any of its component parts, will be overturned, repealed, replaced, or amended nor can we predict the likelihood, nature, or extent of other health reform initiatives that may arise from future legislation, administrative, or other action. However, we expect these initiatives to increase pressure on drug pricing.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regulatory and enforcement interest in the United States with respect to specialty drug pricing practices. For example,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the state level, legislatures are increasingly passing legislation and implementing regulations designed to control biopharmaceutical and biologic product pricing, including price or patient reimbursement constraints, discounts, restrictions on certain product access, marketing cost disclosure and other transparency measures, and, in some cases, legislation, regulation or other guidance designed to encourage or facilitate importation from other countries and bulk purchasing. Some states have also established prescription drug affordability boards tasked with identifying certain high-cost prescription products that may pose affordability challenges for consumers and payers, conducting cost reviews on such products, and, in some circumstances, imposing upper payment limits on such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These laws, regulations, and actions, and any state or federal healthcare reform measures that may be adopted in the future, could reduce coverage or reimbursement from Medicare and other government programs, may result in a similar reduction in coverage or payment from private payers, and may otherwise affect the prices we may obtain for any of our product candidates for which we may obtain regulatory approval or the frequency with which any such product candidate is prescribed or used. Additionally, we expect to experience pricing pressures in connection with the sale of any future approved product candidates due to the trend toward managed healthcare, the increasing influence of health maintenance organizations, cost containment initiatives and additional legislative and regulatory changes.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Legislative and regulatory proposals, and enactment of laws, at the foreign, federal, and state levels, directed at containing or lowering the cost of healthcare, will likely continue into the future.</w:t>
      </w:r>
    </w:p>
    <w:p>
      <w:pPr>
        <w:pStyle w:val="TextBody"/>
        <w:bidi w:val="0"/>
        <w:spacing w:lineRule="auto" w:line="276" w:before="200" w:after="283"/>
        <w:jc w:val="left"/>
        <w:rPr>
          <w:rFonts w:ascii="Times New Roman;sans-serif" w:hAnsi="Times New Roman;sans-serif"/>
          <w:b/>
          <w:i/>
          <w:color w:val="000000"/>
          <w:sz w:val="20"/>
        </w:rPr>
      </w:pPr>
      <w:r>
        <w:rPr>
          <w:rFonts w:ascii="Times New Roman;sans-serif" w:hAnsi="Times New Roman;sans-serif"/>
          <w:b/>
          <w:i/>
          <w:color w:val="000000"/>
          <w:sz w:val="20"/>
        </w:rPr>
        <w:t>Rest of World Regulation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other countries outside of the European Union and the United States, such as countries in Eastern Europe, Latin America or Asia, the requirements governing product development, the conduct of clinical trials, manufacturing, distribution, marketing approval, product licensing, pricing and reimbursement vary from country to country. Additionally, clinical trials must be conducted in accordance with GCP requirements and the applicable regulatory requirements and the ethical principles that have their origin in the Declaration of Helsinki.</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fail to comply with applicable foreign regulatory requirements, we may be subject to, among other things, fines, suspension or withdrawal of regulatory approvals, product recalls, seizure of products, operating restrictions, and criminal prosecution.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to the extent that any of our product candidates, once approved, are sold in a foreign country, we may be subject to applicable post-marketing requirements, including safety surveillance, anti-fraud and abuse laws and implementation of corporate compliance programs and reporting of payments or other transfers of value to healthcare professionals.</w:t>
      </w:r>
    </w:p>
    <w:p>
      <w:pPr>
        <w:pStyle w:val="TextBody"/>
        <w:bidi w:val="0"/>
        <w:spacing w:lineRule="auto" w:line="276" w:before="200" w:after="283"/>
        <w:jc w:val="left"/>
        <w:rPr>
          <w:rFonts w:ascii="Times New Roman;sans-serif" w:hAnsi="Times New Roman;sans-serif"/>
          <w:b/>
          <w:i/>
          <w:color w:val="000000"/>
          <w:sz w:val="20"/>
        </w:rPr>
      </w:pPr>
      <w:r>
        <w:rPr>
          <w:rFonts w:ascii="Times New Roman;sans-serif" w:hAnsi="Times New Roman;sans-serif"/>
          <w:b/>
          <w:i/>
          <w:color w:val="000000"/>
          <w:sz w:val="20"/>
        </w:rPr>
        <w:t>European Union clinical trials regulation and clinical data sharing</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EU, a Clinical Trial Application, or CTA, must be submitted for each clinical trial to each country’s national competent authority, or NCA, and at least one independent Ethics Committee, or EC, much like the FDA and an IRB, respectively. Once the CTA is approved in accordance with a country’s requirements, the corresponding clinical trial may proceed. Under the current regime (the EU Clinical Trials Regulation 536/2014, which has been in effect since January 31, 2022 replacing the EU Clinical Trials Directive 2001/20/EC) all suspected unexpected serious adverse reactions to the investigated drug that occur during the clinical trial have to be reported to the NCA and ECs of the Member State where they occurred.</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data privacy requirements, many jurisdictions have mandatory clinical trial information obligations on sponsors. In the EU this is under the Transparency Regulation No 1049/ 2001, EMA Policy 0043, EMA Policy 0070, as well as the Clinical Trials Regulation No 536/2014, all of which impose on sponsors the obligation to make publicly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available certain information stemming from clinical studies, either proactively or in response to third party requests. In the EU, the transparency framework provides for a wide right for (EU-based at the moment) interested parties to submit an access to documents request to the EMA for information included in the marketing authorization application dossier for approved medicinal products. Only very limited information is exempted from disclosure, i.e. commercially confidential information (which is construed increasingly narrowly) and protected personal data. It is possible for competitors to access and use this data in their own research and development programs anywhere in the world, once this data is in the public domain.</w:t>
      </w:r>
    </w:p>
    <w:p>
      <w:pPr>
        <w:pStyle w:val="TextBody"/>
        <w:bidi w:val="0"/>
        <w:spacing w:lineRule="auto" w:line="288" w:before="120" w:after="120"/>
        <w:ind w:left="0" w:right="0" w:firstLine="450"/>
        <w:jc w:val="left"/>
        <w:rPr>
          <w:rFonts w:ascii="Times New Roman;sans-serif" w:hAnsi="Times New Roman;sans-serif"/>
          <w:b w:val="false"/>
          <w:color w:val="231F20"/>
          <w:sz w:val="20"/>
        </w:rPr>
      </w:pPr>
      <w:r>
        <w:rPr>
          <w:rFonts w:ascii="Times New Roman;sans-serif" w:hAnsi="Times New Roman;sans-serif"/>
          <w:b w:val="false"/>
          <w:color w:val="231F20"/>
          <w:sz w:val="20"/>
        </w:rPr>
        <w:t>On May 3, 2022, the European Commission published a proposal for a regulation on the European Health Data Space, or EHDS, which aims to further enable exchange of electronic health data both for primary use (among national EU healthcare systems for patient care) and secondary use (among private companies and regulators to enable scientific research). Whilst the regulation is currently under discussions among the EU legislators, the text is expected to be finalized by the end of 2023 and for the EHDS to become reality in 2025. This will impose new obligations, but also create opportunities, for entities engaged in health-related research to share and access health data on a scale much larger than what is foreseen under current applicable transparency provisions.</w:t>
      </w:r>
    </w:p>
    <w:p>
      <w:pPr>
        <w:pStyle w:val="TextBody"/>
        <w:bidi w:val="0"/>
        <w:spacing w:lineRule="auto" w:line="276" w:before="200" w:after="283"/>
        <w:jc w:val="left"/>
        <w:rPr>
          <w:rFonts w:ascii="Times New Roman;sans-serif" w:hAnsi="Times New Roman;sans-serif"/>
          <w:b/>
          <w:i/>
          <w:color w:val="000000"/>
          <w:sz w:val="20"/>
        </w:rPr>
      </w:pPr>
      <w:r>
        <w:rPr>
          <w:rFonts w:ascii="Times New Roman;sans-serif" w:hAnsi="Times New Roman;sans-serif"/>
          <w:b/>
          <w:i/>
          <w:color w:val="000000"/>
          <w:sz w:val="20"/>
        </w:rPr>
        <w:t>European drug review and approval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obtain a marketing authorization in the EEA (comprising the EU Member States, plus Norway, Iceland, and Liechtenstein), a company may submit marketing authorization applications either under a centralized procedure administered by the EMA or one of the procedures administered by competent authorities in the EEA Member States (decentralized procedure, national procedure, or mutual recognition procedure). The centralized procedure is compulsory for certain medicines, including those produced by biotechnology, products designated as orphan medicinal products, advanced therapy medicinal products (gene therapy, somatic cell therapy and tissue-engineered products) and those with a new active substance indicated for the treatment of HIV, AIDS, cancer, neurodegenerative disorders, autoimmune and other immune dysfunctions, viral diseases, or diabetes. The centralized procedure is optional for those medicines which contain a new active substance, or which are a significant therapeutic, scientific, or technical innovation or whose authorization would be in the interest of public health. The centralized procedure provides for the grant of a single marketing authorization that is valid throughout the EEA. Under the centralized procedure, the maximum timeframe for the evaluation of a marketing authorization application, or MAA, by the EMA is 210 days, excluding clock stops, when additional written or oral information is to be provided by the applicant in response to questions asked by the EMA's Committee for Medicinal Products for Human Use, or CHMP. Clock stops may extend the timeframe of evaluation of a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positive opinion. On April 26, 2023, the European Commission adopted a proposal for a new Regulation set to replace Regulation (EC) No 726/2004 and a new Directive replacing Directive 2001/83 on the Community Code relating to medicinal products for human use. If made into law, this proposal will revise the existing general pharmaceutical legislation. This reform would provide for a simplified regulatory framework with faster authorizations of new medicines. For instance, for its assessment, EMA will have 180 days instead of 210 days. For the authorization, the Commission will have 46 days instead of 67 days. Furthermore, the scope of the centralized procedure, would be extended to include priority antimicrobial medicinal products and products seeking a pediatric use marketing authorization. Accelerated assessment might be granted by the CHMP in exceptional cases, when a medicinal product is expected to be of major public health interest, particularly from the point of view of therapeutic innovation. The timeframe for the evaluation of a MAA under the accelerated assessment procedure is 150 days, excluding clock stops, but it is possible that the CHMP may revert to the standard time limit for the centralized procedure if it determines that it is no longer appropriate to conduct an accelerated assessment. As far as pediatric marketing authorization applications are concerned, all applications for marketing authorization for new medicines have to include the results of studies as described in an agreed Pediatric Investigation Plan (PIP), unless the medicine is exempt because of a deferral or waiver</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Through the decentralized procedure, a medicinal product that has not yet been authorized in the EEA can be simultaneously authorized in several EEA Member States. The mutual recognition procedure provides for mutual recognition of national approval decisions. Under this procedure, the holder of a national marketing authorization may submit an application to other EEA Member States. Within 90 days of receiving the applications and assessment reports, each Member State involved must decide whether to recognize the approval. If a Member State does not recognize the marketing authorization, the disputed points are eventually referred to the European Commission, whose decision is binding.</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obtain a marketing authorization in Switzerland, a company must submit a marketing authorization application to Swissmedic, Switzerland’s national authorization and supervisory authority for medicinal products and medical devices.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international agreements on mutual recognition of authorizations in relation to medicinal products. However, marketing authorization dossiers can be submitted to Swissmedic with clinical data, irrespective of the location where a clinical trial was conducted, that were collected in accordance with globally applicable international standards such as the Good Clinical Practice, or GCP, of the International Conference on Harmonization, or ICH, which are based on the Declaration of Helsinki. Furthermore, if a medicinal product or procedure is already authorized in a country having equivalent medicinal product control, the results of tests carried out for this purpose shall be taken into account. According to Swissmedic's practice, this includes the authorization procedures of the following countries: Australia, the member states of the EU, the EFTA states in the EEA (Liechtenstein, Norway and Iceland), Japan, Canada, New Zealand, Singapore, the United Kingdom and the United States.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Now that the U.K. (which comprises Great Britain and Northern Ireland) has left the EU, Great Britain will no longer be covered by centralized marketing authorizations (under the Northern Irish Protocol, centralized marketing authorizations will continue to be recognized in Northern Ireland). All medicinal products with an existing centralized marketing authorization were automatically converted to Great Britain marketing authorizations on January 1, 2021. The MHRA has ceased to participate in the assessment of any centralized procedures since January 1, 2021. Since then, the MHRA has launched the Innovative Licensing and Access Pathway, or ILAP, a new accelerated assessment procedure for marketing authorization applications facilitating the interaction with pricing authorities and HTA bodies and aiming to enable companies to enter the U.K. market faster. On January 1, 2024, the MHRA launched a new International Recognition Procedure for Great Britain (England, Scotland and Wales) marketing authorization applications whereby the MHRA will, when considering such applications, recognize the approval of medicines by Australia, Canada, Switzerland, Singapore, Japan, United States and the EU following its own abbreviated assessment.</w:t>
      </w:r>
    </w:p>
    <w:p>
      <w:pPr>
        <w:pStyle w:val="TextBody"/>
        <w:bidi w:val="0"/>
        <w:spacing w:lineRule="auto" w:line="276" w:before="200" w:after="283"/>
        <w:jc w:val="left"/>
        <w:rPr>
          <w:rFonts w:ascii="Times New Roman;sans-serif" w:hAnsi="Times New Roman;sans-serif"/>
          <w:b/>
          <w:i/>
          <w:color w:val="000000"/>
          <w:sz w:val="20"/>
        </w:rPr>
      </w:pPr>
      <w:r>
        <w:rPr>
          <w:rFonts w:ascii="Times New Roman;sans-serif" w:hAnsi="Times New Roman;sans-serif"/>
          <w:b/>
          <w:i/>
          <w:color w:val="000000"/>
          <w:sz w:val="20"/>
        </w:rPr>
        <w:t>European orphan drug designation and exclusivity</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in the U.S., we may apply for designation of a product candidate as an orphan drug for the treatment of a specific indication in the EEA before the application for marketing authorization is made. The criteria for designating an “orphan medicinal product” in the EEA are similar in principle to those in the United States. Under Article 3 of Regulation (EC) 141/2000, a medicinal product may be designated as an orphan medicinal product if it meets the following criteria: (1) is intended for the diagnosis, prevention or treatment of a life-threatening or chronically debilitating condition; and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 Sponsors of orphan drugs can enjoy economic and marketing benefits, including a reduction of fees or fee waivers and up to ten years of market exclusivity for the approved indication which can be further extended by two years under certain circumstances; namely when the pediatric studies have been conducted in accordance with an agreed PIP and other requirements are satisfied. During such period of market exclusivity, marketing authorization applications for “similar medicinal products” will not be accepted, unless another applicant can show that its product is safer, more effective or otherwise clinically superior to the orphan-designated product, the marketing authorization holder consents to the second orphan medicinal product application, or where the marketing authorization holder cannot supply enough orphan medicinal product. In the EEA, a “similar medicinal product” is a medicinal product containing a similar active substance or substances as contained in a currently authorized orphan medicinal product, and which is intended for the same therapeutic indication. The ten-year market exclusivity may be reduced to six years if, at the end of the fifth year, it is established that the product no longer meets the criteria for orphan designation, for example, if the product is sufficiently profitable not to justify the maintenance of market exclusivity.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general pharmaceutical legislative framework, as well as the framework applicable to orphan and pediatric medicinal products in the EU, is under review. On April 26, 2023, the European Commission adopted a proposal for a new Regulation set to replace Regulation (EC) No 726/2004 and a new Directive replacing Directive 2001/83 on the Community Code relating to medicinal products for human use. If made into law, this proposal will revise the existing general pharmaceutical legislation and may reduce applicable regulatory exclusivities which will significantly affect all medicinal products that will be authorized after the legislative changes have taken effect.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Brexit and the Regulatory Framework in the United Kingdom</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U.K. officially left the EU on January 31, 2020. A transition period began on February 1, 2020, during which EU pharmaceutical law remained applicable to the U.K. This transition period ended on December 31, 2020. Since the regulatory framework in the U.K. covering the quality, safety and efficacy of pharmaceutical products, clinical trials, marketing authorization, commercial sales and distribution of pharmaceutical products is derived from EU Directives and Regulations, it continues to apply presently as “retained EU law”. However, as U.K. legislation now has the potential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diverge from EU legislation, the future regulatory regime which applies to products and the approval of product candidates in the U.K. may change. It remains to be seen how Brexit will impact regulatory requirements for product candidates and products in the U.K. in the long-term. The MHRA published detailed guidance for industry and organizations to follow which will be updated as the U.K.’s regulatory position on medicinal products evolves over time.</w:t>
      </w:r>
    </w:p>
    <w:p>
      <w:pPr>
        <w:pStyle w:val="TextBody"/>
        <w:bidi w:val="0"/>
        <w:spacing w:lineRule="auto" w:line="288" w:before="120" w:after="283"/>
        <w:ind w:left="0" w:right="0" w:firstLine="450"/>
        <w:jc w:val="left"/>
        <w:rPr>
          <w:color w:val="000000"/>
        </w:rPr>
      </w:pPr>
      <w:r>
        <w:rPr>
          <w:color w:val="000000"/>
        </w:rPr>
        <w:t>‘</w:t>
      </w:r>
      <w:r>
        <w:rPr>
          <w:rFonts w:ascii="Times New Roman;sans-serif" w:hAnsi="Times New Roman;sans-serif"/>
          <w:b w:val="false"/>
          <w:color w:val="000000"/>
          <w:sz w:val="20"/>
        </w:rPr>
        <w:t>Retained EU law,’ which has prevented substantial divergence to the regulation of medicines. However, some changes to the U.K. legislation have been necessary, including the implementation of the Northern Ireland Protocol (NIP), pursuant to which the EU pharmaceutical legal framework continues to apply in Northern Ireland (subject to periodic consent of the Northern Ireland Legislative Assembly), and only products compliant with EU law can be placed in the Northern Ireland market. This dynamic adds an extra layer of regulatory complexity for companies withing to commercialize medicinal products in Great Britain (namely, England, Wales and Scotland, as EU law continues to apply in Northern Ireland), as such companies now need to comply with separate U.K. regulatory legal framework. The U.K. Government and the European Union recently adopted a new agreement, the “Windsor Framework,” which will replace the Northern Ireland Protocol. According to the Windsor Framework, medicinal products intended for the U.K. market, including Northern Ireland, will be authorized by the MHRA and will bear a “U.K. only” label. These new measures will be implemented from January 1, 2025. The Trade and Cooperation Agreement signed between the U.K. and the EU allows for future deviation from the current regulatory framework and it is not known if and/or when any deviations may occur, which may have an impact on development, manufacture, marketing authorization, commercial sales and distribution of pharmaceutical products.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Coverage and reimbursement</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Successful commercialization of new drug products depends in part on the extent to which coverage and reimbursement, as applicable, for those drug products will be available from government health administration authorities, private health insurers, and other organizations. Government authorities and third-party payors, such as private health insurers and health maintenance organizations, decide which drug products they will cover and pay for and establish reimbursement levels. The availability and extent of coverage and reimbursement by governmental and private payors is essential for most patients to be able to afford a drug product. Sales of drug products depend substantially, both domestically and abroad, on the extent to which drugs are covered and the costs of drugs products are paid for by health maintenance, managed care, pharmacy benefit and similar healthcare management organizations, or covered and reimbursed by government health administration authorities, private health coverage insurers and other third-party payors.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primary trend in the U.S. healthcare industry and elsewhere is cost containment. Government authorities and third-party payors have attempted to control costs by limiting coverage and the amount of reimbursement for particular drug products. In many countries, the prices of drug products are subject to varying price control mechanisms as part of national health systems. In general, the prices of drug products under such systems are substantially lower than in the United States. Other countries allow companies to fix their own prices for drug products but monitor and control company profits. Accordingly, in markets outside the United States, the reimbursement for drug products may be reduced compared with the United States.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the decisions about Medicare reimbursement for new drug products are typically made by CMS, an agency within the U.S. Department of Health and Human Services, or HHS. CMS decides whether and to what extent a new drug product will be covered and reimbursed under Medicare, and private payors tend to follow CMS coverage guidelines. However, no uniform policy of coverage and reimbursement for drug products exists among third-party payors and coverage and reimbursement levels for drug products can differ significantly from payor to payor.</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While all Medicare drug plans must give at least a standard level of coverage set by Medicare, Part D prescription drug plan sponsors are not required to pay for all covered Part D drugs, and each Part D prescription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and with some exceptions for certain classes of drugs. Any formulary used by a Part D prescription drug plan must be developed and reviewed by a pharmacy and therapeutic committee. Government payment for some of the costs of prescription drugs may increase demand for drugs for which we obtain marketing approval. Any negotiated prices for any of our products covered by a Part D prescription drug plan will likely be lower than the prices we might otherwise obtain. Additionally, beginning in 2025, manufacturers must pay additional discounts for products covered under Medicare Part D. Moreover, while the MMA Part D plan policies applies only to drug benefits for Medicare beneficiaries, private payors often follow Medicare coverage policies and payment limitations in setting their own payment rates and coverage guidelines. Any reduction in payment restrictions in Part 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coverage that results from the MMA may result in a similar reduction in payment restrictions from non-governmental payors.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average manufacturer price, or AMP, and Medicaid rebate amounts reported by the manufacturer. As of 2010, the ACA expanded the types of entities eligible to receive discounted 340B pricing, although under the current state of the law these newly eligible entities (with the exception of children’s hospitals) will not be eligible to receive discounted 340B pricing on orphan drugs. As 340B drug pricing is determined based on AMP and Medicaid rebate data, the revisions to the Medicaid rebate formula and AMP definition described above could cause the required 340B discount to increase. The 340B drug pricing program may be subject to future changes in light of ongoing litigation and attempts to reform the program, including legislative proposals to reform the 340B program. It is unclear how any such changes could affect our obligation to offer 340B pricing to certain entities.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These laws, and future state and federal healthcare reform measures may be adopted in the future, any of which may result in additional reductions in Medicare and other healthcare funding and otherwise affect the prices we may obtain for any product candidates for which we may obtain regulatory approval or the frequency with which any such product candidate is prescribed or used.</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Outside of the United States, the pricing of pharmaceutical products and medical devices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therapy to currently available therapies or so-called health technology assessments, or HTA, in order to obtain reimbursement or pricing approval. The outcome of HTA assessments is decided on a national basis and some payors may not reimburse the use of assessed products or may reduce the rate of reimbursement for such products. In December 2021, the EU adopted a new Regulation on Health Technology Assessment. The Regulation creates collaborative structures and procedures that allow Member States to carry out joint clinical assessments, effect joint clinical consultations and identify jointly emerging health technologies and will come into effect in 2025.</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Other countries may allow companies to fix their own prices for products but monitor and control product volumes and issue guidance to physicians to limit prescriptions. Efforts to control prices and utilization of pharmaceutical products and medical devices will likely continue as countries attempt to manage healthcare expenditures.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158 full-time employees, including 47 with Ph.D. or M.D. degrees. Of our employees, 109 were engaged in research and development activities, and 49 were engaged in general and administrative activities. None of our employees are represented by labor unions or covered by collective bargaining agreements, and we have experienced no work stoppages. We consider our relationship with our employees to be good.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skilled, experienced, and innovative employees to conduct the operations of our company and we continue to face intense competition for our personnel from our competitors and other companies throughout our industry. The biotechnology industry is very competitive and recruiting and retaining such employees is important to the continued success of our business. We are committed to building an outstanding, committed team and fostering a rewarding work environment and a culture that values scientific innovation, inclusion, collaboration, and equity. We believe that each employee brings unique perspectives and strengths, and by embracing these strengths, we can do our best work for patients. We focus on recruiting, retaining, and developing employees from a diverse range of backgrounds to conduct our research, development, and clinical activities.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measures to attract and retain a highly skilled workforce, we offer a competitive suite of benefits to our full-time employees to help support their health and financial well-being, including medical, dental and vision insurance, life insurance, 401k retirement program with a company match, flexible spending accounts, paid holiday and vacation time, and flexible work arrangements. We provide our employees with competitive salaries and bonuses, opportunities for equity ownership, development opportunities that enable continued learning and growth and a robust recognition program that recognizes and celebrates their accomplishments. In addition, we regularly conduct an employee survey to gauge employee engagement and identify areas of focus.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Corporate and Available Information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were incorporated under the laws of the State of Delaware in June 2015. Our principal executive office is located at 260 Littlefield Avenue, South San Francisco, California 94080, and our telephone number is (650) 481-6770. Our website address is https://pliantrx.com.</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file or furnish electronically with the SEC annual reports on Form 10-K, quarterly reports on Form 10-Q, current reports on Form 8-K and amendments to those reports filed or furnished pursuant to Section 13(a) or 15(d) of the Exchange Act. We make copies of these reports available free of charge through our investor relations website as soon as reasonably practicable after we file or furnish them with the SEC. The SEC maintains an Internet site that contains reports, proxy and information statements and other information regarding our filings at www.sec.gov.</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contained on or accessible through our websites is not incorporated into, and does not form a part of, this Annual Report or any other report or document we file with the SEC, and any references to our websites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Our business faces significant risks. If any of the events or circumstances described in the following risks actually occurs, our business may suffer, the trading price of our common stock could decline and our financial condition or results of operations could be harmed. These risks should be read in conjunction with the other information set forth in this annual report on Form 10-K. The risks and uncertainties described below are not the only ones facing us. There may be additional risks faced by our business. Other events that we do not currently anticipate or that we currently deem immaterial also may adversely affect our financial condition or results of operations.</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Financial Position and Need for Additional Capital</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have incurred significant net losses since inception and we expect to continue to incur significant net losses for the foreseeable future.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significant net losses since our inception and have financed our operations principally through equity and debt financing and our prior collaboration with Novartis. We continue to incur significant research and development and other expenses related to our ongoing operations. Our net loss was $161.3 million, $123.3 million and $97.3 million for the years ended December 31, 2023, 2022 and 2021, respectively. As of December 31, 2023, we had an accumulated deficit of $499.7 million. We have devoted substantially all of our resources and efforts to research and development, and we expect that it will be at least several years, if ever, before we generate revenue from product sales. Even if we receive marketing approval for and commercialize one or more of our product candidates, we expect that we will continue to incur substantial research and development and other expenses in order to further develop and, if approved, market additional potential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incur significant losses for the foreseeable future, and we anticipate that our expenses will increase substantially if, and as, we: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advance our lead product candidate, bexotegrast, and our other product candidates through clinical development, and, if successful, later-stage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discover and develop new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advance our preclinical development programs into clinical development;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further develop manufacturing processes and manufacture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experience delays or interruptions to preclinical studies, clinical trials, our receipt of services from our third-party service providers on whom we rely, or our supply chain due to the effects of health epidemics and pandemics, such as COVID-19;</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seek regulatory approvals for any product candidates that successfully complete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commercialize bexotegrast, our other product candidates and any future product candidates, if approved;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increase the amount of research and development activities to identify and develop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hire additional clinical development, quality control, scientific and management personnel;</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expand our operational, financial and management systems and increase personnel, including personnel to support our clinical development and manufacturing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establish a sales, marketing, medical affairs and distribution infrastructure to commercialize any products for which we may obtain marketing approval and intend to commercialize on our own or jointly with third parties;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maintain, expand and protect our intellectual property portfolio;</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invest in or in-license other technologies or product candidates;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continue to build out our organization to engage in such activities.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become and remain profitable, we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We will require substantial additional capital to fund our operations. If we are unable to raise such capital when needed, or on acceptable terms, we may be forced to delay, reduce and/or eliminate one or more of our research and drug development programs, future commercialization efforts or other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Developing biopharmaceutical products, including conducting preclinical studies and clinical trials, is a very time-consuming, expensive, and uncertain process that takes years to complete. Our operations have consumed substantial amounts of cash since inception. We expect our expenses to increase in connection with our ongoing activities, particularly as we conduct our planned clinical trials of bexotegrast and any future product candidates that we may develop, seek regulatory approvals for our product candidates and to launch and commercialize any products for which we receive regulatory approval. Accordingly, we will need to obtain substantial additional funding in order to maintain our continuing operations. If we are unable to raise capital when needed or on acceptable terms, we may be forced to delay, reduce, or eliminate one or more of our research and drug development programs or future commercialization efforts.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approximately $495.70 million in cash, cash equivalents, restricted cash and short-term investments. Based on our current operating plan, we believe that our existing cash, cash equivalents and short-term investments will be sufficient to fund our anticipated operating expenses and capital expenditure requirements into the second half of 2026. However, our future capital requirements and the period for which our existing resources will support our operations may vary significantly from what we expect, and we will in any event require additional capital in order to complete clinical development of any of our current programs. Our monthly spending levels will vary based on new and ongoing development and corporate activities. Because the length of time and activities associated with development of our product candidates is highly uncertain, we are unable to estimate the actual funds we will require for development, marketing, and commercialization activities. Our future funding requirements, both near and long-term, will depend on many factors, including, but not limited to:</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initiation, progress, timing, costs and results of preclinical studies and clinical trials for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clinical development plans we establish for these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timelines of our clinical trials and the overall costs to conduct and complete the clinical trials, including any increased costs due to disruptions caused by marketplace conditions, including the effects of health epidemics and pandemics, such as COVID-19, or other geopolitical conditions;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and capital commitments required for developing manufacturing processes for our product candidates and manufacturing our product candidates at clinical and commercial scales;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number and characteristics of product candidates that we develop;</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outcome, timing and cost of meeting regulatory requirements established by the FDA and other comparable foreign regulatory authorities;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 xml:space="preserve">whether we are able to enter into future collaboration agreements and the terms of any such agreements; </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ability to and timing of achieving a favorable pricing and reimbursement decision by the pricing authorities in the markets of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ability to secure a position recommendation following the health technology assessment by the health technology bodies in the relevant market;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filing, prosecuting, defending and enforcing our patent claims and other intellectual property rights;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defending intellectual property disputes, including patent infringement actions brought by third parties against us or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effect of competing technological and market developments;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and timing of completion of commercial-scale outsourced manufacturing activities;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establishing sales, marketing and distribution capabilities for any product candidates for which we may receive regulatory approval in regions where we choose to commercialize our products on our own.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borrowed and in the future may borrow additional capital from institutional and commercial banking sources to fund future growth, including pursuant to our Oxford Loan Agreement, or potentially pursuant to new arrangements with different lenders. In addition, we expect to continue to opportunistically seek access to the equity capital markets to support our development efforts and operations. However, we cannot be certain that additional funding will be available on acceptable terms, or at all. Until we can generate sufficient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the rights of our common stockholders. Further, to the extent that we raise additional capital through the sale of common stock or securities convertible or exchangeable into common stock, your ownership interest will be diluted. In addition, any debt financing may subject us to fixed payment obligations and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intellectual property or other rights to our product candidates, technologies, future revenue streams or research programs or grant licenses on terms that may not be favorable to us. We also may be required to seek collaborators for any of our product candidates at an earlier stage than otherwise would be desirable or relinquish our rights to product candidates or technologies that we otherwise would seek to develop or commercialize ourselves. Market volatility resulting from challenging financial markets factors, including the effects of health epidemics and pandemics, such as the COVID-19 pandemic, could also adversely impact our ability to access capital as and when needed. If we are unable to raise additional capital in sufficient amounts or on terms acceptable to us, we may have to significantly delay, scale back or discontinue the development or commercialization of one or more of our product candidates or one or more of our other research and development initiatives. Any of the above events could significantly harm our business, prospects, financial condition and results of operations and cause the price of our common stock to decline.</w:t>
      </w:r>
    </w:p>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Covenants and other provisions in the Oxford Loan Agreement restrict our business and operations in many ways, and if we do not effectively manage our covenants, our financial conditions and results of operations could be adversely affected. In addition, our operations may not provide sufficient cash to meet the repayment obligations of our debt incurred under the Oxford Loan Agreement.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Oxford Loan Agreement, Oxford has been granted a security interest in substantially all of our assets, excluding intellectual property (but including the right to payments and proceeds of intellectual property), and a negative pledge on substantially all of our intellectual property, subject to customary exceptions. If an event of default occurs under the Oxford Loan Agreement, Oxford may foreclose on its security interest and liquidate some or all of these assets, which would harm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 default in connection with our bankruptcy, insolvency, liquidation, or reorganization, Oxford would have a prior right to substantially all of our assets to the exclusion of our general unsecured creditors. Only after satisfying the claims of Oxford and any unsecured creditors would any amount be available for our equity holders.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pledge of these assets and other restrictions imposed in the Oxford Loan Agreement may limit our flexibility in raising capital for other purposes. Because substantially all of our assets are pledged to secure the Oxford Loan Agreement obligations, our ability to incur additional indebtedness or to sell or dispose of assets to raise capital may be impaired, which could have an adverse effect on our financial flexibility.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if we are unable to comply with certain financial and operating restrictions in the Oxford Loan Agreement, we may be limited in our business activities and access to credit or may default under the Oxford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Agreement. Provisions in the Oxford Loan Agreement impose restrictions or require prior approval on our ability, and the ability of certain of our subsidiaries to, among other things: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Incur additional debt;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Make certain investments and acquisitions;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Guarantee the indebtedness of others or our subsidiaries;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Create liens or encumbrances;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Engage in new lines of business;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Enter into transactions with affiliates;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Pay cash dividends and make distributions;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Redeem or repurchase capital shares;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Sell, lease or transfer certain parts of our business or property, including equity interests of our subsidiaries;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Prepay other indebtedness;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Acquire new companies and merge or consolidate.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Oxford Loan Agreement also contains other customary covenants. We may not be able to comply with these covenants in the future. Our failure to comply with these covenants may result in the declaration of an event of default, which, if not cured or waived, may result in the acceleration of the maturity of indebtedness outstanding under the Oxford Loan Agreement and would require us to pay all amounts outstanding. If the maturity of our indebtedness is accelerated, we may not have sufficient funds then available for repayment or we may not have the ability to borrow or obtain sufficient funds to replace the accelerated indebtedness on terms acceptable to us or at all. Our failure to repay our obligations under the Oxford Loan Agreement would result in Oxford foreclosing on all or a portion of our assets, which could force us to curtail or cease our operations.</w:t>
      </w:r>
    </w:p>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The amount of our future losses is uncertain and our quarterly operating results may fluctuate significantly or may fall below the expectations of investors or securities analysts, each of which may cause our stock price to fluctuate or decline.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operating results may fluctuate significantly in the future due to a variety of factors, many of which are outside of our control and may be difficult to predict, including the following: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timing and success or failure of clinical trials for our product candidates or competing product candidates, or any other change in the competitive landscape of our industry, including consolidation among our competitors or partners;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ability to successfully recruit and retain subjects for clinical trials, and any delays caused by difficulties in such efforts;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ability to obtain marketing approval for our product candidates, and the timing and scope of any such approvals we may receive;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timing and cost of, and level of investment in, research and development activities relating to our product candidates, which may change from time to time;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manufacturing our product candidates, which may vary depending on the difficulty of manufacture, quantity of production and the terms of our agreements with manufacturers;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ability to attract, hire and retain qualified personnel;</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expenditures that we will or may incur to develop additional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level of demand for our product candidates should they receive approval, which may vary significantly;</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risk/benefit profile, cost and reimbursement policies with respect to our product candidates, if approved, and existing and potential future therapeutics that compete with our product candidates;</w:t>
      </w:r>
    </w:p>
    <w:p>
      <w:pPr>
        <w:pStyle w:val="TextBody"/>
        <w:bidi w:val="0"/>
        <w:spacing w:lineRule="auto" w:line="288" w:before="0" w:after="0"/>
        <w:ind w:left="0" w:right="0" w:hanging="630"/>
        <w:jc w:val="left"/>
        <w:rPr/>
      </w:pPr>
      <w:r>
        <w:rPr>
          <w:color w:val="000000"/>
        </w:rPr>
        <w:t>•</w:t>
      </w:r>
      <w:r>
        <w:rPr>
          <w:rFonts w:ascii="Times New Roman;sans-serif" w:hAnsi="Times New Roman;sans-serif"/>
          <w:b w:val="false"/>
          <w:color w:val="000000"/>
          <w:sz w:val="20"/>
        </w:rPr>
        <w:t>general market conditions or extraordinary external events, such as recessions or the effects of health epidemics and pandemics, such as COVID-19 pandemic;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changing and volatile U.S. and global economic and political environments;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future accounting pronouncements or changes in our accounting policies.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Research and Development and the Biopharmaceutical Industry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have a limited operating history, which may make it difficult to evaluate our prospects and likelihood of success.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no products approved for commercial sale and have not generated any revenue from product sales to date. Our operations to date have been limited to organizing and staffing our company, business planning, raising capital, establishing our intellectual property portfolio and performing research and development of our product candidates and our technology related to transforming growth factor beta, or TGF-β, signaling and integrin biology, medicinal chemistry, translational screening technologies, and clinical insights to discover and develop novel therapies for the treatment of fibrosis. Our approach to the discovery and development of product candidates is unproven, and we do not know whether we will be able to develop any products of commercial value. We have not yet demonstrated the ability to progress any product candidate through clinical trials, obtain regulatory approval, manufacture a commercial scale product, or arrange for a third party to do so on our behalf, or conduct sales and marketing activities necessary for successful product commercialization. In addition, as a business with a limited operating history, we may encounter unforeseen expenses, difficulties, complications, delays and other known and unknown factors and risks frequently experienced by early-stage biopharmaceutical companies in rapidly evolving fields. Consequently, we expect our operating results to continue to fluctuate significantly from quarter to quarter and year to year due to a variety of factors, many of which are beyond our control, and predictions about our future success or viability may not be as accurate as they could be if we had a longer operating history or a history of successfully developing and commercializing drug products.</w:t>
      </w:r>
    </w:p>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Our business is highly dependent on the success of our lead product candidate, bexotegrast and any other product candidates that we advance into the clinic. Our product candidates will require significant additional development before we may be able to seek regulatory approval for and launch a product commercially.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conducting a Phase 2b trial of bexotegrast in IPF and a Phase 2a trial in PSC and have no products that are approved for commercial sale and may never be able to develop marketable products. If bexotegrast or any of our other product candidates encounter safety or efficacy problems, development delays, regulatory issues or other problems, our development plans and business would be significantly harmed.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Before we can generate any revenue from sales of our lead product candidate, bexotegrast, or any of our other product candidates, we must undergo additional preclinical and clinical development, regulatory review, and approval in one or more jurisdictions. In addition, if one or more of our product candidates are approved, we must ensure access to sufficient commercial manufacturing capacity and conduct significant marketing efforts in connection with any commercial launch. These efforts will require substantial investment, and we may not have the financial resources to continue development of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experience setbacks that could delay or prevent regulatory approval of, or the extent of regulatory protection or our ability to commercialize, our product candidates, including: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negative or inconclusive results from our preclinical studies or clinical trials or the clinical trials of others for product candidates similar to ours, leading to a decision or requirement to conduct additional preclinical testing or clinical trials or abandon a program;</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product-related side effects experienced by subjects in our clinical trials or by individuals using drugs or therapeutics similar to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delays in submitting investigational new drug (IND) applications or comparable foreign applications or delays or failure in obtaining the necessary approvals from regulators to commence a clinical trial, or a suspension or termination of a clinical trial once commenced;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conditions imposed by the FDA or comparable foreign authorities regarding the scope or design of our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delays in enrolling subjects in clinical trials, including due to operational challenges, competition with other clinical trials or the effects of health epidemics and pandemics, such as the COVID-19 pandemic;</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high drop-out rates or screening failures of subjects from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inadequate supply or quality of product candidates or other materials necessary for the conduct of our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challenges manufacturing our product candidates to regulatory requirements in a cost effective manner;</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greater than anticipated clinical trial costs;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inability to compete with other therapies;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failure to secure or maintain orphan designation in some jurisdictions;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poor efficacy of our product candidates during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unfavorable FDA or other regulatory agency inspection and review of a clinical trial site;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failure of our third-party contractors or investigators to comply with regulatory requirements or otherwise meet their contractual obligations in a timely manner, or at all;</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delays and changes in regulatory requirements, policy and guidelines, including the imposition of additional regulatory oversight around clinical testing generally or with respect to our technology in particular; or</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varying interpretations of data by the FDA and similar foreign regulatory agencies.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approach to drug discovery and development in the area of fibrotic diseases, with an initial focus on tissue-specific integrin modulation and TGF-β signaling inhibition, is unproven and may not result in marketable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approach is designed to discover and develop targeted treatments for fibrosis with an initial focus on the antagonism of tissue-specific TGF-β signaling through the inhibition of integrins known to mediate the release of activated TGF-β in fibrotic tissue. However, this mechanism has not been definitively proven to successfully treat fibrosis. Targeting integrins to treat fibrosis is a novel approach in a rapidly developing field, and there can be no assurance that we will not experience currently unknown problems or delays in developing our product candidates, that such problems or delays will not result in unanticipated costs, or that any such development problems can be solved. As a result, we may never succeed in developing a marketable product.</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Clinical development involves a lengthy, complex, and expensive process, with an uncertain outcome.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the general approach for FDA approval of a new drug is dispositive data from two well-controlled, Phase 3 clinical trials of the relevant drug in the relevant patient population. Phase 3 clinical trials typically involve hundreds of patients, have significant costs and take years to complete. A product candidate can fail at any stage of testing, even after observing promising signals of activity in earlier preclinical studies or earlier stage clinical trials. The results of preclinical studies and early clinical trials of our product candidates may not be predictive of the results of later-stage clinical trials.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large number of companies in the biopharmaceutical industry have suffered significant setbacks in advanced clinical trials due to lack of efficacy or unacceptable safety issues, notwithstanding promising results in earlier trials. Most product candidates that commence clinical trials are never approved as products and there can be no assurance that any of our future clinical trials will ultimately be successful or support further clinical development of bexotegrast or any of our other product candidates. Product candidates that appear promising in the early phases of development may fail to reach the market for several reasons,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preclinical studies or clinical trials may show the product candidates to be less effective than expected (e.g., a clinical trial could fail to meet its primary endpoint(s)) or to have unacceptable side effects or toxicities;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failure to establish clinical endpoints that applicable regulatory authorities would consider clinically meaningful;</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failure to receive the necessary regulatory approvals;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development of competing products in the same disease state;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manufacturing costs, formulation issues, pricing or reimbursement issues, or other factors that make a product candidate uneconomical;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proprietary rights of others and their competing products and technologies that may prevent one of our product candidates from being commercialized.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differences in trial design between early-stage clinical trials and later-stage clinical trials make it difficult to extrapolate the results of earlier clinical trials to later clinical trials. Further, as we rely on novel technologies including sophisticated imaging technologies to generate data relating to our clinical endpoints, there is an increased risk that we may not properly measure, analyze or interpret this data. Moreover, clinical data are often susceptible to varying interpretations and analyses, and many companies that have believed their product candidates performed satisfactorily in clinical trials have nonetheless failed to obtain marketing approval of their products. Additionally, some of our trials are open label studies, where both the patient and investigator know whether the patient is receiving the investigational product candidate or either an existing approved drug or placebo. Most typically, open label clinical trials test only the investigational product candidate and sometimes do so at different dose levels. Open label clinical trials are subject to various limitations that may exaggerate any therapeutic effect as patients in open label clinical trials are aware when they are receiving treatment. In addition, open 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 label trials will not be replicated in later placebo-controlled trials.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standards that the FDA and comparable foreign regulatory authorities use when regulating us require judgment and can change, which makes it difficult to predict with certainty how they will be applied. Although we are initially focusing our efforts on development of small molecule drug products, we are also commencing the development of biological products, including a potential candidate for muscular dystrophies, which could make us subject to additional regulatory requirements.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Examples of such regulations include future legislation or administrative action, or changes in FDA policy during the period of product development and FDA regulatory review. It is impossible to predict whether legislative changes will be enacted, or whether FDA or foreign regulations, guidance or interpretations will be changed, or what the impact of such changes, if any, may be.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must comply with numerous foreign regulatory requirements governing, among other things, the conduct of clinical trials, manufacturing and marketing authorization, and if approved for marketing,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Successful completion of clinical trials is a prerequisite to submitting a marketing application to the FDA and similar marketing applications to comparable foreign regulatory authorities, for each product candidate and, consequently, the ultimate approval and commercial marketing of any product candidates. We may experience negative or inconclusive results, which may result in our deciding, or our being required by regulators, to conduct additional clinical studies or trials or abandon some or all of our product development programs, which could have a material adverse effect on our business.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incur additional costs or experience delays in completing, or ultimately be unable to complete, the development and commercialization of bexotegrast or any other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experience delays in initiating or completing clinical trials. We also may experience numerous unforeseen events during, or as a result of, any future clinical trials that could delay or prevent our ability to receive marketing approval or commercialize bexotegrast or any other product candidates, including: </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regulators or institutional review boards, or IRBs, or ethics committees may not authorize us or our investigators to commence a clinical trial or conduct a clinical trial at a prospective trial site;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FDA or other comparable regulatory authorities may disagree with our clinical trial design, including with respect to dosing levels administered in our planned clinical trials, which may delay or prevent us from initiating our clinical trials with our originally intended trial design;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experience delays in reaching, or fail to reach, agreement on acceptable terms with prospective trial sites and prospective contract research organizations, or CROs, which can be subject to extensive negotiation and may vary significantly among different CROs and trial sites;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number of subjects required for clinical trials of any product candidates may be larger than we anticipate or subjects may drop out of these clinical trials or fail to return for post-treatment follow-up at a higher rate than we anticipate;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experience delays or interruptions to our manufacturing supply chain, or we could suffer delays in reaching, or we may fail to reach, agreement on acceptable terms with third-party service providers on whom we rely;</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additional delays and interruptions to our clinical trials could extend the duration of the trials and increase the overall costs to finish the trials as our fixed costs are not substantially reduced during delays;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elect to, or regulators, IRBs, Data Safety Monitoring Boards, or DSMBs,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not have the financial resources available to begin and complete the planned trials, or the cost of clinical trials of any product candidates may be greater than we anticipate;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supply or quality of our product candidates or other materials necessary to conduct clinical trials of our product candidates may be insufficient or inadequate to initiate or complete a given clinical trial;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FDA or other comparable foreign regulatory authorities may require us to submit additional data such as long-term toxicology studies, or impose other requirements before permitting us to initiate a clinical trial.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development costs will increase if we experience additional delays in clinical testing or in obtaining marketing approvals. We do not know whether any of our clinical trials will begin as planned, will need to be restructured or will be completed on schedule, or at all. If we do not achieve our product development goals in the timeframes we announce and expect, the approval and commercialization of our product candidates may be delayed or prevented entirely.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our clinical trials to date, bexotegrast has been generally well tolerated. However, if significant adverse events or other side effects are observed in any of our ongoing or future clinical trials, we may have difficulty recruiting patients to our clinical trials, patients may drop out of our trials, or we may be required to abandon the trials or our development efforts altogether. In addition, in our ongoing Phase 2a clinical trials, we are evaluating bexotegrast administered with approved IPF agents. We have completed a Phase 1a study evaluating one-way interaction of bexotegrast on nintedanib or pirfenidone, concluding that clinical safety and pharmacokinetic data indicate that no dose adjustments are needed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nintedanib or pirfenidone when combined with bexotegrast. However, we may encounter unexpected drug-drug interactions in our planned trials, and may be required to further test these candidates, including additional drug-drug interaction studies, which may be expensive, time-consuming and result in delays to our programs.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Some potential therapeutics developed in the biopharmaceutical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of the approved product due to its tolerability versus other therapies.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encounter difficulties enrolling patients in our clinical trials, our clinical development activities could be delayed or otherwise adversely affected.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patient eligibility and exclusion criteria defined in the protocol;</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size of the patient population required for analysis of the trial’s primary endpoints and the process for identifying patients;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willingness or availability of patients to participate in our trials ;</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proximity of patients to trial sites;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design of the trial;</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ability to recruit clinical trial investigators with the appropriate competencies and experience;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clinicians’ and patients’ perceptions as to the potential advantages and risks of the product candidate being studied in relation to other available therapies, including any new products that may be approved for the indications we are investigating or other studies enrolling for similar diseases;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availability of competing commercially available therapies and other competing product candidates’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ability to obtain and maintain patient informed consents;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risk that patients enrolled in clinical trials will drop out of the trials before completion.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we are initially developing bexotegrast for the treatment of IPF and PSC, each of which is an orphan indication. In the United States, IPF is estimated to affect approximately 140,000 patients, while PSC is estimated to affect approximately 30,000 to 45,000 patients. As a result, we may encounter difficulties enrolling subjects in our clinical trials of bexotegrast due, in part, to the small size of these patient populations. Our clinical trials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FDA may modify or enhance trial requirements, which may affect enrollment. For example, in August 2023, the FDA published a guidance document, “Informed Consent, Guidance for IRBs, Clinical Investigators, and Sponsors,” which supersedes past guidance and finalizes draft guidance on informed consent. The FDA’s new guidance presents evolving requirements for informed consent which may affect recruitment and retention of patients in clinical trials. Effects on recruitment and retention of patients may hinder or delay a clinical trial and could cause a significant setback to an applicable program.</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The design or execution of our ongoing and future clinical trials may not support marketing approval.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design or execution of a clinical trial can determine whether its results will support marketing approval, and flaws in the design or execution of a clinical trial may not become apparent until the clinical trial is well advanced.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in some instances, there can be significant variability in safety or efficacy results between different trials with the same product candidate due to numerous factors, including differences in trial protocols, size and type of the patient populations, variable adherence to the dosing regimen or other protocol requirements and the rate of dropout among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 participants. We do not know whether any clinical trials we conduct will demonstrate consistent or adequate efficacy and safety to obtain marketing approval to market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FDA and comparable foreign regulatory authorities have substantial discretion in the approval process and in determining when or whether marketing approval will be obtained for any of our product candidates. Our product candidates may not be approved even if they achieve their primary endpoints in future Phase 3 clinical trials or registrational trials. The FDA or comparable foreign regulatory authorities may disagree with our trial designs and our interpretation of data from preclinical studies or clinical trials. Further, requirements regarding clinical trial data may evolve. In June 2023, the FDA published draft guidance, which seeks to unify standards for clinical trial data for ICH member countries and regions. Changes to data requirements may cause the FDA or comparable foreign regulatory authorities to disagree with data from preclinical studies or clinical trials, and may require further studies.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any of these regulatory authorities may change requirements for the approval of a product candidate even after reviewing and providing comments or advice on a protocol for a pivotal Phase 3 or registrational clinical trial. In addition, any of these regulatory authorities may also approve a product candidate for fewer or more limited indications than we request or may grant approval contingent on the performance of costly post-marketing clinical trials. The FDA or comparable foreign regulatory authorities may not approve the labeling claims that we believe would be necessary or desirable for the successful commercialization of our product candidates, if approved.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Although we have received U.S. orphan drug designation for bexotegrast for IPF and PSC indications and EEA orphan drug designation for bexotegrast for IPF and for PSC we may be unable to obtain and maintain orphan drug designation for our other product candidates and, even if we obtain such designation, we may not be able to realize the benefits of such designation, including potential marketing exclusivity of our product candidates, if approved.</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order to obtain orphan designation in the European Economic Area (EEA) and the U.K., the product must fulfill certain challenging criteria. Under Article 3 of Regulation (EC) 141/2000, a medicinal product may be designated as an orphan medicinal product if it meets the following criteria: (1) such product is intended for the diagnosis, prevention or treatment of a life-threatening or chronically debilitating condition;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 In the EEA, the grant of the orphan designation does not mean that the product will be granted orphan status at the time it is assessed in parallel with the application for a marketing authorization.</w:t>
      </w:r>
      <w:r>
        <w:rPr>
          <w:color w:val="000000"/>
        </w:rPr>
        <w:t xml:space="preserve"> </w:t>
      </w:r>
      <w:r>
        <w:rPr>
          <w:rFonts w:ascii="Times New Roman;sans-serif" w:hAnsi="Times New Roman;sans-serif"/>
          <w:b w:val="false"/>
          <w:color w:val="000000"/>
          <w:sz w:val="20"/>
        </w:rPr>
        <w:t>The authorities reassess then whether the product still fulfills the criteria for orphan status.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received U.S. orphan drug designation for bexotegrast for IPF and PSC and EEA orphan drug designation for bexotegrast for IPF and for PSC, the designation of any of our product candidates as an orphan drug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a similar medicinal product treating the same indication for that marketing exclusivity period, except in limited circumstances. The applicable period is seven years in the United States and ten years in the EEA. The ten-year period of market exclusivity in the EEA can be extended by a further two years if the product qualifies for a pediatric extension, but can be reduced to a period of six years if the orphan designation criteria are no longer met after the fifth year. Orphan drug exclusivity may be revoked if any regulatory agency determines that the request for designation was materially defective or if the manufacturer is unable to assure sufficient quantity of the product to meet the needs of patients with the rare disease or condition. On April 26, 2023, the European Commission adopted a proposal for a new Regulation set to replace Regulation (EC) No 726/2004 and a new Directive replacing Directive 2001/83 on the Community Code relating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medicinal products for human use. If made into law, this proposal will revise and replace the existing general pharmaceutical legislation and may make it more difficult to obtain orphan designation in the EEA.</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Even if we obtain orphan drug exclusivity for a product candidate, that exclusivity may not effectively protect the product candidate from competition because different drugs with different active moieties can be approved for the same condition in the United States or EEA. Even after an orphan drug is approved, the FDA or EMA, as applicable, may subsequently approve another drug with the same active moiety for the same condition if the FDA concludes that the latter drug is not a similar medicinal product or is clinically superior in that it is shown to be safer, more effective or makes a major contribution to patient care.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Congress is considering updates to the orphan drug provisions of the Food, Drug, and Cosmetic Act, or FDCA, in response to a recent decision by the U.S. Court of Appeals for the Eleventh Circuit. Any changes to the orphan drug provisions could change our opportunities for, or likelihood of success in obtaining, orphan drug exclusivity and would materially adversely affect our business, results of operations, financial condition and prospects.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 Fast Track designation by the FDA, even if granted for other current or future product candidates, may not lead to a faster development or regulatory review or approval process and does not increase the likelihood that our product candidates will receive marketing approval.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seek Fast Track designation for one or more of our future product candidates. In April 2022, bexotegrast received Fast Track designation for the treatment of IPF. If a drug product is intended for the treatment of a serious or life-threatening disease or condition and it demonstrates the potential to address unmet medical needs for such a disease or condition, the drug sponsor may apply for FDA Fast Track designation for a particular indication. We may seek Fast Track designation for our product candidates, but there is no assurance that the FDA will grant this designation to any of our proposed product candidates. Marketing applications submitted by sponsors of products in Fast Track development may qualify for priority review under the policies and procedures offered by the FDA, but the Fast Track designation does not assure any such qualification or ultimate marketing licensure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licensure compared to conventional FDA procedures or pathways and receiving a Fast Track designation does not provide assurance of ultimate FDA licensure. In addition, the FDA may withdraw Fast Track designation if it believes that the designation is no longer supported by data from our clinical development program. In addition, the FDA may withdraw any Fast Track designation at any time.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Changes in methods of product candidate manufacturing or formulation may result in additional costs or delay.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product candidates progress through preclinical to late-stage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marketing approval for any of our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Additionally, if we advance a biological candidate into IND-enabling studies, the manufacturing processes for biological products is more complex and expensive than with small molecule products and additional manufacturing suppliers may be needed to manufacture clinical supplies for these programs.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not be successful in our efforts to identify or discover additional product candidates in the future.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programs may initially show promise in identifying potential product candidates, yet fail to yield product candidates for clinical development for a number of reasons,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inability to design such product candidates with the pharmacological properties that we desire or attractive pharmacokinetics; or</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potential product candidates may, on further study, be shown to have harmful side effects or other characteristics that indicate that they are unlikely to be medicines that will receive marketing approval and achieve market acceptance.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Research programs to identify new product candidates require substantial technical, financial, and human resources. If we are unable to identify suitable compounds for preclinical and clinical development, we will not be able to obtain product revenue in future periods, which likely would result in significant harm to our financial position and adversely impact our stock price.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Due to our limited resources and access to capital, we must make decisions on the allocation of resources to certain programs and product candidates; these decisions may prove to be wrong and may adversely affect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limited financial and human resources and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In addition, we seek to accelerate our development timelines, including by initiating certain clinical trials of our product candidates before earlier-stage studies have been completed. This approach may cause us to commit significant resources to prepare for and conduct later-stage trials for one or more product candidates that subsequently fail earlier-stage clinical testing. Therefore, our resource allocation decisions may cause us to fail to capitalize on viable commercial products or profitable market opportunities or expend resources on product candidates that are not viable.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product liability lawsuits are brought against us, we may incur substantial financial or other liabilities and may be required to limit commercialization of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face an inherent risk of product liability as a result of testing bexotegrast and any of our other product candidates in clinical trials and will face an even greater risk if we commercialize any products.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inability to bring a product candidate to the market;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decreased demand for our products;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injury to our reputation;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withdrawal of clinical trial participants and inability to continue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initiation of investigations by regulators;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fines, injunctions or criminal penalties;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costs to defend the related litigation;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diversion of management’s time and our resources;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substantial monetary awards to trial participants;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product recalls, withdrawals or labeling, marketing or promotional restrictions;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loss of revenue;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exhaustion of any available insurance and our capital resources;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inability to commercialize any product candidate, if approved;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decline in our share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inability to obtain sufficient product liability insurance at an acceptable cost to protect against potential product liability claims could prevent or inhibit the commercialization of products we develop. We will need to obtain additional insurance for clinical trials as bexotegrast continues clinical development and as additional product candidates enter the clinic. However, we may be unable to obtain, or may obtain on unfavorable terms, clinical trial insurance in amounts adequate to cover any liabilities from any of our clinical trials.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face substantial competition, which may result in others discovering, developing, or commercializing products before or more successfully than us.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and commercialization of new drug products is highly competitive. We may face competition with respect to any product candidates that we seek to develop or commercialize in the future from major biopharmaceutical companies, specialty biopharmaceutical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are a number of biopharmaceutical and biotechnology companies that are currently pursuing the development of products for the treatment of fibrosis. Companies that we are aware of that are targeting the treatment of various fibrosis indications through inhibiting various parts of the TGF-β pathway include companies with significant financial resources such as AbbVie Inc., AstraZeneca plc, Bristol Myers Squibb Co., Corbus Pharmaceutical, Merck &amp; Co., Inc., Morphic Therapeutics, Inc., Novartis AG, Scholar Rock, Inc., and Takeda Pharmaceutical Company.</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Mergers and acquisitions in the biopharmaceutical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more convenient or less expensive than any products that we may develop. Furthermore, products currently approved for other indications could be discovered to be effective treatments of fibrosis as well, which could give such products significant regulatory and market timing advantages over bexotegrast or other product candidates that we may identify. Our competitors also may obtain FDA or other regulatory approval for their products more rapidly than we may obtain approval for ours,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 The availability of competitive products could limit the demand, and the price we are able to charge, for any products that we may develop and commercialize.</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Marketing, Reimbursement, Healthcare Regulations and Ongoing Regulatory Compliance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Even if a product candidate we develop receives marketing approval, it may fail to achieve the degree of market acceptance by physicians, patients, third-party payors and others in the medical community necessary for commercial success.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Even if bexotegrast or any other product candidate we develop receives marketing approval, it may nonetheless fail to gain sufficient market acceptance by physicians, patients and third-party payors. In addition, the availability of coverage by third-party payors may be affected by existing and future healthcare reform measures designed to reduce the cost of health care. If the product candidates we develop do not achieve an adequate level of acceptance, we may not generate significant product revenues and we may not become profitable.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market acceptance of any product candidate, if approved for commercial sale, will depend on a number of factors, including: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efficacy and potential advantages compared to alternative treatments;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ability to offer our products, if approved, for sale at competitive prices;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convenience and ease of administration compared to alternative treatments;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willingness of the target patient population to try new therapies and of physicians to prescribe these therapies;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recommendations with respect to our product candidates in guidelines published by various scientific organizations applicable to us and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positive HTA assessment in jurisdictions where required;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strength of marketing and distribution support;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ability to obtain sufficient third-party coverage and adequate reimbursement and a positive recommendation by health technology bodies;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prevalence and severity of any side effects.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government and other third-party payors do not provide coverage and adequate reimbursement levels for any products we commercialize, market acceptance and commercial success would be reduced.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Coverage and reimbursement may be limited or unavailable or pricing unfavorable in certain market segments for our product candidates, if approved, which could make it difficult for us to sell any product candidates profitably.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uncertainty exists as to the coverage and reimbursement status of any products for which we may obtain regulatory approval. In the United States, sales of any products for which we may receive regulatory marketing approval will depend, in part, on the availability of coverage and adequacy of reimbursement from third-party payors. Third-party payors include government authorities such as Medicare, Medicaid, TRICARE, and the Veterans Administration, managed care providers, private health insurers, and other organizations.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are critical to new product acceptance. Patients are unlikely to use our product candidates unless coverage is provided, and reimbursement is adequate to cover a significant portion of the cost. We cannot be sure that coverage and adequate reimbursement will be available for any product that we may develop and, if reimbursement is available, what the level of reimbursement will be.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authorities and other third-party payors decide which drugs and treatments they will cover and the amount of reimbursement. Coverage and reimbursement by a third-party payor may depend upon a number of factors, including the third-party payor’s determination that use of a product is: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 covered benefit under its health plan;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safe, effective and medically necessary;</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appropriate for the specific patient;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cost-effective;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neither experimental nor investigational.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as well as foreign jurisdictions, no uniform policy of coverage and reimbursement for products exists among third-party payors.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Coverage and reimbursement for products may vary depending on the payor, the insurance plan, and other factors.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It is difficult to predict at this time what third-party payors will decide with respect to the coverage and reimbursement for our product candidates, if approved.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primary trend in the United States and European health care industries is toward cost containment, as legislative bodies, government authorities, third-party payors, and others have attempted to control costs by limiting coverage, pricing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Times New Roman;sans-serif" w:hAnsi="Times New Roman;sans-serif"/>
          <w:b w:val="false"/>
          <w:color w:val="000000"/>
          <w:sz w:val="20"/>
        </w:rPr>
        <w:t>and the amount of reimbursement available for certain treatments. Such third-party payers, including Medicare, may question the coverage of, and challenge or seek to lower the prices charged for medical products, and many third-party payers limit coverage and reimbursement for newly approved health care products. Moreover, reimbursement, if available,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payers or by future laws, regulations, or guidance seeking to limit prescription drug prices.</w:t>
      </w:r>
      <w:r>
        <w:rPr>
          <w:color w:val="000000"/>
        </w:rPr>
        <w:t xml:space="preserve"> </w:t>
      </w:r>
      <w:r>
        <w:rPr>
          <w:rFonts w:ascii="Times New Roman;sans-serif" w:hAnsi="Times New Roman;sans-serif"/>
          <w:b w:val="false"/>
          <w:color w:val="000000"/>
          <w:sz w:val="20"/>
        </w:rPr>
        <w:t>If we are unable to promptly obtain coverage and adequate reimbursement rates from both government-funded and private payers for any approved products that we develop, or if net prices are reduced by mandatory discounts or rebates, there could be a material adverse effect on our operating results, our ability to raise capital needed to commercialize products and our overall financial condition.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to current healthcare laws and state and federal healthcare reform measures that may be adopted in the future that impact coverage and reimbursement for drug or biologic products may result in additional payment reductions in Medicare and other healthcare funding and otherwise affect the prices we may obtain for any product candidates for which we may obtain regulatory approval or the frequency with which any such product candidate is prescribed or used. For additional details regarding healthcare reform measures, see the discussion in the risk factor under the heading “Ongoing healthcare legislative and regulatory reform measures may have a material adverse effect on our business and results of operations.” </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Even if we obtain FDA approval of any of our product candidates, we may never obtain approval or commercialize such products outside of the United States, which would limit our ability to realize their full market potential.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relationships with healthcare providers, physicians, third-party payors, and other potential referral sources will be subject to applicable anti-kickback, fraud and abuse and other healthcare laws and regulations, which could expose us to criminal sanctions, civil penalties, contractual damages, reputational harm and diminished profits and future earnings.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Healthcare providers, physicians, third-party payors, and other potential referral sources in the United States and elsewhere play a primary role in the distribution, recommendation and prescription of biopharmaceutical products. Arrangements with third-party payors and customers can expose biopharmaceutical manufacturers to broadly applicable fraud and abuse and other healthcare laws and regulations, as detailed in Part I, Item 1 - Business - Government Regulation - Other Healthcare Laws of this report. In particular, the research of our product candidates, as well as the promotion, sales and marketing of healthcare items and services, and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remuneration provided to health care professionals and their affiliates, charitable donations, interactions with entities excluded from participation in government healthcare programs, and other business arrangements generally. Activities subject to these laws also involve the improper use of information obtained in the course of patient recruitment for clinical trials.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distribution of biopharmaceutical products is subject to additional requirements and regulations, including extensive record-keeping, licensing, storage and security requirements intended to prevent the unauthorized sale of biopharmaceutical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scope and enforcement of each of these laws is uncertain and subject to rapid change in the current environment. Ensuring business arrangements comply with applicable healthcare laws can be time- and resource-consuming.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any of our product candidates are approved, they will be subject to ongoing regulatory requirements for manufacturing, labeling, packaging, storage, advertising, promotion, sampling, record-keeping, conduct of post-marketing studies, pharmacovigilance, and submission of safety, efficacy and other post-market information, including both federal and state requirements in the United States and requirements of comparable foreign regulatory authorities. In addition, we will be subject to continued compliance with current Good Manufacturing Practice, or cGMP, and GCP requirements for any clinical trials that we conduct post-approval.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Manufacturers and their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efficacy of the product candidate. The FDA may also require a risk evaluation and mitigation strategies, or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FDA or any other foreign regulatory authority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restrictions on the marketing or manufacturing of our products, withdrawal of the product from the market or voluntary or mandatory product recalls;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fines, warning letters or holds on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refusal by the FDA to approve pending applications or supplements to approved applications filed by us or suspension or revocation of license approvals;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voluntary or mandatory product recalls and related publicity requirements;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total or partial suspension of production;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product seizure or detention or refusal to permit the import or export of our product candidates;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injunctions or the imposition of civil or criminal penalties.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FDA strictly regulates marketing, labeling, advertising, and promotion of products that are placed on the market. Products may be promoted only for the approved indications and in accordance with the provisions of the approved label. However, companies may share truthful and not misleading information that is not inconsistent with the labeling. The FDA and other agencies actively enforce the laws and regulations prohibiting the promotion of off-label uses and a company that is found to have improperly promoted off-label uses may be subject to significant liability.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Ongoing healthcare legislative and regulatory reform measures may have a material adverse effect on our business and results of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and other jurisdictions, there have been, and we expect there will continue to be, a number of legislative and regulatory changes and proposed changes to the healthcare system that could affect our ability to profitably sell any product candidates for which we obtain marketing approval or licensure. Changes in regulations, statutes or the interpretation of existing regulations governing the regulatory approval or licensure, manufacture, and marketing of regulated products or the pricing, coverage and reimbursement thereof could impact our business in the future by resulting in, for example: (i) changes to our manufacturing arrangements; (ii) additions or modifications to product labeling; (iii) the recall or discontinuation of our products; (iv) more rigorous coverage criteria or additional downward pressure on the price that we receive for product candidates for which we obtain marketing approval; or (v) additional record-keeping requirements. If any such changes were to be imposed, they could adversely affect the operation of our business.</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In the United States, there have been and continue to be a number of legislative initiatives to contain healthcare costs, as detailed in Part I, Item 1 – Business – Government Regulation – Current and Future Healthcare Reform Legislation of this report. For example, in August 2022, President Biden signed into law the IRA, which implements substantial changes to the Medicare program, including drug pricing reforms and changes to the Medicare Part D benefit design.</w:t>
      </w:r>
      <w:r>
        <w:rPr>
          <w:color w:val="000000"/>
        </w:rPr>
        <w:t xml:space="preserve"> </w:t>
      </w:r>
      <w:r>
        <w:rPr>
          <w:rFonts w:ascii="Times New Roman;sans-serif" w:hAnsi="Times New Roman;sans-serif"/>
          <w:b w:val="false"/>
          <w:color w:val="000000"/>
          <w:sz w:val="20"/>
        </w:rPr>
        <w:t xml:space="preserve">Among other reforms, the IRA, imposes inflation rebates on drug manufacturers for products reimbursed under Medicare Parts B and D if the prices of those products increase faster than inflation; implements changes to the Medicare Part D benefit that, beginning in 2025, will cap patient annual out-of-pocket spending at $2,000, while imposing new discount obligations for pharmaceutical manufacturers and payors; and, beginning in 2026, establishes a “maximum fair price” for a fixed number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high spend pharmaceutical and biological products covered under Medicare Parts B and D following a price negotiation process with the Centers for Medicare and Medicaid Services.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IRA explicitly excludes from price negotiation orphan drugs designated for only one rare disease or condition and for which the only active approved indication is for such disease or condition. Those drugs with multiple orphan designations are not excluded from drug price negotiation. As we are developing bexotegrast in multiple orphan indications, this aspect of the IRA could have a negative impact on our ability to seek reimbursement in the U.S.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Since its enactment, the Centers for Medicare and Medicaid Services, or CMS, has taken steps to implement various drug pricing provisions of the IRA. This includes, without limitation, issuing new guidance on June 30, 2023 detailing the requirements and parameters of the first round of price negotiations, to take place during 2023 and 2024, for products subject to the “maximum fair price” provision that would become effective in 2026 and, on August 29, 2023, releasing the initial list of 10 drugs subject to price negotiations. While it remains to be seen how the drug pricing provisions imposed by the IRA will affect the broader pharmaceutical industry (including orphan drug or small molecule development), several pharmaceutical manufacturers and other industry stakeholders have challenged the law, including through lawsuits brought against the U.S. Department of Health and Human Services (HHS), the Secretary of HHS, CMS, and the CMS Administrator challenging the constitutionality and administrative implementation of the IRA’s drug price negotiation provisions. We cannot predict whether the IRA, or any of its component parts, will be overturned, repealed, replaced, or amended nor can we predict the likelihood, nature, or extent of other health reform initiatives that may arise from future legislation, administrative, or other action. However, we expect these initiatives to increase pressure on drug pricing. Further, certain broader legislation that is not targeted to the healthcare industry may nonetheless adversely affect our profitability.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Drug marketing and reimbursement regulations may materially affect our ability to market and secure reimbursement for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Furthermore, in many European countries (including the U.K.), effective access to the market depends on whether the product obtains a positive recommendation from the relevant health technology assessment body.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Much like the federal Anti-Kickback Statute prohibition in the United States, the provision of benefits or advantages to induce or reward improper performance generally to induce or encourage the prescription, recommendation, endorsement, purchase, supply, order or use of medicinal products is also prohibited in the EU. The provision of benefits or advantages to induce or reward improper performance generally is governed by the national anti-bribery laws of EU Member States, and in respect of the U.K. (which is no longer a member of the EU), the Bribery Act 2010. Infringement of these laws could result in substantial fines and imprisonment. EU Directive 2001/83/EC, which is the EU Directive governing medicinal products for human use, further provides that, where medicinal products are being promoted to persons qualified to prescribe, recommend, use, procure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Payments made to physicians in certain EU Member States and more generally throughout Europe (including the U.K.) and other countries must be publicly disclosed under applicable transparency provisions.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most foreign countries, including those within the EEA, the proposed pricing for a drug must be approved before it may be lawfully marketed. The requirements governing drug pricing and reimbursement are the prerogative of the Member States and vary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biopharmaceutical products will allow or maintain favorable reimbursement and pricing arrangements for any of our products.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Additional laws and regulations governing international operations could negatively impact or restrict our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expand our operations outside of the United States, we must dedicate additional resources to comply with numerous laws and regulations in each jurisdiction in which we plan to operate. The U.S. Foreign Corrupt Practices Act, or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healthcare providers in connection with clinical trials and other work have been deemed to be improper payments to government officials and have led to FCPA enforcement actions.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If we expand our presence outside of the United States, it will require us to dedicate additional resources to comply with these laws, and these laws may preclude us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developing, manufacturing, or selling certain products and product candidates outside of the United States, which could limit our growth potential and increase our development costs.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Among other matters, U.S. and foreign anti-corruption, anti-money laundering, export control, sanctions, and other trade laws and regulations, which are collectively referred to as Trade Laws, prohibit companies and their employees, agents, contract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success depends in part on our ability to protect our intellectual property. It is difficult and costly to protect our proprietary rights and technology, and we may not be able to ensure their protection.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will depend in large part on obtaining and maintaining patent, IP regulatory rights (such as data exclusivity, marketing exclusivity and patent extensions) trademark and trade secret protection of our proprietary technologies and our product candidates, their respective components, synthetic intermediates,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certain that we were the first to file any patent application related to our technology, including our product candidates, and, if we were not, we may be precluded from obtaining patent protection for our technology, including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be certain that we were the first to invent the inventions covered by pending patent applications and, if we are not, we may be subject to priority disputes. Furthermore, for United States applications in which all claims are entitled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a priority date before March 16, 2013, an interference proceeding can be provoked by a third-party or instituted by the United States Patent and Trademark Office, or USPTO, to determine who was the first to invent any of the subject matter covered by the patent claims of our applications.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obtain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Recent or future patent reform legislation could increase the uncertainties and costs surrounding the prosecution of our patent applications and the enforcement or defense of our issued patents. Under the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America Invents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for our proprietary rights is uncertain because legal means afford only limited protection and may not adequately protect our rights or permit us to gain or keep our competitive advantage. For example: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others may be able to make or use compounds that are similar to the compositions of our product candidates but that are not covered by the claims of our patents or those of our licensors;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or our licensors, as the case may be, may fail to meet our obligations to the U.S. government in regards to any in-licensed patents and patent applications funded by U.S. government grants, leading to the loss of patent rights;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or our licensors, as the case may be, might not have been the first to file patent applications for these inventions;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it is possible that our pending patent applications will not result in issued patents;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not be able to extend the patent term in some jurisdictions;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it is possible that there are prior public disclosures that could invalidate our or our licensors’ patents, as the case may be, or parts of our or their patents;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it is possible that others may circumvent our owned or in-licensed patents or regulatory intellectual property rights such as our data protection, orphan market exclusivity and others;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it is possible that there are unpublished applications or patent applications maintained in secrecy that may later issue with claims covering our products or technology similar to ours;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laws of foreign countries may not protect our or our licensors’, as the case may be, proprietary rights to the same extent as the laws of the United States;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claims of our owned or in-licensed issued patents or patent applications, if and when issued, may not cover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owned or in-licensed issued patents may not provide us with any competitive advantages, may be narrowed in scope, or be held invalid or unenforceable as a result of legal challenges by third parties;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have engaged in scientific collaborations in the past and will continue to do so in the future. Such collaborators may develop adjacent or competing products to ours that are outside the scope of our patents;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not develop additional proprietary technologies for which we can obtain patent protection;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it is possible that product candidates or diagnostic tests we develop may be covered by third parties’ patents or other exclusive rights; or</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patents of others may have an adverse effect on our business.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enter into license or other collaboration agreements that may impose certain obligations on us. If we fail to comply with our obligations under such agreements with third parties, we could lose license rights that may be important to our future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efforts to expand our pipeline of product candidates, we may enter into certain licenses or other collaboration agreements pertaining to the in-license of rights to additional candidates. Such agreements may impose various diligence, milestone payment, royalty, insurance, or other obligations on us, subject to antitrust law restrictions. If we fail to comply with these obligations, our licensor or collaboration partners may have the right to terminate the relevant agreement, in which event we would not be able to develop or market the products covered by such licensed intellectual property.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Moreover, disputes may arise regarding intellectual property subject to a licensing agreement, including: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scope of rights granted under the license agreement and other interpretation-related issues;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extent to which our product candidates, technology and processes infringe on intellectual property of the licensor that is not subject to the licensing agreement;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sublicensing of patent and other rights under our collaborative development relationships;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diligence obligations under the license agreement and what activities satisfy those diligence obligations;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inventorship and ownership of inventions and know-how resulting from the joint creation or use of intellectual property by our licensors and us and our partners;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priority of invention of patented technology.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may have limited control over the maintenance and prosecution of these in-licensed patents and patent applications, or any other intellectual property that may be related to our in-licensed intellectual property. For example,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are unable to protect the confidentiality of our trade secrets, our business and competitive position would be harmed.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patent protection, we rely heavily upon know-how and trade secret protection, as well as non-disclosure agreements and invention assignment agreements with our employees, consultants and third 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clinical development strategy includes the testing of live tissue samples, and our techniques for preserving and testing these samples are proprietary and confidential. If one or more third parties obtain or are otherwise able to replicate these techniques, an important feature and differentiator of our clinical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by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Third-party claims of intellectual property infringement may prevent or delay our product discovery and development efforts.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inter partes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Thus, because of the large number of patents issued and patent applications filed in our fields, there may be a risk that third parties may allege they have patent rights encompassing our product candidates, technologies, or methods.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 third party claims that we infringe its intellectual property rights, we may face a number of issues, including, but not limited to:</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infringement and other intellectual property claims which, regardless of merit, may be expensive and time-consuming to litigate and may divert our management’s attention from our core business;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 court prohibiting us from developing, manufacturing, marketing or selling our product candidates, or from using our proprietary technologies, unless the third party licenses its product rights to us, which it is not required to do;</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if a license is available from a third 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redesigning our product candidates or processes so they do not infringe, which may not be possible or may require substantial monetary expenditures and time.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Third parties may assert that we are employing their proprietary technology without authorization.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provided by our patents and patent applications is threatened, it could dissuade companies from collaborating with us to license, develop or commercialize current or future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Third parties may assert that our employees or consultants have wrongfully used or disclosed confidential information or misappropriated trade secrets.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not be successful in obtaining or maintaining necessary rights to develop any future product candidates on acceptable terms.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Because our programs may involve additional product candidates that may require the use of proprietary rights held by third parties, the growth of our business may depend in part on our ability to acquire, in-license or use these proprietary rights.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maintain the existing intellectual property rights we have, we may have to abandon development of such program and our business and financial condition could suffer.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be involved in lawsuits to protect or enforce our patents or the patents of our licensors, which could be expensive, time-consuming and unsuccessful.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choose to challenge the patentability of claims in a third party’s U.S. patent by requesting that the USPTO review the patent claims in an ex-parte re-examination, inter partes review or post-grant review proceedings. These proceedings are expensive and may consume our time or other resources. We may choose to challenge a third party’s patent in patent opposition proceedings in the European Patent Office, or EPO, or other foreign patent office.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Any patents covering our product candidates could be found invalid or unenforceable if challenged in court or the USPTO (or foreign patent offices).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or one of our licensors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pending patent applications covering our proprietary technologies or our product candidates that if issued as patents are expected to expire from 2037 through 2044, without taking into account any possible patent term adjustments or extensions. However, we cannot be assured that the USPTO, EPO or other relevant foreign patent offices will grant any of these patent applications.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Changes in patent law in the U.S. and in foreign jurisdictions could diminish the value of patents in general, thereby impairing our ability to protect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America Invents Act, enacted in September 2011, the United States transitioned to a first inventor to file system.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inter-partes review, and derivation proceedings. Because of a lower evidentiary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the USPTO, and courts or legislative bodies in foreign jurisdictions, the laws and regulations governing patents could change in unpredictable ways that could have a material adverse effect on our existing patent portfolio and our ability to protect and enforce our intellectual property in the future.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have limited foreign intellectual property rights and may not be able to protect our intellectual property rights throughout the world.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Patent terms may be inadequate to protect our competitive position on our product candidates for an adequate amount of time.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the EU level, the CJEU, has recently narrowed the availability of patent term extension for second medical use therefore affecting the scope of patent protection available.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do not obtain patent term extension, data exclusivity and orphan exclusivity for any product candidates we may develop, our business may be materially harmed.</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Depending upon the timing, duration, and specifics of any FDA or foreign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within the EU, regulatory protections afforded to medicinal products such as data exclusivity, marketing protection, market exclusivity for orphan indications and pediatric extensions are currently under review and is likely to be curtailed in future years. On April 26, 2023, the European Commission adopted a proposal for a new Regulation set to replace Regulation (EC) No 726/2004 and a new Directive replacing Directive 2001/83 on the Community Code relating to medicinal products for human use. If made into law, this proposal will revise and replace the existing general pharmaceutical legislation and will affect the existing period of regulatory protection afforded to medicinal products in the European Union and Northern Ireland. If we are unable to obtain patent term extension or the term of any such extension is less than we request, or if data exclusivity or other regulatory protections are reduced, our competitors may obtain approval of competing products following our patent expiration, and our business, financial condition, results of operations, and prospects could be materially harmed. It should be noted that the European Commission’s new proposed legislation, if implemented, will also affect the current EU legal framework of pediatric medicines.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Intellectual property rights do not necessarily address all potential threats to our competitive advantage.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others may be able to make drug candidates that are similar to ours but that are not covered by the claims of the patents that we own or have exclusively licensed;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or our licensors or future collaborators might not have been the first to make the inventions covered by the issued patent or pending patent application that we own or have exclusively licensed;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or our licensors or future collaborators might not have been the first to file patent applications covering certain of our inventions;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 without infringing our intellectual property rights;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it is possible that our pending patent applications will not lead to issued patents;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issued patents that we own or have exclusively licensed may be held invalid or unenforceable, as a result of legal challenges by our competitors;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not develop additional proprietary technologies that are patentable;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cannot predict the scope of protection of any patent issuing based on our patent applications, including whether the patent applications that we own or in-license will result in issued patents with claims that cover our drug candidates, drug products or uses thereof in the United States or in other foreign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claims of any patent issuing based on our patent applications may not provide protection against competitors or any competitive advantages, or may be challenged by third parties;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if enforced, a court may not hold that our patents are valid, enforceable and/or infringed;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need to initiate litigation or administrative proceedings to enforce and/or defend our patent rights which will be costly whether we win or lose;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choose not to file a patent application in order to maintain certain trade secrets or know-how, and a third party may subsequently file a patent application covering such intellectual property;</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 xml:space="preserve">we may fail to adequately protect and police our trademarks and trade secrets; </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other parties may independently develop the technology covered by our trade secrets;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patents of others may have an adverse effect on our business, including if others obtain patents claiming subject matter similar to or improving that covered by our patents and patent applications.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Should any of these events occur, they could significantly harm our business, financial condition, results of operations, and prospects.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Reliance on Third Parties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rely on third parties to conduct certain aspects of our preclinical studies and clinical trials. If these third parties do not successfully carry out their contractual duties, meet expected deadlines or comply with regulatory requirements, we may not be able to obtain regulatory approval of or commercialize any potential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depend upon third parties to conduct certain aspects of our preclinical studies and clinical trials, under agreements with universities, medical institutions, CROs, strategic collaborators and others. We expect to have to negotiate budgets and contracts with such third parties, which may result in delays to our development timelines and increased costs.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will rely especially heavily on third parties over the course of our clinical trials, and, as a result, will have limited control over the clinical investigators and limited visibility into their day-to-day activities, including with respect to their compliance with the approved clinical protocol. Nevertheless, we are responsible for ensuring that each of our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third parties conducting aspects of our preclinical studies or clinical trials will not be our employees and, except for remedies that may be available to us under our agreements with such third parties, we cannot control whether or not they devote sufficient time and resources to our preclinical studies and 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preclinical or clinical data they obtain is compromised due to the failure to adhere to our protocols or regulatory requirements or for other reasons or if due to federal or state orders or absenteeism due to global conditions, including health epidemics and pandemics, they are unable to meet their contractual and regulatory obligations, our development timelines, including clinical development timelines,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any of our relationships with these third-party CROs or others terminate, we may not be able to enter into arrangements with alternative CROs or other third parties or to do so on commercially reasonable terms.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Switching or adding additional CROs involves additional cost and requires management time and focus. In addition, there is a natural transition period when a new CRO begins work. As a result, delays may occur, which can materially impact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rely on third parties for tissue samples and other materials required for our research and development activities, and if we are unable to reach agreements with these third parties our research and development activities would be delayed.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third parties, primarily hospitals, health clinics and academic institutions, for the provision of tissue samples and other materials required in our research and development activities. Obtaining these materials requires various approvals as well as reaching a commercial agreement on acceptable terms with the hospital or other provider of the materials. While we currently have agreements in place with the institutions from which we receive our tissue samples, we do not have any exclusive arrangements with such sources and there is no guarantee that we will be able to maintain or renew such agreements on commercially reasonable terms, if at all. If we were unable to maintain or renew such agreements, we would be forced to seek new arrangements with new hospitals, clinics or health institutions. If so, we may not be able to reach agreements with alternative partners or do so on terms acceptable to us. If we are unable to enter into such agreements, our research and development activities will be delayed and possibly impaired.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Because we rely on third-party manufacturing and supply vendors, including single-source vendors and vendors in foreign jurisdictions, including China, our supply of research and development, preclinical and clinical development materials may become limited or interrupted or may not be of satisfactory quantity or quality.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third-party contract manufacturers to manufacture our product candidates for preclinical studies and clinical trials. We do not own manufacturing facilities for producing any clinical trial product supplies. There can be no assurance that our preclinical and clinical development product supplies will not be limited, interrupted, or of satisfactory quality or continue to be available at acceptable prices, including due to challenging macroeconomic conditions, including the effects of health epidemics and pandemics, such as COVID-19. In addition, we rely on vendors in foreign jurisdictions, including China for our clinical drug supply for bexotegrast. If this supply is interrupted for business or geopolitical reasons, the development of bexotegrast could be materially delayed. In particular, any replacement of our manufacturers could require significant time, effort and expertise because there may be a limited number of qualified replacements and the process to transfer technology and initiate manufacturing is complex and time consuming.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cGMPs. 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rely on third-party manufacturers if we receive regulatory approval for bexotegrast or any other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and comply with cGMP could adversely affect our business in a number of ways, including: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an inability to initiate or continue clinical trials of product candidates under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delay in submitting regulatory applications, or receiving regulatory approvals, for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loss of the cooperation of an existing or future collaborator;</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subjecting third-party manufacturing facilities or our manufacturing facilities to additional inspections by regulatory authorities;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requirements to cease distribution or to recall batches of our product candidates;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 the event of approval to market and commercialize a product candidate, an inability to meet commercial demands for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a sole supplier for the manufacture of bexotegrast. If this sole supplier is unable to supply to us in the quantities we require, or at all, or otherwise defaults on its supply obligations to us, we may not be able to obtain alternative supplies from other suppliers on acceptable terms, in a timely manner, or at all. We also do not have long-term supply agreements with any of our suppliers. Our current contracts with certain suppliers may be canceled or not extended by such suppliers and, therefore, do not afford us with protection against a reduction or interruption in supplies. Moreover, in the event any of these suppliers breach their contracts with us, our legal remedies associated with such a breach may be insufficient to compensate us for any damages we may suffer.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contract with fill and finishing providers with the appropriate expertise, facilities and scale to meet our needs. Failure to maintain cGMP can result in a contractor receiving FDA sanctions, which can impact our ability to operate or lead to delays in any clinical development programs. We believe that our current fill and finish contractor is operating in accordance with cGMP, but we can give no assurance that FDA or other regulatory agencies will not conclude that a lack of compliance exists. In addition, any delay in contracting for fill and finish services, or failure of the contract manufacturer to perform the services as needed, may delay any clinical trials, registration and launches, which could negatively affect our business. In the future, if we advance a biological product candidate into IND-enabling studies, we will need to identify and contract with suppliers who are able to produce biological product candidates and adhere to additional cGMP compliance obligations required for biologicals.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are unable to enter into new collaborations, or if these collaborations are not successful, our business could be adversely affected.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part of our strategy is to selectively evaluate partnerships in indications and geographies where we believe partners can add significant commercial and/or development capabilities. Further, we have limited capabilities for product development and do not yet have any capability for commercialization. Accordingly, we have in the past and may in the future enter into collaborations with other companies to provide us with important technologies and funding for our programs and technology.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future collaborations we enter into may pose a number of risks, including the following: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may have significant discretion in determining the efforts and resources that they will apply;</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may not perform their obligations as expected;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may fail to comply with applicable regulatory requirements regarding the development, manufacture, distribution or marketing of a product candidate or product;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with marketing and distribution rights to one or more of our product candidates that achieve regulatory approval may not commit sufficient resources to the marketing and distribution of such product or products;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may not provide us with timely and accurate information regarding development progress and activity under any future license agreement, which could adversely impact our ability to report progress to our investors and otherwise plan development of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may infringe the intellectual property rights of third parties, which may expose us to litigation and potential liability;</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if a collaborator of ours is involved in a business combination, the collaborator might deemphasize or terminate the development or commercialization of any product candidate licensed to it by us;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collaborations may be terminated by the collaborator, and, if terminated, we could be required to raise additional capital to pursue further development or commercialization of the applicable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collaborations we enter into do not result in the successful discovery, development and commercialization of product candidates or if a future collaborator terminates its agreement with us, we may not receive any research funding or milestone or royalty payments under such collaboration. All of the risks relating to product development, regulatory approval and commercialization described in this Report also apply to the activities of our therapeutic collaborators.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significant competition in seeking appropriate collaborators for our product candidates, and the negotiation process is time-consuming and complex. In order for us to successfully establish a collaboration for one or more of our product candidates, potential collaborators must view these product candidates as economically valuable in markets they determine to be attractive in light of the terms that we are seeking and other available products for licensing by other companies. Collaborations are complex and time-consuming to negotiate and document. In addition, there have been a significant number of recent business combinations among large biopharmaceutical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future collaborations or do not have sufficient funds or expertise to undertake the necessary development and commercialization activities, we may not be able to further develop our product candidates, bring them to market and generate revenue from sales of drugs or continue to develop our technology, and our business may be materially and adversely affected. Even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successful in our efforts to establish new strategic collaborations, the terms that we agree upon may not be favorable to us, and we may not be able to maintain such strategic collaborations if, for example, development or approval of a product candidate is delayed or sales of an approved product are disappointing. Any delay in entering into new strategic collaboration agreements related to our product candidates could delay the development and commercialization of our product candidates and reduce their competitiveness even if they reach the market.</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 xml:space="preserve">Our suppliers and any future collaborators may need assurances that our financial resources and stability on a stand-alone basis are sufficient to satisfy their requirements for doing or continuing to do business with us.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suppliers and any future collaborators may need assurances that our financial resources and stability on a stand-alone basis are sufficient to satisfy their requirements for doing or continuing to do business with us. If these parties are not satisfied with our financial resources and stability, it could have a material adverse effect on our ability to develop our drug candidates, enter into licenses or other agreements and on our business, financial condition or results of operations.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Managing Our Business and Operations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Global health pandemics, including the effects of health epidemics and pandemics, such as COVID-19, could adversely impact our business, including our preclinical studies and clinical trials.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outbreak of COVID-19 and government measures taken in response thereto had a significant impact, both direct and indirect, on businesses and commerce. As a result of COVID-19, we experienced disruptions that negatively impacted our business, preclinical studies and clinical trials.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resurgences of COVID-19 or other pandemics may result in renewed travel restrictions and social distancing in the United States and other countries, business closures or business disruptions. Any such disruptions could have a material adverse impact on our business, financial condition or results of operations. </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encounter difficulties in managing our growth, which could adversely affect our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158 full-time employees. As our clinical development and commercialization plans and strategies develop, we will need to expand our managerial, clinical, regulatory, sales, marketing, financial, development, manufacturing and legal capabilities or contract with third parties to provide these capabilities for us. As our operations expand, we expect that we will need to manage additional relationships with various strategic collaborators, suppliers and other third parties. Our future growth would impose significant added responsibilities on members of management, including: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identifying, recruiting, integrating, retaining and motivating additional employees;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managing our development and commercialization efforts effectively, including the clinical and FDA review process for bexotegrast and any other product candidates, while complying with our contractual obligations to contractors and other third parties;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improving our operational, financial and management controls, reporting systems and procedures.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are not able to effectively expand our organization by hiring new employees and expanding our groups of consultants and contractors, we may not be able to successfully implement the tasks necessary to further develop and commercialize bexotegrast or any other product candidates and, accordingly, may not achieve our research, development and commercialization goals.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lose key management personnel, or if we fail to recruit additional highly skilled personnel, our ability to develop current product candidates or identify and develop new product candidates will be impaired, could result in loss of markets or market share and could make us less competitive.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compete in the highly competitive biotechnology and biopharmaceutical industries depends upon our ability to attract and retain highly qualified managerial, scientific, and medical personnel. We are highly dependent on our management, scientific and medical personnel, including key members of our senior management and executive team.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of the services of any of our executive officers, other key employees and other scientific and medical advisors, and our inability to find suitable replacements could result in delays in product development and harm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our operations at our facility in South San Francisco, California. This region is headquarters to many other biopharmaceutical companies, biotechnology companies and research institutions. Competition for skilled personnel in our market is intense and may limit our ability to hire and retain highly qualified personnel on acceptable terms or at all.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induce valuable employees to remain at our company, in addition to salary and cash incentives, we have provided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key employees are at-will employees,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scientific and medical personnel.</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 including earthquakes, outbreak of disease or other natural disasters.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employees, independent contractors, consultants, commercial partners, collaborators and vendors may engage in misconduct or other improper activities, including noncompliance with regulatory standards and requirements.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the risk of employee fraud or other illegal activity by our employees, independent contractors, consultants, commercial partners, collaborators,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will also increase. These laws may impact, among other things, our current activities with principal investigators and research patients, as well as proposed and future sales, marketing, and education programs. We adopted a code of business conduct and ethics, but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laws, contractual damages, reputational harm, diminished profits and future earnings and the curtailment of our operations.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use and generate materials that may expose us to material liability.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programs involve the use of hazardous materials and chemicals, which are generally handled by third parties. We are subject to foreign, federal, state, and local environmental and health and safety laws and regulations governing, among other matters, the use, manufacture, handling, storage and disposal of hazardous materials and waste products such as human tissue samples that may have the potential to transmit diseases.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Compliance with governmental regulations regarding the treatment of animals used in research could increase our operating costs, which would adversely affect the commercialization of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Animal Welfare Act, or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or obligations exist in many foreign jurisdictions. If we or our contractors fail to comply with regulations concerning the treatment of animals used in research, we may be subject to fines and penalties and adverse publicity, and our operations could be adversely affected.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tax credit carryforwards may be subject to limitation.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net operating loss carryforwards for U.S. federal and state income tax purposes of $241.5 million and $397.6 million, respectively, some of which will begin to expire in 2035. As of December 31, 2023, we also had available tax credit carryforwards for U.S. federal income tax purposes of $31.5 million, which begin to expire in 2036, and state income tax purposes of $7.1 million, which can be carried forward indefinitely. Under Section 382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Revenue Code, as amended, or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percentage points within a three-year period. Any such limitation may significantly reduce our ability to utilize our net operating loss carryforwards and tax credit carryforwards before they expire. We have performed an analysis under Internal Revenue Code Sections 382 and 383 to determine the amount of our net operating loss carryforwards and research and development credit carryforwards that will be subject to annual limitation. This analysis concluded that we have experienced one or more such ownership changes prior to December 31, 2023, and the Company’s net operating losses and tax credit carryforwards generated prior to the identified ownership changes are subject to no permanent limitation under Sections 382 or 383. In addition, we may experience subsequent ownership changes as a result of future equity offerings or other changes in our stock ownership. Any such limitation could have a material adverse effect on our results of operations in future years. Our ability to utilize those net operating loss carryforwards could be limited by an “ownership change” as described above, which could result in increased tax liability to us. Net operating losses generated after December 31, 2017 are not subject to expiration, but may not be carried back to prior taxable years, except that net operating losses generated in 2018, 2019 and 2020 may be carried back five taxable years. Additionally, the deductibility of such U.S. federal net operating losses is limited to 80% of our taxable income in any taxable year beginning after December 31, 2020.</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The price of our stock may be volatile, and you could lose all or part of your investment.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is likely to be highly volatile and could be subject to wide fluctuations in response to various factors, some of which are beyond our control, including limited trading volume. In addition to the factors discussed in this “Risk Factors” section and elsewhere in this Report, these factors include: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commencement, enrollment or results of our current Phase 2a and Phase 2b clinical trials of bexotegrast and any other clinical trials for our product candidates conducted by us or our collaborators;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any delay in identifying and advancing a clinical candidate for our other development programs;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any delay in our regulatory filings for bexotegrast or our other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adverse results or delays in future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decision to initiate a clinical trial, not to initiate a clinical trial or to terminate an existing clinical trial;</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adverse regulatory decisions, including failure to receive regulatory approval of bexotegrast or any other product candidate;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changes in laws or regulations applicable to bexotegrast or any other product candidate, including but not limited to clinical trial requirements for approvals;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adverse developments concerning our manufacturers;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inability to obtain adequate product supply for any approved product or inability to do so at acceptable prices;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failure to secure a positive health technology assessment recommendation</w:t>
      </w:r>
      <w:r>
        <w:rPr>
          <w:rFonts w:ascii="Times New Roman;sans-serif" w:hAnsi="Times New Roman;sans-serif"/>
          <w:b w:val="false"/>
          <w:color w:val="000000"/>
          <w:sz w:val="24"/>
        </w:rPr>
        <w: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inability to establish collaborations, if needed;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failure to commercialize our product candidates, if approved;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additions or departures of key scientific or management personnel;</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unanticipated serious safety concerns related to the use of bexotegrast or any other product candidate;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introduction of new products or services offered by us or our competitors;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announcements of significant acquisitions, strategic partnerships, joint ventures or capital commitments by us or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ability to effectively manage our growth;</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actual or anticipated variations in quarterly operating results;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cash position;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failure to meet the estimates and projections of the investment community or that we may otherwise provide to the public;</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publication of research reports about us or our industry, or product candidates in particular, or positive or negative recommendations or withdrawal of research coverage by securities analysts;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changes in the market valuations of similar companies;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changes in the structure of the healthcare payment systems;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overall performance of the equity markets;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sales of our common stock by us or our stockholders in the future;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trading volume of our common stock;</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changes in accounting practices;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ineffectiveness of our internal controls;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disputes or other developments relating to proprietary rights, including patents, litigation matters and our ability to obtain patent protection for our technologies;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significant lawsuits, including patent or stockholder litigation;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general political and economic conditions;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other events or factors, many of which are beyond our control.</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 in general, and the market for biopharmaceutical companies in particular, have experienced extreme price and volume fluctuations that have often been unrelated or disproportionate to the operating performance of these companies, including as a result of effects of health epidemics and pandemics, such as COVID-19, geopolitical events, such as the Russian invasion of Ukraine, the Israel-Hamas conflict and related global escalation of geopolitical tensions, and rising inflationary pressures.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do not intend to pay dividends on our common stock so any returns will be limited to the value of our stock.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capital stock. We currently intend to retain all available funds and any future earnings to fund the development, operation and growth of our business and do not anticipate declaring or paying any cash dividends for the foreseeable future. Furthermore, future debt or other financing arrangements may contain terms prohibiting or limiting the amount of dividends that may be declared or paid on our common stock. Any return to stockholders will therefore be limited to the appreciation of their stock.</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executive officers, directors and their affiliates and our principal stockholders own a significant percentage of our stock and will be able to exert significant control over matters subject to stockholder approval.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executive officers, directors and our principal stockholders beneficially hold a significant portion of our voting stock. These stockholders, acting together, may be able to significantly influence matters requiring stockholder approval. For example, these stockholders would be able to significantly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there are substantial sales of shares of our common stock, the price of our common stock could decline.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Shares of common stock that are either subject to outstanding options or reserved for future issuance under our existing equity compensation plans will become eligible for sale in the public market as they become vested. If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shares of common stock are sold, or if it is perceived that they will be sold, in the public market, the trading price of our common stock could decline. Additionally, the number of shares of our common stock reserved for issuance under our 2020 Stock Option and Incentive Plan will automatically increase on January 1 of each year by 5% of the total number of shares of our capital stock outstanding on December 31 of the preceding calendar year, or a lesser number of shares determined by our board of directors or compensation committee. Moreover, the number of shares of our common stock reserved for issuance under our 2020 Employee Stock Purchase Plan, or ESPP, will automatically increase on January 1 of each year by the lesser of 700,000 shares of common stock, 1% of the total number of shares of our capital stock outstanding on December 31 of the preceding calendar year, or a lesser number of shares determined by our board of directors or compensation committee. Unless our board of directors elects not to increase the number of shares available for future grant each year, our stockholders may experience additional dilution.</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Effective December 31, 2023, we became a large accelerated filer and no longer qualify as a smaller reporting company, which increases our costs and demands on management.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market value of our common stock held by our non-affiliates as of June 30, 2023, we are no longer considered a smaller reporting company and are considered a “large accelerated filer” effective as of December 31, 2023. Thus, we are subject to accelerated filing deadlines as well as the requirements of Section 404(b) of the Sarbanes-Oxley Act of 2002, which require our independent registered public accounting firm to formally attest to the effectiveness of our internal control over financial reporting. We have devoted, and expect to continue to devote, significant time and effort to implement and comply with the additional standards, rules and regulations that apply to us. Compliance with the additional requirements of being a large accelerated filer will also increase our legal, accounting and financial compliance costs.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 due to the complexity and logistical difficulty of implementing the standards, rules and regulations that now apply to our business, there is an increased risk that we may be found to be in non-compliance with such standards, rules and regulations or to have significant deficiencies or material weaknesses in our internal controls over financial reporting. Any failure to maintain effective disclosure controls and internal control over financial reporting could materially and adversely affect our business, results of operations and financial condition, and could cause a decline in the trading price of our common stock.</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 contain provisions that could delay or prevent a change of control of our company or changes in our board of directors that our stockholders might consider favorable. Some of these provisions include: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 board of directors divided into three classes serving staggered three-year terms, such that not all members of the board will be elected at one time;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 prohibition on stockholder action through written consent, which requires that all stockholder actions be taken at a meeting of our stockholders;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 requirement that special meetings of stockholders be called only by the board of directors acting pursuant to a resolution approved by the affirmative vote of a majority of the directors then in office;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advance notice requirements for stockholder proposals and nominations for election to our board of directors;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 requirement of approval of not less than two-thirds of all outstanding shares of our voting stock to amend any bylaws by stockholder action or to amend specific provisions of our certificate of incorporation;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authority of the board of directors to issue preferred stock on terms determined by the board of directors without stockholder approval and which preferred stock may include rights superior to the rights of the holders of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because we are incorporated in Delaware, we are governed by the provisions of Section 203 of the General Corporation Law of the State of Delaware, or the DGCL, which may prohibit certain business combinations with stockholders owning 15% or more of our outstanding voting stock. 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stockholders to elect directors of their choosing or cause us to take other corporate actions our stockholders desire. Any delay or prevention of a change of control transaction or changes in our board of directors could cause the market price of our common stock to decline.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bylaws designate certain courts as the exclusive forum for certain litigation that may be initiated by our stockholders, which could limit our stockholders’ ability to litigate disputes with us in a different judicial forum.</w:t>
      </w:r>
    </w:p>
    <w:p>
      <w:pPr>
        <w:pStyle w:val="TextBody"/>
        <w:bidi w:val="0"/>
        <w:spacing w:lineRule="auto" w:line="288" w:before="120" w:after="283"/>
        <w:ind w:left="0" w:right="0" w:firstLine="450"/>
        <w:jc w:val="left"/>
        <w:rPr/>
      </w:pPr>
      <w:r>
        <w:rPr>
          <w:rFonts w:ascii="Times New Roman;sans-serif" w:hAnsi="Times New Roman;sans-serif"/>
          <w:b w:val="false"/>
          <w:color w:val="231F20"/>
          <w:sz w:val="20"/>
        </w:rPr>
        <w:t>P</w:t>
      </w:r>
      <w:r>
        <w:rPr>
          <w:rFonts w:ascii="Times New Roman;sans-serif" w:hAnsi="Times New Roman;sans-serif"/>
          <w:b w:val="false"/>
          <w:color w:val="000000"/>
          <w:sz w:val="20"/>
        </w:rPr>
        <w:t>ursuant to our bylaws, unless we consent in writing to the selection of an alternative forum, the Court of Chancery of the State of Delaware will be the sole and exclusive forum for any state law claims for: (i) any derivative action or proceeding brought on our behalf; (ii) any action asserting a claim of breach of a fiduciary duty or other wrongdoing by any of our directors, officers, employees or agents to us or our stockholders; (iii) any action asserting a claim against us arising pursuant to any provision of the DGCL, our certificate of incorporation or our bylaws; (iv) any action to interpret, apply, enforce or determine the validity of our certificate of incorporation or bylaws; or (v) any action asserting a claim governed by the internal affairs doctrine, in each case subject to the Court of Chancery having personal jurisdiction over the indispensable parties named as defendants therein, or the Delaware forum provision. This exclusive forum provision will not apply to any causes of action arising under the Securities Act or the Exchange Act or any other claim for which the federal courts have exclusive jurisdiction. Unless we consent in writing to the selection of an alternate forum, the federal district courts shall be the sole and exclusive forum for resolving any complaint asserting a cause of action arising under the Securities Act, or the federal forum provision. In addition, our bylaws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State of California.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the provision is not enforceable or invalid. The Court of Chancery of the State of Delaware and the federal district courts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lineRule="auto" w:line="288" w:before="120" w:after="283"/>
        <w:jc w:val="left"/>
        <w:rPr/>
      </w:pPr>
      <w:r>
        <w:rPr>
          <w:rFonts w:ascii="Times New Roman;sans-serif" w:hAnsi="Times New Roman;sans-serif"/>
          <w:b/>
          <w:color w:val="231F20"/>
          <w:sz w:val="20"/>
        </w:rPr>
        <w:t>General</w:t>
      </w:r>
      <w:r>
        <w:rPr>
          <w:color w:val="231F20"/>
        </w:rPr>
        <w:t xml:space="preserve"> </w:t>
      </w:r>
      <w:r>
        <w:rPr>
          <w:rFonts w:ascii="Times New Roman;sans-serif" w:hAnsi="Times New Roman;sans-serif"/>
          <w:b/>
          <w:color w:val="231F20"/>
          <w:sz w:val="20"/>
        </w:rPr>
        <w:t>Risk Factors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required to disclose changes made in our internal controls and procedures on a quarterly basis. If we are unable to assert that our internal control over financial reporting is effective, or if our independent registered public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accounting firm is unable to express an opinion on the effectiveness of our internal control, including as a result of any identified material weakness, we could lose investor confidence in the accuracy and completeness of our financial reports, which would cause the price of our common stock to decline, and we may be subject to investigation or sanctions by the SEC. In addition, if we are unable to continue to meet these requirements, we may not be able to remain listed on Nasdaq. </w:t>
      </w:r>
    </w:p>
    <w:p>
      <w:pPr>
        <w:pStyle w:val="TextBody"/>
        <w:bidi w:val="0"/>
        <w:spacing w:lineRule="auto" w:line="288" w:before="120" w:after="283"/>
        <w:ind w:left="0" w:right="0" w:firstLine="450"/>
        <w:jc w:val="left"/>
        <w:rPr/>
      </w:pPr>
      <w:r>
        <w:rPr>
          <w:rFonts w:ascii="Times New Roman;sans-serif" w:hAnsi="Times New Roman;sans-serif"/>
          <w:b/>
          <w:i/>
          <w:color w:val="231F20"/>
          <w:sz w:val="20"/>
        </w:rPr>
        <w:t>Our disclosure</w:t>
      </w:r>
      <w:r>
        <w:rPr>
          <w:color w:val="231F20"/>
        </w:rPr>
        <w:t xml:space="preserve"> </w:t>
      </w:r>
      <w:r>
        <w:rPr>
          <w:rFonts w:ascii="Times New Roman;sans-serif" w:hAnsi="Times New Roman;sans-serif"/>
          <w:b/>
          <w:i/>
          <w:color w:val="231F20"/>
          <w:sz w:val="20"/>
        </w:rPr>
        <w:t>controls</w:t>
      </w:r>
      <w:r>
        <w:rPr>
          <w:color w:val="231F20"/>
        </w:rPr>
        <w:t xml:space="preserve"> </w:t>
      </w:r>
      <w:r>
        <w:rPr>
          <w:rFonts w:ascii="Times New Roman;sans-serif" w:hAnsi="Times New Roman;sans-serif"/>
          <w:b/>
          <w:i/>
          <w:color w:val="231F20"/>
          <w:sz w:val="20"/>
        </w:rPr>
        <w:t>and procedures</w:t>
      </w:r>
      <w:r>
        <w:rPr>
          <w:color w:val="231F20"/>
        </w:rPr>
        <w:t xml:space="preserve"> </w:t>
      </w:r>
      <w:r>
        <w:rPr>
          <w:rFonts w:ascii="Times New Roman;sans-serif" w:hAnsi="Times New Roman;sans-serif"/>
          <w:b/>
          <w:i/>
          <w:color w:val="231F20"/>
          <w:sz w:val="20"/>
        </w:rPr>
        <w:t>may</w:t>
      </w:r>
      <w:r>
        <w:rPr>
          <w:color w:val="231F20"/>
        </w:rPr>
        <w:t xml:space="preserve"> </w:t>
      </w:r>
      <w:r>
        <w:rPr>
          <w:rFonts w:ascii="Times New Roman;sans-serif" w:hAnsi="Times New Roman;sans-serif"/>
          <w:b/>
          <w:i/>
          <w:color w:val="231F20"/>
          <w:sz w:val="20"/>
        </w:rPr>
        <w:t>not prevent</w:t>
      </w:r>
      <w:r>
        <w:rPr>
          <w:color w:val="231F20"/>
        </w:rPr>
        <w:t xml:space="preserve"> </w:t>
      </w:r>
      <w:r>
        <w:rPr>
          <w:rFonts w:ascii="Times New Roman;sans-serif" w:hAnsi="Times New Roman;sans-serif"/>
          <w:b/>
          <w:i/>
          <w:color w:val="231F20"/>
          <w:sz w:val="20"/>
        </w:rPr>
        <w:t>or detect</w:t>
      </w:r>
      <w:r>
        <w:rPr>
          <w:color w:val="231F20"/>
        </w:rPr>
        <w:t xml:space="preserve"> </w:t>
      </w:r>
      <w:r>
        <w:rPr>
          <w:rFonts w:ascii="Times New Roman;sans-serif" w:hAnsi="Times New Roman;sans-serif"/>
          <w:b/>
          <w:i/>
          <w:color w:val="231F20"/>
          <w:sz w:val="20"/>
        </w:rPr>
        <w:t>all</w:t>
      </w:r>
      <w:r>
        <w:rPr>
          <w:color w:val="231F20"/>
        </w:rPr>
        <w:t xml:space="preserve"> </w:t>
      </w:r>
      <w:r>
        <w:rPr>
          <w:rFonts w:ascii="Times New Roman;sans-serif" w:hAnsi="Times New Roman;sans-serif"/>
          <w:b/>
          <w:i/>
          <w:color w:val="231F20"/>
          <w:sz w:val="20"/>
        </w:rPr>
        <w:t>errors</w:t>
      </w:r>
      <w:r>
        <w:rPr>
          <w:color w:val="231F20"/>
        </w:rPr>
        <w:t xml:space="preserve"> </w:t>
      </w:r>
      <w:r>
        <w:rPr>
          <w:rFonts w:ascii="Times New Roman;sans-serif" w:hAnsi="Times New Roman;sans-serif"/>
          <w:b/>
          <w:i/>
          <w:color w:val="231F20"/>
          <w:sz w:val="20"/>
        </w:rPr>
        <w:t>or acts</w:t>
      </w:r>
      <w:r>
        <w:rPr>
          <w:color w:val="231F20"/>
        </w:rPr>
        <w:t xml:space="preserve"> </w:t>
      </w:r>
      <w:r>
        <w:rPr>
          <w:rFonts w:ascii="Times New Roman;sans-serif" w:hAnsi="Times New Roman;sans-serif"/>
          <w:b/>
          <w:i/>
          <w:color w:val="231F20"/>
          <w:sz w:val="20"/>
        </w:rPr>
        <w:t>of fraud.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reporting company, 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lineRule="auto" w:line="288" w:before="120" w:after="283"/>
        <w:ind w:left="0" w:right="0" w:firstLine="450"/>
        <w:jc w:val="left"/>
        <w:rPr/>
      </w:pPr>
      <w:r>
        <w:rPr>
          <w:rFonts w:ascii="Times New Roman;sans-serif" w:hAnsi="Times New Roman;sans-serif"/>
          <w:b/>
          <w:i/>
          <w:color w:val="000000"/>
          <w:sz w:val="20"/>
        </w:rPr>
        <w:t>Our issuance of additional capital stock in connection with financings, acquisitions, investments, our stock incentive plans or otherwise will dilute all other stockholders</w:t>
      </w:r>
      <w:r>
        <w:rPr>
          <w:rFonts w:ascii="Times New Roman;sans-serif" w:hAnsi="Times New Roman;sans-serif"/>
          <w:b/>
          <w:i/>
          <w:color w:val="231F20"/>
          <w:sz w:val="20"/>
        </w:rPr>
        <w:t>.</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We expect to issue additional capital stock in the future that will result in dilution to all other stockholders. We expect to continue to grant equity awards to employees, directors, and consultants under our stock incentive plans. In July 2022 and January 2023, we completed underwritten public offerings of our common stock. In July 2021, we entered into the</w:t>
      </w:r>
      <w:r>
        <w:rPr>
          <w:color w:val="000000"/>
        </w:rPr>
        <w:t xml:space="preserve"> </w:t>
      </w:r>
      <w:r>
        <w:rPr>
          <w:rFonts w:ascii="Times New Roman;sans-serif" w:hAnsi="Times New Roman;sans-serif"/>
          <w:b w:val="false"/>
          <w:color w:val="000000"/>
          <w:sz w:val="20"/>
        </w:rPr>
        <w:t>Sales Agreement (the “Sales Agreement”) with Cantor Fitzgerald &amp; Co., as sales agent, pursuant to which we may issue and sell shares of common stock from time to time. On March 27, 2023, we filed a registration statement on Form S-3 (File No. 333-270862) which included a sales agreement prospectus registering the offer and sale of up to $150.0 million of shares under the Sales Agreement (the Sales Agreement Prospectus).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publish research or publish inaccurate or unfavorable research about our business, our stock price and trading volume could decline.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incur significant increased costs as a result of operating as a public company, and our management is required to devote substantial time to new compliance initiatives.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we incur significant legal, accounting and other expenses.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the Nasdaq Stock Market, or Nasdaq, to implement provisions of the Sarbanes-Oxley Act, impose significant requirements on public companies, including requiring establishment and maintenance of effective disclosure and financial reporting controls and changes in corporate governance practices. Further,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incur substantial costs in our efforts to comply with evolving global data protection laws and regulations, and any failure or perceived failure by us to comply with such laws and regulations may harm our business and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Numerous federal and state laws and regulations, including the Health Insurance Portability and Accountability Act (HIPAA) and the Health Information Technology for Economic and Clinical Health Act (HITECH), govern the collection, dissemination, security, use and confidentiality of patient-identifiable health information or personal information. In the course of performing our business we obtain personally identifiable information (PII), including health-related information. Such laws and regulations relating to privacy, data protection, and consumer protection are evolving and subject to potentially differing interpretations. These requirements may be interpreted and applied in a manner that varies from one jurisdiction to another and/or may conflict with other laws or regulations. HIPAA establishes national privacy and security standards for the protection of individually identifiable health information, including protected health information (PHI) for certain covered entities, including healthcare providers that submit certain covered transactions electronically, as well as their “business associates.” Penalties for failure to comply with a requirement of HIPAA and HITECH vary significantly depending on the failure and could include civil monetary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 The HHS Office for Civil Rights (OCR) has recently increased its enforcement efforts on compliance with HIPAA, including the security regulations (Security Rule), bringing actions against entities which have failed to implement security measures sufficient to reduce risks to electronic protected health information or to conduct an accurate and thorough risk analysis, among other violations. HIPAA enforcement actions may lead to monetary penalties and costly and burdensome corrective action plans. Moreover, compliance with state laws related to health privacy may cause additional compliance costs. For instance, Washington State recently passed the “My Health My Data Act” which will regulate “consumer health data” which is defined as “personal information that is linked or reasonably linkable to a consumer and that identifies a consumer’s past, present, or future physical or mental health.”</w:t>
      </w:r>
      <w:r>
        <w:rPr>
          <w:color w:val="000000"/>
        </w:rPr>
        <w:t xml:space="preserve"> </w:t>
      </w:r>
      <w:r>
        <w:rPr>
          <w:rFonts w:ascii="Times New Roman;sans-serif" w:hAnsi="Times New Roman;sans-serif"/>
          <w:b w:val="false"/>
          <w:color w:val="000000"/>
          <w:sz w:val="20"/>
        </w:rPr>
        <w:t>The “My Health My Data Act” provides exemptions for personal data used or shared in research, including data subject to 45 C.F.R. Parts 46, 50, and 56. Nevada also recently enacted a consumer health data privacy bill, and additional states may adopt health-specific privacy laws that could impact our business activities depending on how they are interpreted.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encounter vendors that engage in information blocking practices that may inhibit our ability to access the relevant data on behalf of clients or impose new or additional costs. In 2020, the U.S. Department of Health and Human Services’ Office of the National Coordinator for Health Information Technology (ONC) and the Centers for Medicare and Medicaid Services promulgated final rules to support access, exchange, and use of electronic health information (EHI). Specifically, the information blocking rules were implemented as part of the 21st Century Cures Act, and are primarily designed to facilitate technology interoperability and enable the free flow of healthcare information for healthcare treatment, payment or operation purposes. On June 27, 2023, the Department of Health and Human Services Office of the Inspector General (HHS-OIG) published its final rule implementing information blocking penalties for “actors,” which is supplemented by ONC’s January 9, 2024 final rule enhancing certain blocking requirements. HHS-OIG may impose penalties for information blocking that has occurred after September 1, 2023, and ONC and HHS proposed a rule on November 1, 2023 listing certain disincentives for actors that conduct information blocking. The impact on the information blocking rules to our business is currently unclear.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California passed the California Consumer Protection Act of 2018, or the CCPA, which went into effect in January 2020 and provides data privacy rights for consumers and new operational requirements for companies, which may increase our compliance costs and potential liability. The CCPA gives California residents expanded rights to access and delete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personal information, opt out of certain personal information sharing, and receive detailed information about how their personal information is used. Failure to comply with the CCPA risks regulatory fines, and the CCPA grants a private right of action and statutory damages for an unauthorized access and exfiltration, theft, or disclosure of certain types of personal information resulting from the company’s violation of a duty to maintain reasonable security procedures and practices. The CCPA also provides authority to the California Attorney General to seek civil penalties for intentional violations of the CCPA. While there is currently an exception for protected health information that is subject to HIPAA and clinical trial regulations, as currently written, the CCPA may impact certain of our business activities. Additionally, this exception does not apply to the private cause of action afforded to individuals for information security incidents.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CCPA was expanded on January 1, 2023, when the California Privacy Rights Act of 2020, or the CPRA, became operative. The CPRA, among other things, gives California residents the ability to limit use of certain sensitive personal information, further restricts the use of cross-contextual advertising, establishes restrictions on the retention of personal information, expands the types of data breaches subject to the CCPA’s private right of action, provides for increased penalties for CPRA violations concerning California residents under the age of 16, and established a new California Privacy Protection Agency to implement the law through additional regulations and to enforce the law. Although there are limited exemptions for clinical trial data under the CCPA, the CCPA and other similar laws could impact our business activities depending on how it is interpreted. In the interim, the CPRA will require additional investment in compliance programs and potential modifications to business processes.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Multiple states have followed California to legislate comprehensive privacy laws with data privacy rights. For example, on March 2, 2021, the Virginia Consumer Data Protection Act was signed into law, which went into effect on January 1, 2023, on May 10 2022, the Connecticut Data Privacy Act was signed into law, which went into effect on July 1, 2023, and on July 8, 2021, the Colorado Privacy Act, was signed into law, which went into effect on July 1, 2023. Multiple states have enacted similar legislation which will go into effect in the coming years, and additional states have contemplated new health-specific privacy laws, such as the new Washington My Health My Data Act. While these new laws generally include exemptions for HIPAA-covered and clinical trial data, they add layers of complexity to compliance in the U.S. market, and could increase our compliance costs and adversely affect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Federal Trade Commission (FTC) and many state attorneys general are interpreting existing federal and state consumer protection laws to impose evolving standards for the collection, use, dissemination and security of health-related and other personal information and in particular health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acts or practices in or affecting commerce in violation of Section 5 of the FTC Act. Additionally, the FTC published an advance notice of proposed rulemaking in 2022 on commercial surveillance and data security, and may implement new trade regulation rules or other regulatory alternatives concerning the ways in which companies (1) collect, aggregate, protect, use, analyze, and retain consumer data, as well as (2) transfer, share, sell, or otherwise monetize that data in ways that are unfair or deceptive in the coming years.</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Our business relies on secure and continuous processing of information and the availability of our Information Technology (IT) networks and IT resources, as well as critical IT vendors that support our technology and data processing operations. Security breaches, computer malware and computer hacking attacks have become more prevalent across industries and may occur on our systems or those of our third-party service providers. Attacks upon information technology systems are increasing in their frequency, levels of persistence, sophistication and intensity, and are being conducted by sophisticated and organized groups and individuals with a wide range of motives and expertise. OCR,</w:t>
      </w:r>
      <w:r>
        <w:rPr>
          <w:color w:val="000000"/>
        </w:rPr>
        <w:t xml:space="preserve"> </w:t>
      </w:r>
      <w:r>
        <w:rPr>
          <w:rFonts w:ascii="Times New Roman;sans-serif" w:hAnsi="Times New Roman;sans-serif"/>
          <w:b w:val="false"/>
          <w:color w:val="000000"/>
          <w:sz w:val="20"/>
        </w:rPr>
        <w:t>pursuant to legislation passed in 2021, issued guidance on recognized security practices for covered entities and business associates. OCR indicated that recognized security practices will not be an aggravating factor in OCR investigations, but that implementation of recognized security practices strengthen an organization’s cybersecurity and regulatory posture, as well as possibly lessening enforcement penalties in a potential regulatory enforcement.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regularly monitor, defend against and respond to attacks to our networks and other information security incidents. Despite our information security efforts, our facilities, systems, and data, as well as those of our third 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IT support vendors, fail to comply with laws requiring the protection of sensitive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cybersecurity incidents as well as in defense against claims that our information security was unreasonable or otherwise violated applicable laws or contractual obligations.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operations in the United States, which may be subject to healthcare and other laws relating to the privacy and security of health information and other personal data, we may seek to conduct clinical trials in the EEA and may become subject to additional EEA data privacy laws, regulations and guidelines such as the GDPR, as referred to above. Further, as the EU GDPR may be implemented differently in national laws of member states of the European Union, we may face additional costs associated with complying with potentially varying data protection requirements in these member states.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we commence clinical trials in the EEA, the U.K. or Switzerland, applicable data protection laws may increase our responsibility and liability in relation to personal data that we process, and we may be required to put in place additional mechanisms and safeguards to ensure compliance, including as implemented by member states in the European Union. Compliance with data protection laws in the EEA, the U.K. and Switzerland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We expect that we will continue to face uncertainty as to whether our efforts to comply with any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biopharmaceutical partners. We may also experience hesitancy, reluctance, or refusal by European or multi-national clients or biopharmaceutical partners to continue to use our products and solutions due to the potential risk exposure as a result of the current (and, in particular, future) data protection obligations imposed on them by certain data protection authorities in interpretation of current law. Such clients or biopharmaceutical partners may also view any alternative approaches to compliance as being too costly, too burdensome, too legally uncertain, or otherwise objectionable and therefore decide not to do business with us. Any of the forgoing could materially harm our business, prospects, financial condition and results of operations.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Following Brexit, 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31, 2020, the U.K. ceased being a Member State of the EU. The U.K. and the EU signed a EU-U.K. Trade and Cooperation Agreement, or TCA, which became effective on May 1, 2021. Such a withdrawal from the EU is unprecedented, and it is unclear how the restrictions on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also face new regulatory costs and challenges that could have an adverse effect on our operations.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approval of our product candidates in the U.K., now that U.K. legislation may depart from EU legislation. For instance, now the transition period has expired, Great Britain will no longer be covered by the centralized procedure for obtaining an EEA-wide marketing authorization from the EMA and a separate process will be required for authorization of drug products covering the U.K. or Great Britain only. Any delay in obtaining, or an inability to obtain, any regulatory approvals, as a result of Brexit or otherwise, would prevent us from commercializing our product candidates in the U.K. and/or the EU and restrict our ability to generate revenue and achieve and sustain profitability. If any of these outcomes occur, we may be forced to restrict or delay efforts to seek regulatory approval in the U.K. and/or EU for our product candidates, which could significantly and materially harm our business.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The TCA allows for future deviation from the current regulatory framework and it is not known if and/or when any deviations may occur, which may have an impact on development, manufacture, marketing authorization, commercial sales and distribution of pharmaceutical products. The U.K. Government and the EU recently adopted a new agreement, the “Windsor Framework,” which will replace the Northern Ireland Protocol. According to the Windsor Framework, medicinal products intended for the U.K. market, including Northern Ireland, will be authorized by the MHRA and will bear a “U.K. only” label. This means that medicinal products placed on the market in Northern Ireland will no longer need to be compliant with EU law.</w:t>
      </w:r>
      <w:r>
        <w:rPr>
          <w:color w:val="000000"/>
        </w:rPr>
        <w:t xml:space="preserve"> </w:t>
      </w:r>
      <w:r>
        <w:rPr>
          <w:rFonts w:ascii="Times New Roman;sans-serif" w:hAnsi="Times New Roman;sans-serif"/>
          <w:b w:val="false"/>
          <w:color w:val="000000"/>
          <w:sz w:val="20"/>
        </w:rPr>
        <w:t>These new measures will be implemented on January 1, 2025.</w:t>
      </w:r>
    </w:p>
    <w:p>
      <w:pPr>
        <w:pStyle w:val="TextBody"/>
        <w:bidi w:val="0"/>
        <w:spacing w:lineRule="auto" w:line="288" w:before="120" w:after="283"/>
        <w:ind w:left="0" w:right="0" w:firstLine="450"/>
        <w:jc w:val="left"/>
        <w:rPr/>
      </w:pPr>
      <w:r>
        <w:rPr>
          <w:rFonts w:ascii="Times New Roman;sans-serif" w:hAnsi="Times New Roman;sans-serif"/>
          <w:b/>
          <w:i/>
          <w:color w:val="231F20"/>
          <w:sz w:val="20"/>
        </w:rPr>
        <w:t>Changes in U.S.</w:t>
      </w:r>
      <w:r>
        <w:rPr>
          <w:color w:val="231F20"/>
        </w:rPr>
        <w:t xml:space="preserve"> </w:t>
      </w:r>
      <w:r>
        <w:rPr>
          <w:rFonts w:ascii="Times New Roman;sans-serif" w:hAnsi="Times New Roman;sans-serif"/>
          <w:b/>
          <w:i/>
          <w:color w:val="231F20"/>
          <w:sz w:val="20"/>
        </w:rPr>
        <w:t>tax law could adversely</w:t>
      </w:r>
      <w:r>
        <w:rPr>
          <w:color w:val="231F20"/>
        </w:rPr>
        <w:t xml:space="preserve"> </w:t>
      </w:r>
      <w:r>
        <w:rPr>
          <w:rFonts w:ascii="Times New Roman;sans-serif" w:hAnsi="Times New Roman;sans-serif"/>
          <w:b/>
          <w:i/>
          <w:color w:val="231F20"/>
          <w:sz w:val="20"/>
        </w:rPr>
        <w:t>affect</w:t>
      </w:r>
      <w:r>
        <w:rPr>
          <w:color w:val="231F20"/>
        </w:rPr>
        <w:t xml:space="preserve"> </w:t>
      </w:r>
      <w:r>
        <w:rPr>
          <w:rFonts w:ascii="Times New Roman;sans-serif" w:hAnsi="Times New Roman;sans-serif"/>
          <w:b/>
          <w:i/>
          <w:color w:val="231F20"/>
          <w:sz w:val="20"/>
        </w:rPr>
        <w:t>our financial</w:t>
      </w:r>
      <w:r>
        <w:rPr>
          <w:color w:val="231F20"/>
        </w:rPr>
        <w:t xml:space="preserve"> </w:t>
      </w:r>
      <w:r>
        <w:rPr>
          <w:rFonts w:ascii="Times New Roman;sans-serif" w:hAnsi="Times New Roman;sans-serif"/>
          <w:b/>
          <w:i/>
          <w:color w:val="231F20"/>
          <w:sz w:val="20"/>
        </w:rPr>
        <w:t>condition</w:t>
      </w:r>
      <w:r>
        <w:rPr>
          <w:color w:val="231F20"/>
        </w:rPr>
        <w:t xml:space="preserve"> </w:t>
      </w:r>
      <w:r>
        <w:rPr>
          <w:rFonts w:ascii="Times New Roman;sans-serif" w:hAnsi="Times New Roman;sans-serif"/>
          <w:b/>
          <w:i/>
          <w:color w:val="231F20"/>
          <w:sz w:val="20"/>
        </w:rPr>
        <w:t>and results</w:t>
      </w:r>
      <w:r>
        <w:rPr>
          <w:color w:val="231F20"/>
        </w:rPr>
        <w:t xml:space="preserve"> </w:t>
      </w:r>
      <w:r>
        <w:rPr>
          <w:rFonts w:ascii="Times New Roman;sans-serif" w:hAnsi="Times New Roman;sans-serif"/>
          <w:b/>
          <w:i/>
          <w:color w:val="231F20"/>
          <w:sz w:val="20"/>
        </w:rPr>
        <w:t>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0"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rules dealing with U.S. federal, state and local income taxation are constantly under review by persons involved in the legislative process and by the U.S.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U.S. tax laws could have a material adverse effect on our business, cash flow, financial condition or results of operations. We urge investors to consult with their legal and tax advisors regarding the implications of potential changes in U.S. tax laws on an investment in our common stock.</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information systems, or those of our collaborators or other contractors or consultants, may fail or suffer security breaches, which could result in a material disruption of our product development programs.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information systems and those of our current and any future collaborators, other contractors or consultants, and third-party suppliers (i.e. our supply chain) are vulnerable to damage from computer viruses, unauthorized access, natural disasters, terrorism, war and telecommunication and electrical failures. We exercise little or no direct control over how these third parties operate their networks, which increases our vulnerability to problems with their systems. While we have not experienced any such material system failure, accident or security breach to date, if such an event were to occur and cause interruptions in our information systems or those of our collaborators, vendors, contractors or consultants, it could result in a disruption of our development programs and our business operations, whether due to a loss of our trade secrets or other proprietary information or other similar disruptions, as well as reputational harm and adverse legal and regulatory consequences.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cybersecurity risks caused by misappropriation, misuse, leakage, falsification or intentional or accidental release, exposure or loss of information maintained in the information systems and networks of our company and our vendors, including personal information of our employees and study subjects,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 and viruses, supply chain attacks, phishing and other cyberattacks. The number and complexity of these threats continue to increase over time. While we have not experienced, to date, a cybersecurity threat, including as a result of any previous cybersecurity incidents, that has materially affected or is reasonably likely to materially affect us, including our business strategy, results of operations, or financial condition, we cannot guarantee that we will not experience such a threat or incident in the future. If a material breach of, or accidental or intentional loss of data from, our information technology systems or those of our vendors occurs, the market perception of the effectiveness of our security measures could be harmed and our reputation and credibility could be damaged and we could be subject to adverse legal and regulatory consequences. We could be required to expend significant amounts of money and other resources to repair or replace information systems or networks..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 based information systems, the related security risks will increase and we will need to expend additional resources to protect our technology and information systems.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can be no assurance that our internal information technology systems or those of our third- 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while we maintain insurance policies that may cover certain liabilities in connection with a cybersecurity incident, we cannot be certain that the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that exceed available insurance coverage, 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1"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occurrence of changes in insurance policies, including premium increases or the imposition of large deductible or co-insurance requirements, could have a material adverse effect on our business, including its financial condition, results of operations and reputation.</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Unfavorable global economic conditions could adversely affect our business, financial condition or results of operations.</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costlier to operate. Furthermore, the most recent global financial crisis caused extreme volatility and disruptions in the capital and credit markets. A severe or prolonged economic downturn, due to factors including the effects of health epidemics and pandemics, such as COVID-19, geopolitical events, such as the Russian invasion of Ukraine, the Israel-Hamas conflict and related global escalation of geopolitical tensions, rising inflationary pressures and rising interest rates could result in a variety of risks to our business, including a reduced ability to raise additional capital when needed on acceptable terms, if at all. A weak or declining economy or international trade disputes could also strain our suppliers, some of which are located outside of the United States,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lineRule="auto" w:line="288" w:before="120" w:after="283"/>
        <w:ind w:left="0" w:right="0" w:firstLine="450"/>
        <w:jc w:val="left"/>
        <w:rPr>
          <w:rFonts w:ascii="Times New Roman;sans-serif" w:hAnsi="Times New Roman;sans-serif"/>
          <w:b/>
          <w:i/>
          <w:color w:val="231F20"/>
          <w:sz w:val="20"/>
        </w:rPr>
      </w:pPr>
      <w:r>
        <w:rPr>
          <w:rFonts w:ascii="Times New Roman;sans-serif" w:hAnsi="Times New Roman;sans-serif"/>
          <w:b/>
          <w:i/>
          <w:color w:val="231F20"/>
          <w:sz w:val="20"/>
        </w:rPr>
        <w:t>The increasing use of social media platforms presents new risks and challenges.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For example, patients may use social media channels to comment on their experience in an ongoing blinded clinical trial or to report an alleged adverse event. When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estimates of market opportunity and forecasts of market growth may prove to be inaccurate, and even if the markets in which we compete achieve the forecasted growth, our business may not grow at similar rates, or at all.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Pliant’s Cybersecurity Program is integral to safeguarding our assets, maintaining stakeholder trust, and ensuring the continuity of our operations. The management of our Cybersecurity Program is entrusted to the Cybersecurity Governance Committee (“CSGC”), which includes our Chief Financial Officer, General Counsel, Head of Information Technology and Corporate Controller. The CSGC draws on more than twenty years of experience focused in the areas of corporate governance and implementation and oversight of information technology systems and processes. The Board of Directors has delegated oversight of the Company's Cybersecurity Program to the Audit Committee, who receives regular reports from the Chief Financial Officer regarding cyber risks and threats, progress of the Company's projects aimed at strengthening information security systems, assessments of the Cybersecurity Program, and insights into the evolving threat landscape. The Audit Committee provides updates about the Company's Cybersecurity Program to the Board of Directors at least annually.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2"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CSGC leads the enterprise-wide cybersecurity strategy and policy development to ensure alignment and best practices informed by industry established frameworks. The Cybersecurity Program emphasizes continuous improvement by actively engaging with internal and external stakeholders, striving to stay ahead of emerging threats, adapting to the evolving cybersecurity landscape, and fortifying our defenses against potential risks. The Cybersecurity Program undergoes regular evaluations conducted by both internal and external experts to assess the strength of our Cybersecurity Program. Regular penetration tests are performed as well as simulated cybersecurity events to test our defenses and responses to unmitigated penetrations. The results of these evaluations are reported to the CSGC and Audit Committee of the Board of Directors. We have also deployed an information security training program for our employees that includes training on matters such as phishing and email security best practices as well as required training on data privacy. </w:t>
      </w:r>
    </w:p>
    <w:p>
      <w:pPr>
        <w:pStyle w:val="TextBody"/>
        <w:bidi w:val="0"/>
        <w:spacing w:lineRule="auto" w:line="276"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implemented processes designed to minimize the chance of a successful cyberattack and we have also established incident response procedures to address a cyber threat that may occur despite these safeguards. Pliant’s Cybersecurity Incident Response Plan includes engagement with key vendors, industry participants, and intelligence and law enforcement communities which are a fundamental aspect of our strategy. The Response Plan addresses (1) detection, (2) analysis, (3) communication, (4) containment, (5) eradication, (6) recovery and (7) post-incident review. </w:t>
      </w:r>
    </w:p>
    <w:p>
      <w:pPr>
        <w:pStyle w:val="TextBody"/>
        <w:bidi w:val="0"/>
        <w:spacing w:lineRule="auto" w:line="276" w:before="120" w:after="283"/>
        <w:ind w:left="0" w:right="0" w:firstLine="450"/>
        <w:jc w:val="left"/>
        <w:rPr/>
      </w:pPr>
      <w:r>
        <w:rPr>
          <w:rFonts w:ascii="Times New Roman;sans-serif" w:hAnsi="Times New Roman;sans-serif"/>
          <w:b w:val="false"/>
          <w:color w:val="000000"/>
          <w:sz w:val="20"/>
        </w:rPr>
        <w:t>As of the date of this report, we have not identified any risks from cybersecurity threats, including as a result of any previous cybersecurity incidents, that have materially affected us, our business strategy, results of operation or financial condition. For more information about the risks we face from cybersecurity incidents, please refer those discussed risk factors starting with “</w:t>
      </w:r>
      <w:r>
        <w:rPr>
          <w:rFonts w:ascii="Times New Roman;sans-serif" w:hAnsi="Times New Roman;sans-serif"/>
          <w:b w:val="false"/>
          <w:i/>
          <w:color w:val="000000"/>
          <w:sz w:val="20"/>
        </w:rPr>
        <w:t>We may incur substantial costs in our efforts to comply with evolving global data protection…</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Our internal computer systems, or those of our collaborators…</w:t>
      </w:r>
      <w:r>
        <w:rPr>
          <w:color w:val="000000"/>
        </w:rPr>
        <w:t xml:space="preserve">” </w:t>
      </w:r>
      <w:r>
        <w:rPr>
          <w:rFonts w:ascii="Times New Roman;sans-serif" w:hAnsi="Times New Roman;sans-serif"/>
          <w:b w:val="false"/>
          <w:color w:val="000000"/>
          <w:sz w:val="20"/>
        </w:rPr>
        <w:t>in the section entitled “Risk Factors” included under Part I, Item 1A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lease a facility containing 32,974 square feet of laboratory and office space, which is located at 260 Littlefield Avenue, South San Francisco, California 94080. The Littlefield lease is expected to terminate in the third quarter of 2024. We have an additional facility lease containing 12,456 square feet of office space, which is located at 611 Gateway Boulevard, South San Francisco, California 94080. The Gateway lease expires March 31, 2024. </w:t>
      </w:r>
    </w:p>
    <w:p>
      <w:pPr>
        <w:pStyle w:val="TextBody"/>
        <w:bidi w:val="0"/>
        <w:spacing w:lineRule="auto" w:line="268" w:before="0" w:after="0"/>
        <w:ind w:left="0" w:right="0" w:firstLine="450"/>
        <w:jc w:val="left"/>
        <w:rPr/>
      </w:pPr>
      <w:r>
        <w:rPr>
          <w:rFonts w:ascii="Times New Roman;sans-serif" w:hAnsi="Times New Roman;sans-serif"/>
          <w:b w:val="false"/>
          <w:color w:val="000000"/>
          <w:sz w:val="20"/>
        </w:rPr>
        <w:t>On September 28, 2023, the Company entered into a lease agreement for a premise consisting of approximately 100,904 square feet located at Oyster Point Blvd, South San Francisco, California (the "Oyster Point Lease"), which the Company intends to use as laboratory and office space. The lease term of approximately seven years will start upon the landlord’s substantial completion of tenant improvements. We believe that our current facilities,</w:t>
      </w:r>
      <w:r>
        <w:rPr>
          <w:color w:val="000000"/>
        </w:rPr>
        <w:t xml:space="preserve"> </w:t>
      </w:r>
      <w:r>
        <w:rPr>
          <w:rFonts w:ascii="Times New Roman;sans-serif" w:hAnsi="Times New Roman;sans-serif"/>
          <w:b w:val="false"/>
          <w:color w:val="000000"/>
          <w:sz w:val="20"/>
        </w:rPr>
        <w:t>including the premises under the Oyster Point Lease, are sufficient to meet our current and near-term needs for the business of developing and commercializing novel therapies for fibrotic diseases and that, should it be needed, suitable additional space will be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the date of this Annual Report,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3"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has been listed on the Nasdaq Global Select Market under the symbol “PLRX” since June 3, 2020. Prior to that date, there was no public trading market for our common stock.</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Performance Graph</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comparisons in the table below are required by the SEC and are not intended to forecast or be indicative of possible future performance of our common stock. This graph shall not be deemed “soliciting material” or be deemed “filed” for purposes of Section 18 of the Exchange Act, or otherwise subject to the liabilities under that Section, and shall not be deemed to be incorporated by reference into any of our filings under the Securities Act, whether made before or after the date hereof and irrespective of any general incorporation language in any such filing, except to the extent we specifically incorporate it by reference into such filing.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cumulative total return of our common stock with the cumulative total return of (i) The Nasdaq Composite Index, and (ii) The Nasdaq Biotechnology Index. The graph assumes (a) $100 was invested from June 3, 2020, the first day of trading of our common stock on the Nasdaq Global Select Market through December 31, 2023 in each of our common stock, the stocks comprising the Nasdaq Composite Index and the stocks comprising the Nasdaq Biotechnology Index, and (b) the reinvestment of dividends into shares of common stock; however, no dividends have been declared on our common stock to date.</w:t>
      </w:r>
    </w:p>
    <w:p>
      <w:pPr>
        <w:pStyle w:val="TextBody"/>
        <w:bidi w:val="0"/>
        <w:spacing w:before="120" w:after="283"/>
        <w:ind w:left="0" w:right="0" w:firstLine="450"/>
        <w:jc w:val="left"/>
        <w:rPr/>
      </w:pPr>
      <w:r>
        <w:rPr/>
        <w:drawing>
          <wp:inline distT="0" distB="0" distL="0" distR="0">
            <wp:extent cx="5076825" cy="3429000"/>
            <wp:effectExtent l="0" t="0" r="0" b="0"/>
            <wp:docPr id="8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9" descr=""/>
                    <pic:cNvPicPr>
                      <a:picLocks noChangeAspect="1" noChangeArrowheads="1"/>
                    </pic:cNvPicPr>
                  </pic:nvPicPr>
                  <pic:blipFill>
                    <a:blip r:embed="rId10"/>
                    <a:stretch>
                      <a:fillRect/>
                    </a:stretch>
                  </pic:blipFill>
                  <pic:spPr bwMode="auto">
                    <a:xfrm>
                      <a:off x="0" y="0"/>
                      <a:ext cx="5076825" cy="3429000"/>
                    </a:xfrm>
                    <a:prstGeom prst="rect">
                      <a:avLst/>
                    </a:prstGeom>
                  </pic:spPr>
                </pic:pic>
              </a:graphicData>
            </a:graphic>
          </wp:inline>
        </w:drawing>
      </w:r>
    </w:p>
    <w:tbl>
      <w:tblPr>
        <w:tblW w:w="9162" w:type="dxa"/>
        <w:jc w:val="left"/>
        <w:tblInd w:w="0" w:type="dxa"/>
        <w:tblLayout w:type="fixed"/>
        <w:tblCellMar>
          <w:top w:w="28" w:type="dxa"/>
          <w:left w:w="28" w:type="dxa"/>
          <w:bottom w:w="28" w:type="dxa"/>
          <w:right w:w="28" w:type="dxa"/>
        </w:tblCellMar>
      </w:tblPr>
      <w:tblGrid>
        <w:gridCol w:w="907"/>
        <w:gridCol w:w="798"/>
        <w:gridCol w:w="799"/>
        <w:gridCol w:w="211"/>
        <w:gridCol w:w="616"/>
        <w:gridCol w:w="109"/>
        <w:gridCol w:w="109"/>
        <w:gridCol w:w="109"/>
        <w:gridCol w:w="109"/>
        <w:gridCol w:w="240"/>
        <w:gridCol w:w="701"/>
        <w:gridCol w:w="124"/>
        <w:gridCol w:w="109"/>
        <w:gridCol w:w="109"/>
        <w:gridCol w:w="109"/>
        <w:gridCol w:w="240"/>
        <w:gridCol w:w="701"/>
        <w:gridCol w:w="124"/>
        <w:gridCol w:w="109"/>
        <w:gridCol w:w="109"/>
        <w:gridCol w:w="109"/>
        <w:gridCol w:w="240"/>
        <w:gridCol w:w="701"/>
        <w:gridCol w:w="124"/>
        <w:gridCol w:w="109"/>
        <w:gridCol w:w="109"/>
        <w:gridCol w:w="109"/>
        <w:gridCol w:w="240"/>
        <w:gridCol w:w="701"/>
        <w:gridCol w:w="124"/>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6/3/2020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12/31/2020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12/31/2021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12/31/2022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12/31/2023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Pliant Therapeutics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Nasdaq Composite Index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Nasdaq Biotechnology Index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Holders of Record</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the close of business on February 23, 2024, there were 28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cash dividends on our common stock. We currently intend to retain all available funds and future earnings, if any, for the development, operation and expansion of our business and do not anticipate declaring or paying any cash dividends for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about our equity compensation plans is incorporated herein by reference to Item 12 of Part III of this Annual Report on Form 10-K.</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76" w:before="0" w:after="0"/>
        <w:ind w:left="0" w:right="0" w:firstLine="450"/>
        <w:jc w:val="left"/>
        <w:rPr/>
      </w:pPr>
      <w:r>
        <w:rPr>
          <w:rFonts w:ascii="Times New Roman;sans-serif" w:hAnsi="Times New Roman;sans-serif"/>
          <w:b w:val="false"/>
          <w:i/>
          <w:color w:val="000000"/>
          <w:sz w:val="20"/>
        </w:rPr>
        <w:t xml:space="preserve">The following discussion and analysis is intended to provide material information around events and uncertainties known to management relevant to an assessment of the financial condition and results of operations of the Company and should therefore be read in conjunction with our audited Financial Statements and the accompanying Notes to Financial Statements and other disclosures included in this Annual Report on Form 10-K (including the disclosures under Part I, Item 1A. Risk Factors) where other material events and uncertainties not otherwise discussed below are disclosed. Certain amounts and percentages herein may not sum or recalculate due to rounding. The following discussion and analysis does not address certain items regarding the year ended December 31, 2021. Discussion and analysis of 2021 and year-to-year comparisons between 2022 and 2021 that are not included in this Report can be found in Item 7. Management’s Discussion and Analysis of Financial Condition and Results of Operations of our </w:t>
      </w:r>
      <w:hyperlink r:id="rId11">
        <w:r>
          <w:rPr>
            <w:rStyle w:val="InternetLink"/>
            <w:rFonts w:ascii="Times New Roman;sans-serif" w:hAnsi="Times New Roman;sans-serif"/>
            <w:b w:val="false"/>
            <w:i/>
            <w:color w:val="0000FF"/>
            <w:sz w:val="20"/>
            <w:u w:val="single"/>
          </w:rPr>
          <w:t>2022 Annual Report on Form 10-K</w:t>
        </w:r>
      </w:hyperlink>
      <w:r>
        <w:rPr>
          <w:color w:val="000000"/>
        </w:rPr>
        <w:t xml:space="preserve"> </w:t>
      </w:r>
      <w:r>
        <w:rPr>
          <w:rFonts w:ascii="Times New Roman;sans-serif" w:hAnsi="Times New Roman;sans-serif"/>
          <w:b w:val="false"/>
          <w:i/>
          <w:color w:val="000000"/>
          <w:sz w:val="20"/>
        </w:rPr>
        <w:t>filed with the U.S. Securities and Exchange Commission (“SEC on March 9, 2023”).</w:t>
      </w:r>
    </w:p>
    <w:p>
      <w:pPr>
        <w:pStyle w:val="TextBody"/>
        <w:bidi w:val="0"/>
        <w:spacing w:lineRule="auto" w:line="288" w:before="120" w:after="12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a late stage biopharmaceutical company focused on discovering and developing novel therapies for the treatment of fibrosis and related diseases. Our initial focus is on treating fibrosis by inhibiting integrin-mediated activation of TGF-β. We have applied our deep understanding of fibrosis biology, along with our medicinal chemistry and translational medicine expertise to develop a set of proprietary tools designed to discover and de-risk product candidates quickly and efficiently. Our wholly-owned lead product candidate, bexotegrast (PLN-74809), is an oral, small molecule, dual selective inhibitor of αvß6 and αvß1 integrins that we are developing for the treatment of idiopathic pulmonary fibrosis, or IPF, and primary sclerosing cholangitis, or PSC. We are currently conducting a Phase 2b trial in IPF and a Phase 2a trial in PSC. We announced positive data from our Phase 2a INTEGRIS-IPF trial in May 2023. We are currently conducting BEACON-IPF, a 52-week, randomized, double-blind, placebo-controlled Phase 2b trial in patients with IPF. We announced positive interim data from our Phase 2a INTEGRIS-PSC trial in September 2023 and February 2024. We expect to release final data from the INTEGRIS-PSC trial in mid-2024.</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we received FDA clearance of investigational new drug application, or IND, for our third clinical program to date, PLN-101095, a dual inhibitor of integrins αvß8 and αvß1 for the treatment of solid tumors that are resistant to immune checkpoint inhibitors. We are currently dosing the third of five dose cohorts in a Phase 1 open label dose-escalation trial of PLN-101095 as monotherapy and in combination with pembrolizumab in patients with solid tumors that are resistant to immune checkpoint inhibitors. We expect to release preliminary data from the trial in late 2024.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fourth program to date, PLN-101325, in development for treatment of muscular dystrophies, including Duchenne muscular dystrophy. PLN-101325 is a monoclonal antibody designed to act as an allosteric agonist of integrin α7ß1. We expect to file with regulators for first-in-human studies in the first quarter of 2024.</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developed PLN-1474, a Phase 2-ready oral, small molecule selective inhibitor of αvß1 for the treatment of advanced liver fibrosis associated with nonalcoholic steatohepatitis, or NASH. PLN-1474 was licensed to Novartis in 2019, and as part of a broad strategic realignment, Novartis has discontinued clinical development in NASH and, as a result, discontinued development of PLN-1474. In February 2023, Novartis returned global rights to PLN-1474 to Pliant.</w:t>
      </w:r>
    </w:p>
    <w:p>
      <w:pPr>
        <w:pStyle w:val="TextBody"/>
        <w:bidi w:val="0"/>
        <w:spacing w:lineRule="auto" w:line="276" w:before="200" w:after="283"/>
        <w:jc w:val="left"/>
        <w:rPr>
          <w:rFonts w:ascii="Times New Roman;sans-serif" w:hAnsi="Times New Roman;sans-serif"/>
          <w:b/>
          <w:color w:val="000000"/>
          <w:sz w:val="20"/>
        </w:rPr>
      </w:pPr>
      <w:r>
        <w:rPr>
          <w:rFonts w:ascii="Times New Roman;sans-serif" w:hAnsi="Times New Roman;sans-serif"/>
          <w:b/>
          <w:color w:val="000000"/>
          <w:sz w:val="20"/>
        </w:rPr>
        <w:t>Recent Highlights</w:t>
      </w:r>
    </w:p>
    <w:p>
      <w:pPr>
        <w:pStyle w:val="TextBody"/>
        <w:bidi w:val="0"/>
        <w:spacing w:lineRule="auto" w:line="288" w:before="3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Bexotegrast Highlights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Positive safety and efficacy data from 320 mg dose cohort of INTEGRIS-PSC Phase 2a trial in patients with primary sclerosing cholangitis (PSC).</w:t>
      </w:r>
      <w:r>
        <w:rPr>
          <w:color w:val="000000"/>
        </w:rPr>
        <w:t xml:space="preserve"> </w:t>
      </w:r>
      <w:r>
        <w:rPr>
          <w:rFonts w:ascii="Times New Roman;sans-serif" w:hAnsi="Times New Roman;sans-serif"/>
          <w:b w:val="false"/>
          <w:color w:val="000000"/>
          <w:sz w:val="20"/>
        </w:rPr>
        <w:t>At a once-daily dose of 320 mg, bexotegrast was well tolerated over 12 weeks of treatment with no drug-related severe or serious adverse events. At the 320 mg dose, bexotegrast reduced both Enhanced Liver Fibrosis (ELF) scores and PRO-C3 levels and showed improvements in hepatocyte function and bile flow by contrast MRI imaging relative to placebo at Week 12. Twenty-four-week data from the 320 mg dose group is expected in mid-2024.</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Enrollment continues in BEACON-IPF, a Phase 2b trial of bexotegrast in patients with idiopathic pulmonary fibrosis</w:t>
      </w:r>
      <w:r>
        <w:rPr>
          <w:color w:val="000000"/>
        </w:rPr>
        <w:t xml:space="preserve"> </w:t>
      </w:r>
      <w:r>
        <w:rPr>
          <w:rFonts w:ascii="Times New Roman;sans-serif" w:hAnsi="Times New Roman;sans-serif"/>
          <w:b w:val="false"/>
          <w:color w:val="000000"/>
          <w:sz w:val="20"/>
        </w:rPr>
        <w:t>(</w:t>
      </w:r>
      <w:r>
        <w:rPr>
          <w:rFonts w:ascii="Times New Roman;sans-serif" w:hAnsi="Times New Roman;sans-serif"/>
          <w:b/>
          <w:color w:val="000000"/>
          <w:sz w:val="20"/>
        </w:rPr>
        <w:t xml:space="preserve">IPF). </w:t>
      </w:r>
      <w:r>
        <w:rPr>
          <w:rFonts w:ascii="Times New Roman;sans-serif" w:hAnsi="Times New Roman;sans-serif"/>
          <w:b w:val="false"/>
          <w:color w:val="000000"/>
          <w:sz w:val="20"/>
        </w:rPr>
        <w:t xml:space="preserve">BEACON-IPF is a 52-week, multinational, randomized, dose-ranging, double-blind, placebo-controlled trial evaluating bexotegrast at once-daily doses of 160 mg or 320 mg. BEACON-IPF is expected to enroll approximately 270 patients with IPF. </w:t>
      </w:r>
    </w:p>
    <w:p>
      <w:pPr>
        <w:pStyle w:val="TextBody"/>
        <w:bidi w:val="0"/>
        <w:spacing w:lineRule="auto" w:line="288" w:before="120" w:after="283"/>
        <w:jc w:val="left"/>
        <w:rPr/>
      </w:pPr>
      <w:r>
        <w:rPr>
          <w:rFonts w:ascii="Times New Roman;sans-serif" w:hAnsi="Times New Roman;sans-serif"/>
          <w:b/>
          <w:color w:val="000000"/>
          <w:sz w:val="20"/>
          <w:u w:val="single"/>
          <w:shd w:fill="FFFFFF" w:val="clear"/>
        </w:rPr>
        <w:t>Pipeline</w:t>
      </w:r>
      <w:r>
        <w:rPr>
          <w:color w:val="000000"/>
          <w:u w:val="single"/>
        </w:rPr>
        <w:t xml:space="preserve"> </w:t>
      </w:r>
      <w:r>
        <w:rPr>
          <w:rFonts w:ascii="Times New Roman;sans-serif" w:hAnsi="Times New Roman;sans-serif"/>
          <w:b/>
          <w:color w:val="000000"/>
          <w:sz w:val="20"/>
          <w:u w:val="single"/>
        </w:rPr>
        <w:t>Programs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Phase 1 trial of PLN-101095 in solid tumors is enrolling.</w:t>
      </w:r>
      <w:r>
        <w:rPr>
          <w:color w:val="000000"/>
        </w:rPr>
        <w:t xml:space="preserve"> </w:t>
      </w:r>
      <w:r>
        <w:rPr>
          <w:rFonts w:ascii="Times New Roman;sans-serif" w:hAnsi="Times New Roman;sans-serif"/>
          <w:b w:val="false"/>
          <w:color w:val="000000"/>
          <w:sz w:val="20"/>
        </w:rPr>
        <w:t>This is a Phase 1 open label trial of PLN-101095, an oral, small molecule, dual selective inhibitor of αvβ8 and αvβ1 integrins designed to block TGF-β activation in the tumor microenvironment. The trial is currently dosing the third of five planned dose cohorts in a Phase 1 open label dose-escalation trial of PLN-101095 as monotherapy and in combination with pembrolizumab in patients with solid tumors that are resistant to immune checkpoint inhibitors. Preliminary data is expected in late 2024.</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 xml:space="preserve">Muscular dystrophy program on track for regulatory filing in the first quarter of 2024. </w:t>
      </w:r>
      <w:r>
        <w:rPr>
          <w:rFonts w:ascii="Times New Roman;sans-serif" w:hAnsi="Times New Roman;sans-serif"/>
          <w:b w:val="false"/>
          <w:color w:val="000000"/>
          <w:sz w:val="20"/>
        </w:rPr>
        <w:t>PLN-101325 is a monoclonal antibody designed to act as an allosteric agonist of integrin α7β1. Filing for first-in-human clinical studies in Duchenne muscular dystrophy (DMD) is expected in the first quarter of 2024.</w:t>
      </w:r>
    </w:p>
    <w:p>
      <w:pPr>
        <w:pStyle w:val="TextBody"/>
        <w:bidi w:val="0"/>
        <w:spacing w:lineRule="auto" w:line="288" w:before="120" w:after="12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Since inception, we have had significant operating losses. Our net loss was $161.3 million, $123.3 million and $97.3 million for the years ended December 31, 2023, 2022 and 2021, respectively. As of December 31, 2023, we had an accumulated deficit of $499.7 million and cash, cash equivalents, restricted cash and short-term investments of $495.7 million. We expect to continue to incur net losses for the foreseeable future, and we expect our research and development expenses, general and administrative expenses, and capital expenditures will increase in connection with our ongoing activities, as we: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perform research and development activities to identify and develop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advance product candidates into and through clinical development;</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require the manufacture of supplies to support research and development, preclinical studies and clinical trials;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seek regulatory approvals for any product candidates that successfully complete clinical trials;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expand our operational, financial and management systems and increase personnel to support our clinical development, manufacturing and commercialization efforts and our operations as a public company;</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maintain, expand and protect our intellectual property portfolio; and</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invest in or in-license other technologies or product candidates.</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Financial Operations Overview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generated any revenue from product sales and do not expect to do so in the near future. Our revenue to date is derived from a Collaboration and License Agreement with Novartis, or the "Novartis Agreement," that was executed in 2019.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Novartis Agreement was for the development and commercialization of PLN-1474 and up to three additional integrin research targets. Under the terms of the Novartis Agreement, we received an upfront license fee payment of $50.0 million for the worldwide, exclusive license to PLN-1474 and an additional $29.0 million upon the achievement of specified research and development milestones. As part of a broad strategic realignment, Novartis has discontinued clinical development in NASH and, as a result, discontinued development of PLN-1474. In February 2023, Novartis issued a termination notice for the collaboration and license agreement, and returned global rights to Pliant for PLN-1474.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termination of the Novartis Agreement, we were no longer eligible to receive additional milestone or royalty payments under the arrangement, however, we continued to earn research and development services revenues through the effective termination date of April 18, 2023.</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Revenues for the years ended December 31, 2023, 2022 and 2021 were $1.6 million, $9.7 million and $7.6 million respectively.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expenses consist of expenses incurred in connection with the development of our product candidates. Research and development expenses include:</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employee-related expenses, which include salaries, benefits and stock-based compensation for our research and development personnel;</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expenses incurred under agreements with third-party contract organizations for pre-clinical studies, clinical trials and consultants that conduct research and development activities on our behalf;</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costs associated with the manufacture of supplies to support research and development, preclinical studies and clinical trials;</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depreciation of laboratory equipment and costs of equipment and supplies;</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costs associated with technology and intellectual property licenses; and</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facilities and other allocated expenses, which include expenses for rent and other facility related costs and other supplies.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research and development expenses for the years ended December 31, 2023, 2022 and 2021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272"/>
        <w:gridCol w:w="1998"/>
        <w:gridCol w:w="2006"/>
        <w:gridCol w:w="211"/>
        <w:gridCol w:w="826"/>
        <w:gridCol w:w="109"/>
        <w:gridCol w:w="109"/>
        <w:gridCol w:w="109"/>
        <w:gridCol w:w="109"/>
        <w:gridCol w:w="211"/>
        <w:gridCol w:w="721"/>
        <w:gridCol w:w="109"/>
        <w:gridCol w:w="109"/>
        <w:gridCol w:w="109"/>
        <w:gridCol w:w="109"/>
        <w:gridCol w:w="211"/>
        <w:gridCol w:w="721"/>
        <w:gridCol w:w="156"/>
      </w:tblGrid>
      <w:tr>
        <w:trPr/>
        <w:tc>
          <w:tcPr>
            <w:tcW w:w="2272"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and consulting services for preclinical studies and research and development activities by third party contract organizations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lab equipment and costs of equipment and supplies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and other allocated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intellectual property licenses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77,548 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expense all research and development costs in the periods in which they are incurred. We do not allocate our internal costs by product candidates or by preclinical programs. Additionally, although external third-party costs are allocable between product candidates and programs, we do not perform this allocation.</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expect our research and development expenses to increase substantially for the foreseeable future as we continue to invest in research and development activities related to developing our product candidates and our preclinical programs and as they advance into later stages of development. The process of conducting the necessary clinical research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w:t>
      </w:r>
    </w:p>
    <w:p>
      <w:pPr>
        <w:pStyle w:val="TextBody"/>
        <w:bidi w:val="0"/>
        <w:spacing w:lineRule="auto" w:line="288" w:before="20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expenses consist primarily of salaries, benefits and stock-based compensation for our general and administrative personnel, allocated facilities costs, insurance and other expenses for outside professional services, including legal, marketing, investor relations, human resource and accounting services. We expect general and administrative expenses to increase for the foreseeable future as does the size of our administrative function to support the growth of our business. In addition, if we obtain regulatory approval for any of our product candidates and do not enter into a third-party commercialization collaboration, we expect to incur significant expenses related to building a sales and marketing team to support product sales, marketing and distribution activities.</w:t>
      </w:r>
    </w:p>
    <w:p>
      <w:pPr>
        <w:pStyle w:val="TextBody"/>
        <w:bidi w:val="0"/>
        <w:spacing w:lineRule="auto" w:line="288" w:before="20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and Other Income (Expense), net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interest and other income (expense), net consists of interest, accretion income and amortization expense on cash, cash equivalents and short-term investments, and realized gains and losses on short-term investments. </w:t>
      </w:r>
    </w:p>
    <w:p>
      <w:pPr>
        <w:pStyle w:val="TextBody"/>
        <w:bidi w:val="0"/>
        <w:spacing w:lineRule="auto" w:line="288" w:before="20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interest expense is derived from a term loan executed under the Oxford Loan Agreement that we entered into in May 2022. Borrowings under the Oxford Loan Agreement bear interest at a rate per annum equal to 1-month term Secured Overnight Financing Rate (SOFR) plus 8.5%, subject to an agreed upon floor and cap.</w:t>
      </w:r>
    </w:p>
    <w:p>
      <w:pPr>
        <w:pStyle w:val="TextBody"/>
        <w:bidi w:val="0"/>
        <w:spacing w:before="20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Comparison of the Years Ended December 31, 2023 and 2022</w:t>
      </w:r>
    </w:p>
    <w:tbl>
      <w:tblPr>
        <w:tblW w:w="9043" w:type="dxa"/>
        <w:jc w:val="left"/>
        <w:tblInd w:w="0" w:type="dxa"/>
        <w:tblLayout w:type="fixed"/>
        <w:tblCellMar>
          <w:top w:w="28" w:type="dxa"/>
          <w:left w:w="28" w:type="dxa"/>
          <w:bottom w:w="28" w:type="dxa"/>
          <w:right w:w="28" w:type="dxa"/>
        </w:tblCellMar>
      </w:tblPr>
      <w:tblGrid>
        <w:gridCol w:w="1210"/>
        <w:gridCol w:w="1065"/>
        <w:gridCol w:w="1069"/>
        <w:gridCol w:w="211"/>
        <w:gridCol w:w="901"/>
        <w:gridCol w:w="109"/>
        <w:gridCol w:w="109"/>
        <w:gridCol w:w="109"/>
        <w:gridCol w:w="109"/>
        <w:gridCol w:w="211"/>
        <w:gridCol w:w="901"/>
        <w:gridCol w:w="109"/>
        <w:gridCol w:w="109"/>
        <w:gridCol w:w="109"/>
        <w:gridCol w:w="109"/>
        <w:gridCol w:w="211"/>
        <w:gridCol w:w="796"/>
        <w:gridCol w:w="109"/>
        <w:gridCol w:w="109"/>
        <w:gridCol w:w="109"/>
        <w:gridCol w:w="109"/>
        <w:gridCol w:w="307"/>
        <w:gridCol w:w="309"/>
        <w:gridCol w:w="544"/>
      </w:tblGrid>
      <w:tr>
        <w:trPr/>
        <w:tc>
          <w:tcPr>
            <w:tcW w:w="121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Revenue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decreased by $8.1 million due to decreased research and development services resulting from the termination of the Novartis Agreement. </w:t>
      </w:r>
    </w:p>
    <w:p>
      <w:pPr>
        <w:pStyle w:val="TextBody"/>
        <w:bidi w:val="0"/>
        <w:spacing w:lineRule="auto" w:line="288" w:before="200" w:after="12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research and development expenses of $30.9 million was primarily due to:</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 xml:space="preserve">$16.3 million increase in employee-related costs, including stock-based compensation, driven by an increase in our research and development workforce; </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 xml:space="preserve">$9.5 million decrease in outside and consulting services for preclinical studies which is largely attributable to decreased preclinical spend related to PLN-101095 as we initiated a phase 1 clinical trial during the second quarter of 2023, and an overall decrease in research and development activities as we prioritize bexotegrast clinical development; </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$23.2 million increase in clinical trial expenses largely due to continued development of bexotegrast, in particular our Phase 2b trial in patients with IPF, as well as the initiation of our phase 1 trial of PLN-101095 in solid tumors during the second quarter of 2023;</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$0.3 million decrease in depreciation of lab equipment and costs of equipment and supplies;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 xml:space="preserve">$1.1 million increase in facilities and other allocated expenses. </w:t>
      </w:r>
    </w:p>
    <w:p>
      <w:pPr>
        <w:pStyle w:val="TextBody"/>
        <w:bidi w:val="0"/>
        <w:spacing w:lineRule="auto" w:line="288" w:before="20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general and administrative expenses by $18.0 million was primarily due to a $16.6 million increase in employee-related costs, including a $12.6 million increase in stock-based compensation, and increases in accounting and other professional services.</w:t>
      </w:r>
    </w:p>
    <w:p>
      <w:pPr>
        <w:pStyle w:val="TextBody"/>
        <w:bidi w:val="0"/>
        <w:spacing w:lineRule="auto" w:line="288" w:before="12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and Other Income (Expense), Net</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 increased $19.4 million due to higher average investment balances in 2023 compared to 2022 resulting from significant financing activities occurring mid-year 2022 and the public offering in January 2023, coupled with an increase in the yield on our short-term investment portfolio.</w:t>
      </w:r>
    </w:p>
    <w:p>
      <w:pPr>
        <w:pStyle w:val="TextBody"/>
        <w:bidi w:val="0"/>
        <w:spacing w:lineRule="auto" w:line="288" w:before="120" w:after="12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increased $0.5 million during the year as our Term Loan, issued in the second quarter of 2022, was outstanding the entire year of 2023 compared to eight months in the prior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cash, cash equivalents, restricted cash and short-term investments of $495.7 million. Our cash, cash equivalents and short-term investments consist of money market funds, U.S. Treasury securities, U.S. Government Agency securities and highly rated, investment-grade corporate debt securities.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May 2022, as amended in October 2022, we entered into a Loan and Security Agreement (the “Oxford Loan Agreement”) with Oxford Finance LLC (or "Oxford"). Upon closing of the Oxford Loan Agreement, we drew $10.0 million and decided to forego drawing on the additional $65.0 million that became available to us over the course of 2023 as certain conditions related to the development of bexotegrast and one of our preclinical product candidates were satisfied. At December 31, 2023, $25.0 million remained available to us under the Oxford Loan Agreement.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2022, we completed an underwritten public offering of 12,432,432 shares of common stock, including the exercise in full of the underwriters' option to purchase 1,621,621 additional shares of common stock. The shares were offered at a price to the public of $18.50 per share, resulting in aggregate proceeds of approximately $215.4 million, net of underwriting discounts, commissions and offering expenses.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we completed an underwritten public offering of 9,583,334 shares of common stock, including the exercise in full of the underwriters' option to purchase 1,250,000 additional shares of common stock. The shares were offered at a price to the public of $30.00 per share, resulting in aggregate proceeds of approximately $269.8 million, net of underwriting discounts, commissions and offering expenses.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During the third quarter of 2021, we entered into a Controlled Equity Offering</w:t>
      </w:r>
      <w:r>
        <w:rPr>
          <w:rFonts w:ascii="Times New Roman;sans-serif" w:hAnsi="Times New Roman;sans-serif"/>
          <w:b w:val="false"/>
          <w:color w:val="000000"/>
          <w:sz w:val="13"/>
        </w:rPr>
        <w:t xml:space="preserve">SM </w:t>
      </w:r>
      <w:r>
        <w:rPr>
          <w:rFonts w:ascii="Times New Roman;sans-serif" w:hAnsi="Times New Roman;sans-serif"/>
          <w:b w:val="false"/>
          <w:color w:val="000000"/>
          <w:sz w:val="20"/>
        </w:rPr>
        <w:t>Sales Agreement (the “Sales Agreement”) with Cantor Fitzgerald &amp; Co., as sales agent, pursuant to which we may issue and sell shares of common stock in an "at-the-market" offering. In March 2023, we filed a prospectus registering the offer and sale of up to $150.0 million of shares of common stock from time to time pursuant to the Sales Agreement. We have not issued any shares pursuant to any at-the-market offerings, including pursuant to the Sales Agreement, but may do so at a future date.</w:t>
      </w:r>
    </w:p>
    <w:p>
      <w:pPr>
        <w:pStyle w:val="TextBody"/>
        <w:bidi w:val="0"/>
        <w:spacing w:lineRule="auto" w:line="276"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existing capital resources, together with the funds available to us under the Oxford Loan Agreement, will be sufficient to fund our anticipated operating expenses and capital expenditure requirements for the next 12 months and for the longer-term period into the second half of 2026. We have based these estimates on assumptions that may prove to be wrong, and we could utilize our available capital resources sooner than we currently expect. Further, our operating plan may change, and we may need additional funds to meet operational needs and capital requirements for product development and commercialization sooner than planned.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have been financed primarily through the issuance and sale of common stock and convertible preferred stock and our collaboration with Novartis.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Funding Requirements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funding requirements will depend on many factors, including the following: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initiation, progress, timing, costs and results of preclinical studies and clinical trials for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clinical development plans we establish for these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timelines of our clinical trials and the overall costs to conduct and complete the clinical trials, which may be impacted by health epidemics and pandemics, such as COVID-19;</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number and characteristics of product candidates that we develop;</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outcome, timing and cost of meeting regulatory requirements established by the U.S. Food and Drug Administration, or FDA, and other comparable foreign regulatory authorities including but not limited to the European Medicines Agency (EMA), the U.. Medicines and Healthcare products Regulatory Agency (MHRA);</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whether we enter into any collaboration agreements and the terms of any such agreements;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filing, prosecuting, defending and enforcing our patent claims and other intellectual property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defending intellectual property disputes, including patent infringement actions brought by third parties against us or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effect of competing technological and market developments;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 xml:space="preserve">the cost and timing of completion of commercial-scale outsourced manufacturing activities; </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and timing of achieving favorable pricing and reimbursement agreements with the pricing authorities in each market of interest, including of securing a positive recommendation after undergoing a health technology assessment by health technology authorities;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establishing sales, marketing and distribution capabilities for any product candidates for which we may receive regulatory approval in regions where we choose to commercialize our products on our own;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operating as a public company.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 our operating plan may change, and we may need additional funds to meet operational needs and capital requirements for clinical trials and other research and development expenditures. If we need to raise additional capital to fund our operations, funding may not be available to us on acceptable terms, or at all. If we are unable to obtain adequate financing when needed, we may have to delay, reduce the scope of or suspend one or more of our preclinical studies, clinical trials, research and development programs or commercialization efforts. We may seek to raise any necessary additional capital through a combination of public or private equity offerings, debt financings, collaborations and other licensing arrangements. If we raise additional capital through debt financing, we may be subject to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our cash flows for the periods indicated (in thousands):</w:t>
      </w:r>
    </w:p>
    <w:tbl>
      <w:tblPr>
        <w:tblW w:w="9870" w:type="dxa"/>
        <w:jc w:val="center"/>
        <w:tblInd w:w="0" w:type="dxa"/>
        <w:tblLayout w:type="fixed"/>
        <w:tblCellMar>
          <w:top w:w="28" w:type="dxa"/>
          <w:left w:w="28" w:type="dxa"/>
          <w:bottom w:w="28" w:type="dxa"/>
          <w:right w:w="28" w:type="dxa"/>
        </w:tblCellMar>
      </w:tblPr>
      <w:tblGrid>
        <w:gridCol w:w="2029"/>
        <w:gridCol w:w="1787"/>
        <w:gridCol w:w="1793"/>
        <w:gridCol w:w="211"/>
        <w:gridCol w:w="901"/>
        <w:gridCol w:w="109"/>
        <w:gridCol w:w="109"/>
        <w:gridCol w:w="109"/>
        <w:gridCol w:w="109"/>
        <w:gridCol w:w="211"/>
        <w:gridCol w:w="796"/>
        <w:gridCol w:w="109"/>
        <w:gridCol w:w="109"/>
        <w:gridCol w:w="109"/>
        <w:gridCol w:w="109"/>
        <w:gridCol w:w="211"/>
        <w:gridCol w:w="796"/>
        <w:gridCol w:w="109"/>
        <w:gridCol w:w="154"/>
      </w:tblGrid>
      <w:tr>
        <w:trPr/>
        <w:tc>
          <w:tcPr>
            <w:tcW w:w="2029"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increase (decrease) in cash, cash equivalents and restricted cash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Cash Used in Operating Activities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cash used in operating activities of $21.7 million between the year ended December 31, 2023 and 2022 was primarily due to an increase in our operating expenses, notably for the continued development of bexotegrast and our other pipeline programs. Further, revenue related receipts decreased $6.2 million as we ceased to earn research and development services revenue following the termination of the Novartis Agreement.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Cash Used in Investing Activities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cash used in investing activities of $23.2 million between the year ended December 31, 2023 and 2022 is primarily due to the timing of purchases of short-term investments compared to related maturities during each year.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Cash Provided by Financing Activities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cash provided by financing activities of $47.6 million between the year ended December 31, 2023 and 2022 is primarily due to net proceeds from the Company's January 2023 underwritten public offering.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periods presented, we did not have, nor do we currently have, any off-balance sheet arrangements or holdings in any variable interest entities other than the operating lease commitments described in Note 14 to our financial statements appearing elsewhere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Material Cash Requirements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we had various non-cancelable operating leases for office space and equipment, which expire between December 31, 2023 and March 31, 2031. Refer to Note 13 and Note 14 to our financial statements appearing elsewhere in this Annual Report for a discussion of material obligations and commitments.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enter into contracts in the normal course of business with third-party contract organizations for clinical trials, non-clinical studies and testing, manufacturing and other services and products. These contracts generally provide for termination following a certain period after notice and therefore we believe that our cancellable obligations under these agreements are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Polices and Estimates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of our financial condition and results of operations is based on our financial statements, which have been prepared in accordance with United States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While our significant accounting policies are described in more detail in Note 2 to our financial statements appearing elsewhere in this Annual Report, we believe that the following accounting policies are those most critical to the judgments and estimates used in the preparation of our financial statements.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20" w:after="120"/>
        <w:ind w:left="0" w:right="0" w:firstLine="450"/>
        <w:jc w:val="left"/>
        <w:rPr/>
      </w:pPr>
      <w:r>
        <w:rPr>
          <w:rFonts w:ascii="Times New Roman;sans-serif" w:hAnsi="Times New Roman;sans-serif"/>
          <w:b w:val="false"/>
          <w:color w:val="000000"/>
          <w:sz w:val="20"/>
        </w:rPr>
        <w:t xml:space="preserve">As of December 31, 2023, all of our revenue to date has been generated from the Novartis Agreement. We recognize revenue when our customer obtains control of promised goods or services, in an amount that reflects the consideration which we expect to receive in exchange for those goods or services. To determine the appropriate amount of revenue to be recognized for arrangements determined to be within the scope of Accounting Standards Codification Topic 606, </w:t>
      </w:r>
      <w:r>
        <w:rPr>
          <w:rFonts w:ascii="Times New Roman;sans-serif" w:hAnsi="Times New Roman;sans-serif"/>
          <w:b w:val="false"/>
          <w:i/>
          <w:color w:val="000000"/>
          <w:sz w:val="20"/>
        </w:rPr>
        <w:t xml:space="preserve">Revenue from Contracts with Customers, </w:t>
      </w:r>
      <w:r>
        <w:rPr>
          <w:rFonts w:ascii="Times New Roman;sans-serif" w:hAnsi="Times New Roman;sans-serif"/>
          <w:b w:val="false"/>
          <w:color w:val="000000"/>
          <w:sz w:val="20"/>
        </w:rPr>
        <w:t>("Topic 606") we perform the following five steps: (i) identification of the contract(s) with the customer, (ii) identification of the promised goods or services in the contract and determination of whether the promised goods or services are performance obligations, (iii) measurement of the transaction price, (iv) allocation of the transaction price to the performance obligations, and (v) recognition of revenue when (or as) we satisfy each performance obligation. We only apply the five-step model to contracts when it is probable that we will collect the consideration we are entitled to in exchange for the goods or services we transfer to our customer.</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Identification of the Contracts with the Customers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evaluate every contract to determine whether it in its entirety or in part represent a contract with a customer, or a collaboration agreement and, based on this determination, apply appropriate accounting guidance.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account for a contract with a customer that is within the scope of Topic 606 when all of the following criteria are met: (i) the arrangement has been approved by the parties and the parties are committed to perform their respective obligations, (ii) each party’s rights regarding the goods or services to be transferred can be identified, (iii) the payment terms for the goods or services to be transferred can be identified, (iv) the arrangement has commercial substance and (v) collection of substantially all of the consideration to which we will be entitled in exchange for the goods or services that will be transferred to the customer is probable.</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Identification of the Performance Obligations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promised goods or services in our collaboration and option arrangements consist of license and research and development services. The arrangements also have options for additional items (i.e., license rights). Options are considered to be marketing offers and are to be accounted for as separate contracts when the customer elects such options, unless we determine the option provides a material right which would not be provided without entering into the contract. The determination as to whether such options are material rights requires significant management judgment, and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considers factors such as other similar arrangements, market data and the terms of the contractual arrangement to make such conclusion. Performance obligations are promised goods or services in a contract to transfer a distinct good or service to the customer. Promised goods or services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we consider factors such as the stage of development of the underlying intellectual property, the capabilities of our customer to develop the intellectual property on their own and whether the required expertise is readily available.</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Determination of the Transaction Price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the transaction price based on the amount of consideration we expect to receive for transferring the promised goods or services in the contract. The consideration may include both fixed consideration and variable consideration. At the inception of each arrangement that includes variable consideration, we evaluate the amount of the potential payments and the likelihood that the payments will be received. We utilize either the most likely amount method or expected value method to estimate the transaction price based on which method better predicts the amount of consideration expected to be received. If it is probable that a significant revenue reversal would not occur, the variable consideration is included in the transaction price.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All contingent future payments, which include research, development, regulatory, and sales-based royalty payments, were not considered in the initial analysis, as they were contingent upon options being exercised or were subject to significant risk of achievement.</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Allocation of Transaction Price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allocate the transaction price based on the estimated standalone selling price. We must develop assumptions that require judgment to determine the standalone selling price for each performance obligation identified in the contract. We utilize key assumptions to determine the standalone selling price, which may include other comparable transactions, pricing considered in negotiating the transaction, and the estimated costs. Certain variable consideration is allocated specifically to one or more performance obligations in a contract when the terms of the variable consideration relate to the satisfaction of the performance obligation and the resulting amounts allocated to each performance obligation are consistent with the amounts we would expect to receive for satisfying each performance obligation.</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Recognition of Revenue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revenue at the point in time when distinct, functional licenses are transferred to the licensee and/or over the period of time which we perform research and development services. We utilize a cost-based input method to measure proportional performance, as such costs have direct relationship between our effort and the progress made towards satisfying its performance obligations to Novartis.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Accrued and Prepaid Research and Development Expenses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record accrued expenses for estimated costs of our research and development activities which include the conduct of clinical studies and preclinical studies by third-party service providers. We record the estimated costs of research and development activities based upon the estimated amount of services provided but not yet invoiced and include these costs in accrued liabilities in the balance sheets and within research and development expenses in the statements of operations and comprehensive loss. These costs are a significant component of our research and development expenses. We record accrued expenses for these costs based on factors such as estimates of the work completed and in accordance with agreements established with these third-party service providers. Any payments made in advance of services provided are recorded as prepaid assets, which are expensed as the contracted services are performed.</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the amount of work completed through review of detailed budgets and timelines included in our contracts and agreements, and update these estimates with information obtained from third-party service providers and internal personnel on a quarterly basis. We make significant judgments and estimates in determining the accrued and/or prepaid balance in each reporting period. As actual costs become known, we adjust our estimates. Our accrued expenses and prepaid research and development expenses are dependent, in part, upon the receipt of timely and accurate reporting from contract research organizations, other third-party service providers and internal research and development personnel. If we under estimate or over-estimate the level of services performed or the costs of these services, our accrued expenses could differ from our estimates. For the periods presented, we have experienced no material differences between our accrued expenses and actual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under Note 2 to the financial statements under the caption “Recently Issued Accounting Pronouncements”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operations both within the U.S. and abroad and we are exposed to market risks in the ordinary course of our business. These risks include fluctuations in interest rates and foreign currency exchange rates, and to a lesser extent, inflation risk.</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Interest rate fluctuation risk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exposure to market risk for changes in interest rates relates primarily to our short-term investment portfolio. The primary objective of our short-term investment portfolio is to preserve principal while at the same time maximizing the income we receive from our investments without significantly increasing risk. At December 31, 2023 and 2022, we had cash and cash equivalents, restricted cash and short-term investments of $495.7 million and $331.2 million, respectively, which consisted of cash, money market funds, U.S. Treasury securities, U.S. Government Agency securities, and highly rated investment grade corporate debt securities.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Oxford Loan Agreement, we had a $10.0 million term loan outstanding as of December 31, 2023 which is subject to the movement in interest rates, however the exposure to increased rates is capped at 2.0%.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short-term maturities of our cash equivalents and short-term investments and the cap on the interest rate associated with the Oxford Loan Agreement, an immediate 100 basis point change in interest rates would not have a material effect on our financial condition.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Most of our operating expenses are denominated in U.S. dollars and, as a result, we have not experienced significant foreign currency transaction gains and losses to date. We have limited foreign currency exposure associated with our operating expenses. Our exposures are primarily limited to fluctuations in the Swiss Franc, Canadian dollar and Euro. We do not anticipate that foreign currency transaction gains or losses will be significant at our current level of operations. However, our operations may become subject to more significant fluctuations in foreign currency exchange rates in the future if we continue to contract with vendors outside of the U.S. and expand our operations internationally.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Inflation risk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date, we do not believe that inflation has had a material effect on our business, financial condition, results of operations or future prospects. However, if current inflationary pressures are sustained for a prolonged period of time, the cost projections associated with our development plans may be impacted as well as the success of businesses from which we procure services, which could harm our business, results of operations, financial condition or future prospects.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20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INDEX TO FINANCIAL STATEMENTS</w:t>
      </w:r>
    </w:p>
    <w:tbl>
      <w:tblPr>
        <w:tblW w:w="6822" w:type="dxa"/>
        <w:jc w:val="left"/>
        <w:tblInd w:w="0" w:type="dxa"/>
        <w:tblLayout w:type="fixed"/>
        <w:tblCellMar>
          <w:top w:w="28" w:type="dxa"/>
          <w:left w:w="28" w:type="dxa"/>
          <w:bottom w:w="28" w:type="dxa"/>
          <w:right w:w="28" w:type="dxa"/>
        </w:tblCellMar>
      </w:tblPr>
      <w:tblGrid>
        <w:gridCol w:w="2335"/>
        <w:gridCol w:w="2052"/>
        <w:gridCol w:w="2063"/>
        <w:gridCol w:w="109"/>
        <w:gridCol w:w="109"/>
        <w:gridCol w:w="154"/>
      </w:tblGrid>
      <w:tr>
        <w:trPr/>
        <w:tc>
          <w:tcPr>
            <w:tcW w:w="2335"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82">
              <w:r>
                <w:rPr>
                  <w:rStyle w:val="InternetLink"/>
                  <w:rFonts w:ascii="Times New Roman;sans-serif" w:hAnsi="Times New Roman;sans-serif"/>
                  <w:b w:val="false"/>
                  <w:color w:val="0E32E1"/>
                  <w:sz w:val="20"/>
                  <w:u w:val="single"/>
                </w:rPr>
                <w:t>Report of Independent Registered Public Accounting Firm (PCAOB ID No.</w:t>
              </w:r>
            </w:hyperlink>
            <w:r>
              <w:rPr>
                <w:rFonts w:ascii="Times New Roman;sans-serif" w:hAnsi="Times New Roman;sans-serif"/>
                <w:b w:val="false"/>
                <w:color w:val="0E32E1"/>
                <w:sz w:val="20"/>
              </w:rPr>
              <w:t>34</w:t>
            </w:r>
            <w:hyperlink w:anchor="i82889e23d71e462f9aefd4b0361f55a7_82">
              <w:r>
                <w:rPr>
                  <w:rStyle w:val="InternetLink"/>
                  <w:rFonts w:ascii="Times New Roman;sans-serif" w:hAnsi="Times New Roman;sans-serif"/>
                  <w:b w:val="false"/>
                  <w:color w:val="0E32E1"/>
                  <w:sz w:val="20"/>
                  <w:u w:val="single"/>
                </w:rPr>
                <w: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89e23d71e462f9aefd4b0361f55a7_82">
              <w:r>
                <w:rPr>
                  <w:rStyle w:val="InternetLink"/>
                  <w:rFonts w:ascii="Times New Roman;sans-serif" w:hAnsi="Times New Roman;sans-serif"/>
                  <w:b w:val="false"/>
                  <w:strike w:val="false"/>
                  <w:dstrike w:val="false"/>
                  <w:color w:val="000000"/>
                  <w:sz w:val="20"/>
                  <w:u w:val="none"/>
                  <w:effect w:val="none"/>
                </w:rPr>
                <w:t>87</w:t>
              </w:r>
            </w:hyperlink>
          </w:p>
        </w:tc>
      </w:tr>
      <w:tr>
        <w:trPr/>
        <w:tc>
          <w:tcPr>
            <w:tcW w:w="6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85">
              <w:r>
                <w:rPr>
                  <w:rStyle w:val="InternetLink"/>
                  <w:rFonts w:ascii="Times New Roman;sans-serif" w:hAnsi="Times New Roman;sans-serif"/>
                  <w:b w:val="false"/>
                  <w:color w:val="0000FF"/>
                  <w:sz w:val="20"/>
                  <w:u w:val="single"/>
                </w:rPr>
                <w:t xml:space="preserve">Balance Sheets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89e23d71e462f9aefd4b0361f55a7_85">
              <w:r>
                <w:rPr>
                  <w:rStyle w:val="InternetLink"/>
                  <w:rFonts w:ascii="Times New Roman;sans-serif" w:hAnsi="Times New Roman;sans-serif"/>
                  <w:b w:val="false"/>
                  <w:strike w:val="false"/>
                  <w:dstrike w:val="false"/>
                  <w:color w:val="000000"/>
                  <w:sz w:val="20"/>
                  <w:u w:val="none"/>
                  <w:effect w:val="none"/>
                </w:rPr>
                <w:t>89</w:t>
              </w:r>
            </w:hyperlink>
          </w:p>
        </w:tc>
      </w:tr>
      <w:tr>
        <w:trPr/>
        <w:tc>
          <w:tcPr>
            <w:tcW w:w="6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88">
              <w:r>
                <w:rPr>
                  <w:rStyle w:val="InternetLink"/>
                  <w:rFonts w:ascii="Times New Roman;sans-serif" w:hAnsi="Times New Roman;sans-serif"/>
                  <w:b w:val="false"/>
                  <w:color w:val="000080"/>
                  <w:sz w:val="20"/>
                  <w:u w:val="single"/>
                </w:rPr>
                <w:t xml:space="preserve">Statements of Operations and Comprehensive </w:t>
              </w:r>
            </w:hyperlink>
            <w:hyperlink w:anchor="i82889e23d71e462f9aefd4b0361f55a7_88">
              <w:r>
                <w:rPr>
                  <w:rStyle w:val="InternetLink"/>
                  <w:rFonts w:ascii="Times New Roman;sans-serif" w:hAnsi="Times New Roman;sans-serif"/>
                  <w:b w:val="false"/>
                  <w:color w:val="000080"/>
                  <w:sz w:val="20"/>
                  <w:u w:val="single"/>
                </w:rPr>
                <w:t>Gain</w:t>
              </w:r>
            </w:hyperlink>
            <w:hyperlink w:anchor="i82889e23d71e462f9aefd4b0361f55a7_88">
              <w:r>
                <w:rPr>
                  <w:rStyle w:val="InternetLink"/>
                  <w:rFonts w:ascii="Times New Roman;sans-serif" w:hAnsi="Times New Roman;sans-serif"/>
                  <w:b w:val="false"/>
                  <w:color w:val="000080"/>
                  <w:sz w:val="20"/>
                  <w:u w:val="single"/>
                </w:rPr>
                <w:t xml:space="preserve"> </w:t>
              </w:r>
            </w:hyperlink>
            <w:hyperlink w:anchor="i82889e23d71e462f9aefd4b0361f55a7_88">
              <w:r>
                <w:rPr>
                  <w:rStyle w:val="InternetLink"/>
                  <w:rFonts w:ascii="Times New Roman;sans-serif" w:hAnsi="Times New Roman;sans-serif"/>
                  <w:b w:val="false"/>
                  <w:color w:val="000080"/>
                  <w:sz w:val="20"/>
                  <w:u w:val="single"/>
                </w:rPr>
                <w:t>(</w:t>
              </w:r>
            </w:hyperlink>
            <w:hyperlink w:anchor="i82889e23d71e462f9aefd4b0361f55a7_88">
              <w:r>
                <w:rPr>
                  <w:rStyle w:val="InternetLink"/>
                  <w:rFonts w:ascii="Times New Roman;sans-serif" w:hAnsi="Times New Roman;sans-serif"/>
                  <w:b w:val="false"/>
                  <w:color w:val="000080"/>
                  <w:sz w:val="20"/>
                  <w:u w:val="single"/>
                </w:rPr>
                <w:t>Loss</w:t>
              </w:r>
            </w:hyperlink>
            <w:hyperlink w:anchor="i82889e23d71e462f9aefd4b0361f55a7_88">
              <w:r>
                <w:rPr>
                  <w:rStyle w:val="InternetLink"/>
                  <w:rFonts w:ascii="Times New Roman;sans-serif" w:hAnsi="Times New Roman;sans-serif"/>
                  <w:b w:val="false"/>
                  <w:color w:val="000080"/>
                  <w:sz w:val="20"/>
                  <w:u w:val="single"/>
                </w:rPr>
                <w:t>)</w:t>
              </w:r>
            </w:hyperlink>
            <w:hyperlink w:anchor="i82889e23d71e462f9aefd4b0361f55a7_88">
              <w:r>
                <w:rPr>
                  <w:rStyle w:val="InternetLink"/>
                  <w:rFonts w:ascii="Times New Roman;sans-serif" w:hAnsi="Times New Roman;sans-serif"/>
                  <w:b w:val="false"/>
                  <w:color w:val="000080"/>
                  <w:sz w:val="20"/>
                  <w:u w:val="single"/>
                </w:rPr>
                <w:t xml:space="preserve">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89e23d71e462f9aefd4b0361f55a7_88">
              <w:r>
                <w:rPr>
                  <w:rStyle w:val="InternetLink"/>
                  <w:rFonts w:ascii="Times New Roman;sans-serif" w:hAnsi="Times New Roman;sans-serif"/>
                  <w:b w:val="false"/>
                  <w:strike w:val="false"/>
                  <w:dstrike w:val="false"/>
                  <w:color w:val="000000"/>
                  <w:sz w:val="20"/>
                  <w:u w:val="none"/>
                  <w:effect w:val="none"/>
                </w:rPr>
                <w:t>90</w:t>
              </w:r>
            </w:hyperlink>
          </w:p>
        </w:tc>
      </w:tr>
      <w:tr>
        <w:trPr/>
        <w:tc>
          <w:tcPr>
            <w:tcW w:w="6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91">
              <w:r>
                <w:rPr>
                  <w:rStyle w:val="InternetLink"/>
                  <w:rFonts w:ascii="Times New Roman;sans-serif" w:hAnsi="Times New Roman;sans-serif"/>
                  <w:b w:val="false"/>
                  <w:color w:val="000080"/>
                  <w:sz w:val="20"/>
                  <w:u w:val="single"/>
                </w:rPr>
                <w:t>Statements of Stockholders’ Equity</w:t>
              </w:r>
            </w:hyperlink>
            <w:hyperlink w:anchor="i82889e23d71e462f9aefd4b0361f55a7_91">
              <w:r>
                <w:rPr>
                  <w:rStyle w:val="InternetLink"/>
                  <w:rFonts w:ascii="Times New Roman;sans-serif" w:hAnsi="Times New Roman;sans-serif"/>
                  <w:b w:val="false"/>
                  <w:color w:val="000080"/>
                  <w:sz w:val="20"/>
                  <w:u w:val="single"/>
                </w:rPr>
                <w:t xml:space="preserve">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89e23d71e462f9aefd4b0361f55a7_91">
              <w:r>
                <w:rPr>
                  <w:rStyle w:val="InternetLink"/>
                  <w:rFonts w:ascii="Times New Roman;sans-serif" w:hAnsi="Times New Roman;sans-serif"/>
                  <w:b w:val="false"/>
                  <w:strike w:val="false"/>
                  <w:dstrike w:val="false"/>
                  <w:color w:val="000000"/>
                  <w:sz w:val="20"/>
                  <w:u w:val="none"/>
                  <w:effect w:val="none"/>
                </w:rPr>
                <w:t>91</w:t>
              </w:r>
            </w:hyperlink>
          </w:p>
        </w:tc>
      </w:tr>
      <w:tr>
        <w:trPr/>
        <w:tc>
          <w:tcPr>
            <w:tcW w:w="6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94">
              <w:r>
                <w:rPr>
                  <w:rStyle w:val="InternetLink"/>
                  <w:rFonts w:ascii="Times New Roman;sans-serif" w:hAnsi="Times New Roman;sans-serif"/>
                  <w:b w:val="false"/>
                  <w:color w:val="0000FF"/>
                  <w:sz w:val="20"/>
                  <w:u w:val="single"/>
                </w:rPr>
                <w:t xml:space="preserve">Statements of Cash Flows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89e23d71e462f9aefd4b0361f55a7_94">
              <w:r>
                <w:rPr>
                  <w:rStyle w:val="InternetLink"/>
                  <w:rFonts w:ascii="Times New Roman;sans-serif" w:hAnsi="Times New Roman;sans-serif"/>
                  <w:b w:val="false"/>
                  <w:strike w:val="false"/>
                  <w:dstrike w:val="false"/>
                  <w:color w:val="000000"/>
                  <w:sz w:val="20"/>
                  <w:u w:val="none"/>
                  <w:effect w:val="none"/>
                </w:rPr>
                <w:t>92</w:t>
              </w:r>
            </w:hyperlink>
          </w:p>
        </w:tc>
      </w:tr>
      <w:tr>
        <w:trPr/>
        <w:tc>
          <w:tcPr>
            <w:tcW w:w="6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889e23d71e462f9aefd4b0361f55a7_97">
              <w:r>
                <w:rPr>
                  <w:rStyle w:val="InternetLink"/>
                  <w:rFonts w:ascii="Times New Roman;sans-serif" w:hAnsi="Times New Roman;sans-serif"/>
                  <w:b w:val="false"/>
                  <w:color w:val="0000FF"/>
                  <w:sz w:val="20"/>
                  <w:u w:val="single"/>
                </w:rPr>
                <w:t>Notes to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89e23d71e462f9aefd4b0361f55a7_97">
              <w:r>
                <w:rPr>
                  <w:rStyle w:val="InternetLink"/>
                  <w:rFonts w:ascii="Times New Roman;sans-serif" w:hAnsi="Times New Roman;sans-serif"/>
                  <w:b w:val="false"/>
                  <w:strike w:val="false"/>
                  <w:dstrike w:val="false"/>
                  <w:color w:val="000000"/>
                  <w:sz w:val="20"/>
                  <w:u w:val="none"/>
                  <w:effect w:val="none"/>
                </w:rPr>
                <w:t>93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Pliant Therapeutics, Inc.</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balance sheets of Pliant Therapeutics, Inc. (the "Company") as of December 31, 2023 and 2022, the related statements of operations and comprehensive loss,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spacing w:lineRule="auto" w:line="288" w:before="120" w:after="283"/>
        <w:jc w:val="left"/>
        <w:rPr/>
      </w:pPr>
      <w:r>
        <w:rPr>
          <w:rFonts w:ascii="Times New Roman;sans-serif" w:hAnsi="Times New Roman;sans-serif"/>
          <w:b w:val="false"/>
          <w:color w:val="000000"/>
          <w:sz w:val="20"/>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and our report dated February 27, 2024, expressed an unqualified opinion on the Company's internal control over financial reporting</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Accrued Research and Development and Prepaid Expenses and Other Current Assets – Accrued and Prepaid Research and Development Expenses related to Contract Research Organizations (CROs) — Refer to Notes 2 and 5 to the financial statements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accrued expenses for costs of research and development activities which include the conduct of clinical studies by third-party CRO service providers, based upon the estimated amount of services provided but not yet invoiced. Any payments made in advance of services provided are recorded as prepaid assets, which are expensed as the contracted services are performed. The Company estimates the amount of work completed through review of detailed budgets and timelines included in its contracts and agreements, and updates these estimates with information obtained from third-party service providers and internal personnel on a quarterly basis.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Given the significant judgments made by management in estimating the progress or stage of completion of the services, auditing the Company’s accrued and prepaid research and development expenses related to CROs was especially challenging. Specifically, because the amount of accrued and prepaid research and development expenses is dependent on management’s receipt of timely and accurate reporting from third-party service providers, management’s estimates of work completed as of the balance sheet date, and management’s estimates of the period over which this work will be performed,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auditing accrued and prepaid research and development expenses related to CROs required a high degree of auditor judgment and an increased extent of effort.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procedures related to the Company’s accrued and prepaid research and development expenses included the following, among others: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We tested the effectiveness of controls over the estimation of accrued and prepaid research and development expenses related to CROs.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For a sample of agreements and contracts, we read the related statement of work, purchase order, and inspected information the Company received from its third-party service providers. We tested the accuracy and completeness of the underlying information used in the estimates and evaluated the significant assumptions that are used by management to estimate the recorded amounts by performing the following procedures: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Performed corroborating inquiries with the Company’s research and development personnel that oversee the contract research organization’s studies to obtain information regarding the nature and extent of progress of the clinical studies.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Obtained written confirmations directly from the Company’s third-party service providers regarding the accuracy and completeness of contracted amounts and percentage of completion.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Evaluated management’s judgments using the evidence obtained.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For a sample of agreements and contracts, we obtained the corresponding invoices and evidence of payment to test the Company’s disbursements made to third-party service providers as of December 31, 2023.</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We compared invoices received by the Company subsequent to December 31, 2023 to the accrued research and development expenses related to CROs recognized by the Company as of that date.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Deloitte &amp; Touche LLP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San Francisco, California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27, 2024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Balance Sheets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number of shares and per share amounts)</w:t>
      </w:r>
    </w:p>
    <w:tbl>
      <w:tblPr>
        <w:tblW w:w="10205" w:type="dxa"/>
        <w:jc w:val="left"/>
        <w:tblInd w:w="0" w:type="dxa"/>
        <w:tblLayout w:type="fixed"/>
        <w:tblCellMar>
          <w:top w:w="28" w:type="dxa"/>
          <w:left w:w="28" w:type="dxa"/>
          <w:bottom w:w="28" w:type="dxa"/>
          <w:right w:w="28" w:type="dxa"/>
        </w:tblCellMar>
      </w:tblPr>
      <w:tblGrid>
        <w:gridCol w:w="2871"/>
        <w:gridCol w:w="2366"/>
        <w:gridCol w:w="2303"/>
        <w:gridCol w:w="211"/>
        <w:gridCol w:w="826"/>
        <w:gridCol w:w="109"/>
        <w:gridCol w:w="109"/>
        <w:gridCol w:w="109"/>
        <w:gridCol w:w="109"/>
        <w:gridCol w:w="211"/>
        <w:gridCol w:w="826"/>
        <w:gridCol w:w="155"/>
      </w:tblGrid>
      <w:tr>
        <w:trPr/>
        <w:tc>
          <w:tcPr>
            <w:tcW w:w="2871"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(Note 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340,311 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(Note 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(Note 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37,271 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13)</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10,000,000 shares authorized at December 31, 2023 and 2022, none issued or outstanding at December 31, 2023 and 2022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300,000,000 shares authorized at December 31, 2023 and 2022; and 59,921,002 and 48,941,254 shares issued and outstanding at December 31, 2023 and December 31, 2022,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653,707 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gain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350,613 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Statements of Operations and Comprehensive Gain (Loss)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number of shares and per share amounts)</w:t>
      </w:r>
    </w:p>
    <w:tbl>
      <w:tblPr>
        <w:tblW w:w="10205" w:type="dxa"/>
        <w:jc w:val="center"/>
        <w:tblInd w:w="0" w:type="dxa"/>
        <w:tblLayout w:type="fixed"/>
        <w:tblCellMar>
          <w:top w:w="28" w:type="dxa"/>
          <w:left w:w="28" w:type="dxa"/>
          <w:bottom w:w="28" w:type="dxa"/>
          <w:right w:w="28" w:type="dxa"/>
        </w:tblCellMar>
      </w:tblPr>
      <w:tblGrid>
        <w:gridCol w:w="2168"/>
        <w:gridCol w:w="1849"/>
        <w:gridCol w:w="1865"/>
        <w:gridCol w:w="211"/>
        <w:gridCol w:w="896"/>
        <w:gridCol w:w="109"/>
        <w:gridCol w:w="109"/>
        <w:gridCol w:w="109"/>
        <w:gridCol w:w="109"/>
        <w:gridCol w:w="211"/>
        <w:gridCol w:w="896"/>
        <w:gridCol w:w="109"/>
        <w:gridCol w:w="109"/>
        <w:gridCol w:w="109"/>
        <w:gridCol w:w="109"/>
        <w:gridCol w:w="240"/>
        <w:gridCol w:w="841"/>
        <w:gridCol w:w="156"/>
      </w:tblGrid>
      <w:tr>
        <w:trPr/>
        <w:tc>
          <w:tcPr>
            <w:tcW w:w="2168"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(105,107)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(97,535)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(97,263)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in computing net loss per share - basic and diluted</w:t>
            </w:r>
          </w:p>
        </w:tc>
        <w:tc>
          <w:tcPr>
            <w:tcW w:w="11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58,719,083 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42,015,908 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35,846,421 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(loss) on short-term investments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gain (loss)</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(97,432)</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200" w:after="283"/>
        <w:ind w:left="0" w:right="0" w:firstLine="360"/>
        <w:jc w:val="left"/>
        <w:rPr/>
      </w:pPr>
      <w:r>
        <w:rPr/>
      </w:r>
    </w:p>
    <w:p>
      <w:pPr>
        <w:pStyle w:val="TextBody"/>
        <w:bidi w:val="0"/>
        <w:spacing w:lineRule="auto" w:line="288"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Statements of Stockholders’ Equity</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number of shares and per share amounts)</w:t>
      </w:r>
    </w:p>
    <w:tbl>
      <w:tblPr>
        <w:tblW w:w="10205" w:type="dxa"/>
        <w:jc w:val="left"/>
        <w:tblInd w:w="0" w:type="dxa"/>
        <w:tblLayout w:type="fixed"/>
        <w:tblCellMar>
          <w:top w:w="28" w:type="dxa"/>
          <w:left w:w="28" w:type="dxa"/>
          <w:bottom w:w="28" w:type="dxa"/>
          <w:right w:w="28" w:type="dxa"/>
        </w:tblCellMar>
      </w:tblPr>
      <w:tblGrid>
        <w:gridCol w:w="675"/>
        <w:gridCol w:w="350"/>
        <w:gridCol w:w="351"/>
        <w:gridCol w:w="109"/>
        <w:gridCol w:w="109"/>
        <w:gridCol w:w="109"/>
        <w:gridCol w:w="540"/>
        <w:gridCol w:w="541"/>
        <w:gridCol w:w="211"/>
        <w:gridCol w:w="109"/>
        <w:gridCol w:w="109"/>
        <w:gridCol w:w="109"/>
        <w:gridCol w:w="275"/>
        <w:gridCol w:w="333"/>
        <w:gridCol w:w="143"/>
        <w:gridCol w:w="109"/>
        <w:gridCol w:w="109"/>
        <w:gridCol w:w="109"/>
        <w:gridCol w:w="211"/>
        <w:gridCol w:w="826"/>
        <w:gridCol w:w="109"/>
        <w:gridCol w:w="109"/>
        <w:gridCol w:w="109"/>
        <w:gridCol w:w="109"/>
        <w:gridCol w:w="289"/>
        <w:gridCol w:w="866"/>
        <w:gridCol w:w="151"/>
        <w:gridCol w:w="109"/>
        <w:gridCol w:w="109"/>
        <w:gridCol w:w="109"/>
        <w:gridCol w:w="211"/>
        <w:gridCol w:w="842"/>
        <w:gridCol w:w="109"/>
        <w:gridCol w:w="109"/>
        <w:gridCol w:w="109"/>
        <w:gridCol w:w="109"/>
        <w:gridCol w:w="211"/>
        <w:gridCol w:w="842"/>
        <w:gridCol w:w="157"/>
      </w:tblGrid>
      <w:tr>
        <w:trPr/>
        <w:tc>
          <w:tcPr>
            <w:tcW w:w="67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 xml:space="preserve">(Loss) Gain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r>
      <w:tr>
        <w:trPr/>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3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35,552,795 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283,061 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benefit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427,342 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103,164 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(97,263)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36,083,301 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199,059 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in a public offering, net of offering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12,432,432 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benefit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403,680 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(123,321)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48,941,254 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313,342 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in a public offering, net of offering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9,583,334 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benefit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1,396,414 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(161,336)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59,921,002 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972,973 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473,576 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financial statements.</w:t>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Statements of Cash Flows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296"/>
        <w:gridCol w:w="1971"/>
        <w:gridCol w:w="1987"/>
        <w:gridCol w:w="211"/>
        <w:gridCol w:w="803"/>
        <w:gridCol w:w="109"/>
        <w:gridCol w:w="109"/>
        <w:gridCol w:w="109"/>
        <w:gridCol w:w="109"/>
        <w:gridCol w:w="196"/>
        <w:gridCol w:w="803"/>
        <w:gridCol w:w="109"/>
        <w:gridCol w:w="109"/>
        <w:gridCol w:w="109"/>
        <w:gridCol w:w="109"/>
        <w:gridCol w:w="196"/>
        <w:gridCol w:w="713"/>
        <w:gridCol w:w="157"/>
      </w:tblGrid>
      <w:tr>
        <w:trPr/>
        <w:tc>
          <w:tcPr>
            <w:tcW w:w="2296"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(97,263)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expense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expense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amortization on short-term investments and debt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(75,443)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short-term investments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(219,887)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Maturity of short-term investments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295,539 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investing activities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73,699 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common stock in a public offering</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issuances of common stock under benefit plans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offering costs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debt issuance costs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term loan</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period</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51,665 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of cash flow information:</w:t>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 of cash, cash equivalents, and restricted cash reported in the balance sheets</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cash, cash equivalents, and restricted cash shown in the statements of cash flows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51,665 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of noncash investing and financing activities:</w:t>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gain(loss) on short-term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 in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restricted stock awards from liabilities to common stock upon vesting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of cash flow information related to leases:</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operating lease liabilities in operating cash flows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new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 in right-of -use assets and liabilities from lease modifications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1.Organization and Description of Business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Pliant Therapeutics, Inc. (the “Company” or "Pliant" or “we” or “our” or “us”) is a late stage clinical stage biopharmaceutical company focused on discovering and developing novel therapies for the treatment of fibrosis with an initial focus on treating fibrosis by inhibiting integrin-mediated activation of TGF-β. Fibrosis refers to the abnormal thickening and scarring of connective tissue due to the production and deposition of excess collagen in the extra-cellular matrix. Fibrosis can occur in many different tissues including lung, liver, kidney, muscle, skin and the GI tract, and often causes severe and debilitating disease leading to organ failure. The Company is located in South San Francisco, California, and was incorporated in the state of Delaware in June 2015.</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Public Offerings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July 2022, the Company completed a public offering of 12,432,432 shares of common stock, including the exercise in full of the underwriters' option to purchase 1,621,621 additional shares of common stock. The shares were offered at a price of $18.50 per share, resulting in aggregate proceeds of approximately $215.4 million, net of underwriting discounts, commissions and offering expenses.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the Company completed a public offering of 9,583,334 shares of common stock, including the exercise in full of the underwriters' option to purchase 1,250,000 additional shares of common stock. The shares were offered at a price of $30.00 per share, resulting in aggregate proceeds of approximately $269.8 million, net of underwriting discounts, commissions and offering expenses payable by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left"/>
        <w:rPr/>
      </w:pPr>
      <w:r>
        <w:rPr>
          <w:rFonts w:ascii="Times New Roman;sans-serif" w:hAnsi="Times New Roman;sans-serif"/>
          <w:b/>
          <w:color w:val="000000"/>
          <w:sz w:val="20"/>
        </w:rPr>
        <w:t>2.</w:t>
      </w:r>
      <w:r>
        <w:rPr>
          <w:color w:val="000000"/>
        </w:rPr>
        <w:t xml:space="preserve"> </w:t>
      </w:r>
      <w:r>
        <w:rPr>
          <w:rFonts w:ascii="Times New Roman;sans-serif" w:hAnsi="Times New Roman;sans-serif"/>
          <w:b/>
          <w:color w:val="000000"/>
          <w:sz w:val="20"/>
        </w:rPr>
        <w:t>Summary of Significant Accounting Policies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financial statements have been prepared in conformity with accounting principles generally accepted in the United States of America (“U.S. GAAP”). Certain prior year reported amounts have been reclassified to conform with the current period presentation.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liabilities, and expenses as well as the disclosure of contingent assets and liabilities in the financial statements and accompanying notes. On an ongoing basis, management evaluates its estimates, including those related to revenue recognition, accruals for research and development costs, fair value of assets, stock-based compensation, income taxes and uncertain tax positions. Management bases its estimates on historical experience and on various other market-specific and relevant assumptions that management believes to be reasonable under the circumstances, however, actual results may differ from those estimates.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20" w:after="120"/>
        <w:ind w:left="0" w:right="0" w:firstLine="450"/>
        <w:jc w:val="left"/>
        <w:rPr/>
      </w:pPr>
      <w:r>
        <w:rPr>
          <w:rFonts w:ascii="Times New Roman;sans-serif" w:hAnsi="Times New Roman;sans-serif"/>
          <w:b w:val="false"/>
          <w:color w:val="000000"/>
          <w:sz w:val="20"/>
        </w:rPr>
        <w:t xml:space="preserve">The Company accounts for revenues in accordance with Accounting Standards Codification Topic 606, </w:t>
      </w:r>
      <w:r>
        <w:rPr>
          <w:rFonts w:ascii="Times New Roman;sans-serif" w:hAnsi="Times New Roman;sans-serif"/>
          <w:b w:val="false"/>
          <w:i/>
          <w:color w:val="000000"/>
          <w:sz w:val="20"/>
        </w:rPr>
        <w:t>Revenue from Contracts with Customers (</w:t>
      </w:r>
      <w:r>
        <w:rPr>
          <w:rFonts w:ascii="Times New Roman;sans-serif" w:hAnsi="Times New Roman;sans-serif"/>
          <w:b w:val="false"/>
          <w:color w:val="000000"/>
          <w:sz w:val="20"/>
        </w:rPr>
        <w:t xml:space="preserve">Topic 606). To determine revenue recognition for arrangements that fall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 We only apply the five-step model to contracts when it is probable that we will collect the consideration we are entitled to in exchange for the goods or services we transfer to the customer.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contract inception, we assess the goods or services promised within each contract,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 To date, our revenues have been generated solely from the Collaboration and License Agreement with Novartis (the “Novartis Agreement”). The Novartis Agreement includes licenses of intellectual property, cost reimbursements, research and development services, upfront signing fees, milestone payments and royalties on future licensee’s product sales.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accounting for this arrangement, we must apply judgment to determine whether the performance obligations are distinct, and develop assumptions in determining the stand-alone selling price for each distinct performance obligation identified in the contract. To determine the stand-alone selling price, we rely on assumptions which may include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forecasted revenues, development timelines, reimbursement rates for personnel costs, discount rates and probabilities of technical and regulatory success.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Licenses of Intellectual Property</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the license to our intellectual property is determined to be distinct from the other performance obligations identified in the arrangement, we recognize revenues from non-refundable, up-front fees allocated to the license when the license is transferred to the licensee and the licensee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revenues. We evaluate the measure of progress each reporting period and, if necessary, adjust the measure of performance and related revenue recognition.</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Milestone Payments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the inception of an arrangement that includes development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The transaction price is then allocated to each performance obligation on a relative stand-alone selling price basis, for which we recognize revenue as or when the performance obligations under the contract are satisfied. At the end of each reporting period, we re-evaluate the probability of achievement of such development milestones and any related constraint and, if necessary, adjust our estimate of the overall transaction price. Any such adjustments are recorded on a cumulative catch-up basis, which would affect collaboration and license revenue in the period of adjustment.</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Research and development services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Amounts related to research and development services are recognized as the related services or activities are performed, in accordance with the contract terms. The cost associated with full-time equivalent researchers is estimated each period and billable to Novartis based at specified full-time equivalent rates.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Royalties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sales-based royalties, including milestone payments based on the level of sales, are considered to be predominately related to the license included in the arrangement, and we will recognize revenue at the later of (i) when the related sales occur, or (ii) when the performance obligation to which some or all of the royalty has been allocated has been satisfied (or partially satisfied). To date, we have not recognized any royalty revenue from the Novartis Agreement.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contract assets when we have a right to consideration in exchange for goods or services that the Company has transferred to a customer when that right is conditional on something other than the passage of time. A receivable will be recorded on the balance sheet when the Company has unconditional rights to consideration (i.e., only the passage of time is required before payment becomes due). A contract liability is an obligation to transfer goods or services for which the Company has received consideration, or for which an amount of consideration is due from the customer. Receivables cannot be netted against contract liabilities and would be presented separately from contract assets. Contract assets and contract liabilities are netted at the contract level.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defines fair value as the price that would be received from selling an asset or paid to transfer a liability in an orderly transaction between market participants at the measurement date. When determining the fair value measurements for assets and liabilities which are required to be recorded at fair value, the Company considers the principal or most advantageous market in which to transact and the market-based risk. Fair value accounting is applied for all financial assets and liabilities and non-financial assets and liabilities that are recognized or disclosed at fair value in the financial statements on a recurring basis. The carrying amount of the Company’s financial instruments, including cash and cash equivalents, tax credit receivable, accounts receivable, prepaid expenses and other current assets, accounts payable and accrued liabilities approximate fair value due to their short-term maturities.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 and Other Risks and Uncertainties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that potentially subject the Company to a concentration of credit risk consist of cash and cash equivalents, short-term investments and accounts receivable. The Company invests in money market funds, U.S. Treasury securities, government notes and corporate debt securities. The Company limits its credit risk associated with its cash and cash equivalents by placing them with banks and institutions it believes are highly credit worthy and in highly rated investments. However, the Company had deposits in excess of the Federal Deposit Insurance Corporation (“FDIC”)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insured limit of $250,000. The Company performs credit evaluations of its customer, and the risk with respect to accounts receivable is further mitigated by the short duration of customer payment terms, generally within 60 days, and the pedigree of the customer base. During the years ended December 31, 2023, 2022 and 2021, Novartis accounted for 100% of the Company’s revenue and accounts receivable.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future results of operations involve several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product candidates, uncertainty of market acceptance of the Company’s product candidates, competition from substitute products, including those that may be developed or marketed by larger companies, securing and protecting intellectual property, strategic relationships and dependence on key individuals and sole source suppliers.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Segments</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The Company operates and manages its business as one reportable and operating segment, which is the business of developing and commercializing novel therapies for fibrotic diseases. The Company’s chief executive officer, who is the chief operating decision maker, reviews financial information on an aggregate basis for allocating and evaluating financial performance. The single operating segment constitutes all of the Company activity, the chief operating decision maker regularly reviews the entity-wide operating results and performance</w:t>
      </w:r>
      <w:r>
        <w:rPr>
          <w:rFonts w:ascii="Times New Roman;sans-serif" w:hAnsi="Times New Roman;sans-serif"/>
          <w:b w:val="false"/>
          <w:color w:val="EE2724"/>
          <w:sz w:val="22"/>
        </w:rPr>
        <w:t>.</w:t>
      </w:r>
      <w:r>
        <w:rPr>
          <w:color w:val="EE2724"/>
        </w:rPr>
        <w:t xml:space="preserve"> </w:t>
      </w:r>
      <w:r>
        <w:rPr>
          <w:rFonts w:ascii="Times New Roman;sans-serif" w:hAnsi="Times New Roman;sans-serif"/>
          <w:b w:val="false"/>
          <w:color w:val="000000"/>
          <w:sz w:val="20"/>
        </w:rPr>
        <w:t>All long-lived assets are maintained in the United States of America.</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purchased with original maturities of three months or less from the purchase date to be cash equivalents. Cash equivalents consist primarily of amounts invested in Money Market Funds, United States (“U.S.”) treasury securities, U.S. government agency securities and corporate debt securities and are stated at fair value.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Restricted Cash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restricted cash balance of $1.4 million as of December 31, 2023 represented cash required to be held as collateral by a financial institution to guarantee lease payments due to our landlord at Oyster Point Blvd, South San Francisco, California (the "Oyster Point Lease").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Short-Term Investments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short-term investments consist of U.S. Treasury securities, U.S. government agency securities and corporate debt securities with remaining maturities beyond three months at the date of purchase. The Company has classified and accounted for its short-term investments as available-for-sale securities as the Company may sell these securities at any time even prior to maturity and such investments represent cash available for current operations. As a result, short-term investments may include securities with maturities beyond twelve months that are classified within current assets in the Balance Sheets. As of December 31, 2023 and 2022, all of the Company’s short-term investments were classified as available-for-sale and were carried at fair market value with unrealized losses recorded in other comprehensive gain (loss) in the statements of operations and comprehensive loss. See Note 3 for further details.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an allowance for credit losses using an expected loss model. Credit losses are limited to the amount by which the amortized cost of an investment exceeds its fair value. A previously recognized credit loss may be decreased in subsequent periods if the Company’s estimate of fair value for the investment increases. To determine whether to record a credit loss, the Company considers issuer specific credit ratings and historical losses as well as current economic conditions and its expectations for future economic conditions. The Company has not recorded any credit losses during the three years ended December 31, 2023, 2022 and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recorded at cost net of accumulated depreciation and amortization. Property and equipment are depreciated using the straight-line method over the estimated useful lives of the assets. The useful lives of property and equipment are as follows:</w:t>
      </w:r>
    </w:p>
    <w:tbl>
      <w:tblPr>
        <w:tblW w:w="7468" w:type="dxa"/>
        <w:jc w:val="left"/>
        <w:tblInd w:w="0" w:type="dxa"/>
        <w:tblLayout w:type="fixed"/>
        <w:tblCellMar>
          <w:top w:w="28" w:type="dxa"/>
          <w:left w:w="28" w:type="dxa"/>
          <w:bottom w:w="28" w:type="dxa"/>
          <w:right w:w="28" w:type="dxa"/>
        </w:tblCellMar>
      </w:tblPr>
      <w:tblGrid>
        <w:gridCol w:w="1054"/>
        <w:gridCol w:w="926"/>
        <w:gridCol w:w="929"/>
        <w:gridCol w:w="1331"/>
        <w:gridCol w:w="1331"/>
        <w:gridCol w:w="1897"/>
      </w:tblGrid>
      <w:tr>
        <w:trPr/>
        <w:tc>
          <w:tcPr>
            <w:tcW w:w="10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45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45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9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45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Shorter of remaining lease term or estimated useful life</w:t>
            </w:r>
          </w:p>
        </w:tc>
      </w:tr>
    </w:tbl>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Upon retirement or sale of the assets, the cost and related accumulated depreciation and amortization are removed from the balance sheets and the resulting gain or loss is recorded to the statements of operations and comprehensive loss. Repairs and maintenance are expensed as incurred.</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contains a lease at the inception of the contract and a records right-of-use (“ROU”) asset and lease liability on the balance sheet at lease commencement based on the present value of remaining lease payments over the lease term. The Company only considers payments that are fixed and determinable at the time of commencement.</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leases with an initial term greater than 12 months, lease liabilities are recognized based on the present value of the future minimum lease payments discounted by the Company’s estimated incremental borrowing rate. The Company measures ROU assets based on the corresponding lease liability adjusted for (i) payments made to the lessor at or before the commencement date, (ii) initial direct costs incurred and (iii) tenant incentives under the lease. The Company’s lease terms may include options to extend or terminate the lease when it is reasonably certain that it will exercise that option. Lease expense for minimum lease payments is recognized on a straight-line basis over the lease term.</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calculates the present value of future minimum lease payments using its estimated incremental borrowing rate when the discount rate implicit in the lease is not known. The incremental borrowing rate is the rate of interest that a lessee would have to pay to borrow on a collateralized basis over a similar term at an amount equal to the lease payments in a similar economic environment. In determining its incremental borrowing rate, the Company gives consideration to its credit risk, term of the lease, total lease payments and an analysis of peer companies with profiles similar to its own.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the short-term lease practical expedient to exclude leases with a term less than 12 months from its ROU assets and lease liabilities. The Company records rent expense for short-term leases in its statements of operations on a straight-line basis over the lease term and records variable lease payments as incurred. The Company has also elected to not separate lease and non-lease components and, as a result, accounts for any lease and non-lease components as a single lease component.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are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the carrying amount of an asset exceeds its estimated future cash flows, an impairment charge is recognized by the amount by which the carrying amount of the asset exceeds the fair value of the asset. There was no impairment of long-lived assets during the years ended December 31, 2023, 2022 and 2021.</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costs are expensed as incurred. Research and development expenses consist primarily of personnel costs for the Company’s research and development employees. Also included are non-personnel costs such as fees paid to consultants and third parties for preclinical and clinical studies, research and development services, laboratory supplies and equipment maintenance costs, license costs, contract manufacturing costs and allocations of facility related costs. The Company estimates preclinical and clinical studies and research expenses based on the services performed, pursuant to contracts with research institutions that conduct and manage preclinical and clinical studies and research services on its behalf. We estimate the amount of work completed through review of detailed budgets and timelines included in our contracts and agreements, and update these estimates with information obtained from third-party service providers and internal personnel on a quarterly basis. If the actual timing of the performance of services or the level of effort varies from the original estimates, the Company will adjust the accrual accordingly. Payments made to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under these arrangements in advance of the performance of the related services are recorded as prepaid expenses and are expensed as services are rendered.</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Payments associated with licensing agreements to acquire exclusive licenses to develop, use, manufacture and commercialize products that have not reached technological feasibility and do not have alternate commercial use are expensed as incurred.</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stock-based equity awards include restricted stock awards, stock options, restricted stock units ("RSUs") and performance-based restricted stock units ("PSUs"), issued under the Company's 2020 Stock Option and Incentive Plan (the “2020 Plan”), 2022 Inducement Plan ("Inducement Plan") and shares issued under the Company’s 2020 Employee Stock Purchase Plan (“ESPP”). Stock-based compensation for awards that are granted to employees is accounted at fair value on the award grant date and the expense is recognized over the period the employee is required to provide service in exchange for the award, which is generally on a straight-line basis over the vesting period of the award. The expense is recorded in either research and development or general and administrative expenses in the statements of operations and comprehensive loss based on the function to which the related services are provided. Forfeitures are accounted for as they occur.</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utilizes the Monte Carlo simulation model with significant inputs including volatility and closing price of stock on grant for estimating the fair value of equity awards with market-based vesting conditions and uses the closing price of common stock on the date of grant for PSUs and RSUs with a performance or service-based vesting condition.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Black-Scholes option-pricing model, used to estimate fair value of stock options with service-based vesting conditions, requires the use of the following assumptions: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i/>
          <w:color w:val="000000"/>
          <w:sz w:val="20"/>
        </w:rPr>
        <w:t>Expected term</w:t>
      </w:r>
      <w:r>
        <w:rPr>
          <w:color w:val="000000"/>
        </w:rPr>
        <w:t>—</w:t>
      </w:r>
      <w:r>
        <w:rPr>
          <w:rFonts w:ascii="Times New Roman;sans-serif" w:hAnsi="Times New Roman;sans-serif"/>
          <w:b w:val="false"/>
          <w:color w:val="000000"/>
          <w:sz w:val="20"/>
        </w:rPr>
        <w:t>The expected term represents the period that the stock-based awards are expected to be outstanding. The expected term for the Company’s stock options was calculated utilizing the simplified method, which represents the average of the weighted-average vesting term and the contract period of the awards. The expected term for the ESPP is the offering period.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i/>
          <w:color w:val="000000"/>
          <w:sz w:val="20"/>
        </w:rPr>
        <w:t>Expected volatility</w:t>
      </w:r>
      <w:r>
        <w:rPr>
          <w:color w:val="000000"/>
        </w:rPr>
        <w:t>—</w:t>
      </w:r>
      <w:r>
        <w:rPr>
          <w:rFonts w:ascii="Times New Roman;sans-serif" w:hAnsi="Times New Roman;sans-serif"/>
          <w:b w:val="false"/>
          <w:color w:val="000000"/>
          <w:sz w:val="20"/>
        </w:rPr>
        <w:t>Prior to the Company being public, the Company did not have any trading history for its common stock, the expected volatility was estimated based on the average historical volatilities of common stock of comparable publicly traded entities over a period equal to the expected term of the stock option grants. The comparable companies were chosen based on their size, stage in the life cycle or area of specialty. As the Company went public in June 2020, the Company will continue to apply this process for stock options and ESPP awards until enough historical information regarding the volatility of its stock price becomes available.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i/>
          <w:color w:val="000000"/>
          <w:sz w:val="20"/>
        </w:rPr>
        <w:t>Risk-free interest rate</w:t>
      </w:r>
      <w:r>
        <w:rPr>
          <w:color w:val="000000"/>
        </w:rPr>
        <w:t>—</w:t>
      </w:r>
      <w:r>
        <w:rPr>
          <w:rFonts w:ascii="Times New Roman;sans-serif" w:hAnsi="Times New Roman;sans-serif"/>
          <w:b w:val="false"/>
          <w:color w:val="000000"/>
          <w:sz w:val="20"/>
        </w:rPr>
        <w:t>The risk-free interest rate is based on the U.S. Treasury yield in effect at the time of grant for zero-coupon U.S. Treasury notes with maturities approximately equal to the expected term of the awards.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i/>
          <w:color w:val="000000"/>
          <w:sz w:val="20"/>
        </w:rPr>
        <w:t>Expected dividend</w:t>
      </w:r>
      <w:r>
        <w:rPr>
          <w:color w:val="000000"/>
        </w:rPr>
        <w:t>—</w:t>
      </w:r>
      <w:r>
        <w:rPr>
          <w:rFonts w:ascii="Times New Roman;sans-serif" w:hAnsi="Times New Roman;sans-serif"/>
          <w:b w:val="false"/>
          <w:color w:val="000000"/>
          <w:sz w:val="20"/>
        </w:rPr>
        <w:t>The Company has never paid dividends on the common stock and has no plans to pay dividends on the common stock. Therefore, the Company used an expected dividend yield of zero.</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provides for income taxes under the asset and liability method. Current income tax expense or benefit represents the amount of income taxes expected to be payable or refundable for the current year. Deferred income tax assets and liabilities are determined based on differences between the financial statement reporting and tax basis of assets and liabilities and net operating loss and credit carryforwards and are measured using the enacted tax rates and laws that will be in effect when such items are expected to reverse. Deferred income tax assets are reduced, as necessary, by a valuation allowance when management determines it is more likely than not that some or all the tax benefits will not be realized.</w:t>
      </w:r>
    </w:p>
    <w:p>
      <w:pPr>
        <w:pStyle w:val="TextBody"/>
        <w:bidi w:val="0"/>
        <w:spacing w:lineRule="auto" w:line="288" w:before="120" w:after="120"/>
        <w:ind w:left="0" w:right="0" w:firstLine="450"/>
        <w:jc w:val="left"/>
        <w:rPr/>
      </w:pPr>
      <w:r>
        <w:rPr>
          <w:rFonts w:ascii="Times New Roman;sans-serif" w:hAnsi="Times New Roman;sans-serif"/>
          <w:b w:val="false"/>
          <w:color w:val="000000"/>
          <w:sz w:val="20"/>
        </w:rPr>
        <w:t>The Company accounts for uncertain tax positions in accordance with ASC No. 740</w:t>
      </w:r>
      <w:r>
        <w:rPr>
          <w:rFonts w:ascii="Times New Roman;sans-serif" w:hAnsi="Times New Roman;sans-serif"/>
          <w:b w:val="false"/>
          <w:i/>
          <w:color w:val="000000"/>
          <w:sz w:val="20"/>
        </w:rPr>
        <w:t>, Income Taxes</w:t>
      </w:r>
      <w:r>
        <w:rPr>
          <w:rFonts w:ascii="Times New Roman;sans-serif" w:hAnsi="Times New Roman;sans-serif"/>
          <w:b w:val="false"/>
          <w:color w:val="000000"/>
          <w:sz w:val="20"/>
        </w:rPr>
        <w:t xml:space="preserve">. 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measurement of tax benefits requires significant judgment. Judgments concerning the recognition and measurement of a tax benefit might change as new information becomes available.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includes any penalties and interest expense related to income taxes as a component of income tax expense, as necessary.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Comprehensive Loss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loss includes net loss as well as other changes in stockholders' equity that result from transactions and economic events other than those with stockholders. The Company's comprehensive gain (loss) represents unrealized losses on short-term investments.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Interest and other income(expense)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includes interest income from our short-term investment portfolio.</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Net Loss Per Share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computed by dividing net loss attributed to common stockholders by the weighted-average number of shares of common stock outstanding during the period. Diluted net loss per share is computed using the weighted-average number of shares of common stock outstanding during the period and, if dilutive, the weighted-average number of potential shares of common stock.</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equivalent shares are excluded from the computation of diluted net loss or income per share if their effect is antidilutive. In periods in which the Company reports a net loss attributable to common stockholders, diluted net loss per share attributable to common stockholders is generally the same as basic net loss per share attributable to common stockholders since dilutive common shares are not assumed to have been issued if their effect is antidilutive. The Company reported a net loss attributable to common stockholders during the years ended December 31, 2023, 2022 and 2021.</w:t>
      </w:r>
    </w:p>
    <w:p>
      <w:pPr>
        <w:pStyle w:val="TextBody"/>
        <w:bidi w:val="0"/>
        <w:spacing w:lineRule="auto" w:line="288" w:before="18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Recently Adopted Accounting Pronouncements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No. 2023-07, Segment Reporting (Topic 280), or Topic 280, which improve reportable segment disclosure requirements, primarily through enhanced disclosures about significant segment expenses. We adopted the provisions of Topic 280 and the adoption did not have a material impact to our financial statements.</w:t>
      </w:r>
    </w:p>
    <w:p>
      <w:pPr>
        <w:pStyle w:val="TextBody"/>
        <w:bidi w:val="0"/>
        <w:spacing w:lineRule="auto" w:line="288" w:before="18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Recently Announced Accounting Pronouncements </w:t>
      </w:r>
    </w:p>
    <w:p>
      <w:pPr>
        <w:pStyle w:val="TextBody"/>
        <w:bidi w:val="0"/>
        <w:spacing w:lineRule="auto" w:line="288" w:before="120" w:after="283"/>
        <w:ind w:left="0" w:right="0" w:firstLine="450"/>
        <w:jc w:val="left"/>
        <w:rPr/>
      </w:pPr>
      <w:r>
        <w:rPr>
          <w:rFonts w:ascii="Calibri;sans-serif" w:hAnsi="Calibri;sans-serif"/>
          <w:b w:val="false"/>
          <w:color w:val="000000"/>
          <w:sz w:val="20"/>
        </w:rPr>
        <w:t>I</w:t>
      </w:r>
      <w:r>
        <w:rPr>
          <w:rFonts w:ascii="Times New Roman;sans-serif" w:hAnsi="Times New Roman;sans-serif"/>
          <w:b w:val="false"/>
          <w:color w:val="000000"/>
          <w:sz w:val="20"/>
        </w:rPr>
        <w:t>n October 2023, the Financial Accounting Standards Board ("FASB") issued ASU 2023-06 "Disclosure Improvements - Codification Amendments in Response to the SEC's Disclosure Update and Simplification Initiative", which amends the disclosure or presentation requirements related to various subtopics in the FASB Accounting Standard Codification (the "Codification"). This ASU will become effective on the date the SEC removes the applicable disclosure from Regulation S-X or Regulation S-K, with early adoption prohibited. If by June 30, 2027, the SEC has not removed the applicable requirement from Regulation S-X or Regulation S-K, the pending content of the related amendment will be removed from the Codification and will not be become effective for any entity. The Company expects the new guidance will have an immaterial impact on its financial statements, and intends to adopt the guidance when it becomes effective.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which expands disclosures in an entity’s income tax rate reconciliation table and regarding cash taxes paid both in the U.S. and foreign jurisdictions. The guidance is effective for the Company beginning in the fourth quarter of fiscal year 2026. The Company expects the new guidance will have an immaterial impact on its financial statements, and intends to adopt the guidance prospectively when it becomes effective in the fourth quarter of fiscal year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3.    Financial Instruments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short-term investments consist of U.S. Treasury securities, U.S. Government agency securities and highly rated, investment-grade corporate debt securities with original maturities beyond three months at the date of purchase. The Company has classified and accounted for its short-term investments as available-for-sale securities as the Company may sell these securities at any time even prior to maturity and such investments represent cash available for current operations. As a result, short-term investments may include securities with maturities beyond twelve months that are classified within current assets in the Balance Sheets. The Company’s short-term investments classified as available-for-sale are carried at fair market value with unrealized gain or loss recognized in other comprehensive gain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Assets and liabilities recorded at fair value on a recurring basis in the Balance Sheets and assets and liabilities measured at fair value on a non-recurring basis or disclosed at fair value, are categorized based upon the level of judgment associated with inputs used to measure their fair values. Fair value is defined as the price that would be received upon the sale of an asset or paid to transfer a liability (an exit price) in an orderly transaction between market participants at the measurement date. Accounting guidance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i/>
          <w:color w:val="000000"/>
          <w:sz w:val="20"/>
        </w:rPr>
        <w:t>Level 1</w:t>
      </w:r>
      <w:r>
        <w:rPr>
          <w:color w:val="000000"/>
        </w:rPr>
        <w:t>—</w:t>
      </w:r>
      <w:r>
        <w:rPr>
          <w:rFonts w:ascii="Times New Roman;sans-serif" w:hAnsi="Times New Roman;sans-serif"/>
          <w:b w:val="false"/>
          <w:color w:val="000000"/>
          <w:sz w:val="20"/>
        </w:rPr>
        <w:t>Inputs are unadjusted, quoted prices in active markets for identical assets or liabilities at the measurement date;</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i/>
          <w:color w:val="000000"/>
          <w:sz w:val="20"/>
        </w:rPr>
        <w:t>Level 2</w:t>
      </w:r>
      <w:r>
        <w:rPr>
          <w:color w:val="000000"/>
        </w:rPr>
        <w:t>—</w:t>
      </w:r>
      <w:r>
        <w:rPr>
          <w:rFonts w:ascii="Times New Roman;sans-serif" w:hAnsi="Times New Roman;sans-serif"/>
          <w:b w:val="false"/>
          <w:color w:val="000000"/>
          <w:sz w:val="20"/>
        </w:rPr>
        <w:t>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i/>
          <w:color w:val="000000"/>
          <w:sz w:val="20"/>
        </w:rPr>
        <w:t>Level 3</w:t>
      </w:r>
      <w:r>
        <w:rPr>
          <w:color w:val="000000"/>
        </w:rPr>
        <w:t>—</w:t>
      </w:r>
      <w:r>
        <w:rPr>
          <w:rFonts w:ascii="Times New Roman;sans-serif" w:hAnsi="Times New Roman;sans-serif"/>
          <w:b w:val="false"/>
          <w:color w:val="000000"/>
          <w:sz w:val="20"/>
        </w:rPr>
        <w:t>Unobservable inputs that are significant to the measurement of the fair value of the assets or liabilities that are supported by little or no market data.</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cash equivalent Money Market Funds are classified as Level 1 because they are valued using quoted market prices. The fair value of the Company’s U.S. Treasury securities, U.S. government agency securities and corporate debt securities are classified as Level 2 because they are valued using observable inputs to quoted market prices, benchmark yields, reported trades, broker/dealer quotes or alternative pricing sources with reasonable levels of price transparency. These Level 2 instruments require more management judgment and subjectivity compared to Level 1 instruments which include determining which instruments are most similar to the instrument being priced, determining whether the market is active and determining which model-derived valuations are to be used when calculating fair value. The Company performs its analysis with the assistance of investment advisors.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assets or liabilities recorded at fair value using Level 3 inputs as of December 31, 2023 and 2022.</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the Company’s cash and cash equivalents and short-term investments by significant investment category as of December 31, 2023 and 2022 (in thousands):</w:t>
      </w:r>
    </w:p>
    <w:tbl>
      <w:tblPr>
        <w:tblW w:w="11456" w:type="dxa"/>
        <w:jc w:val="left"/>
        <w:tblInd w:w="0" w:type="dxa"/>
        <w:tblLayout w:type="fixed"/>
        <w:tblCellMar>
          <w:top w:w="28" w:type="dxa"/>
          <w:left w:w="28" w:type="dxa"/>
          <w:bottom w:w="28" w:type="dxa"/>
          <w:right w:w="28" w:type="dxa"/>
        </w:tblCellMar>
      </w:tblPr>
      <w:tblGrid>
        <w:gridCol w:w="603"/>
        <w:gridCol w:w="201"/>
        <w:gridCol w:w="202"/>
        <w:gridCol w:w="165"/>
        <w:gridCol w:w="165"/>
        <w:gridCol w:w="166"/>
        <w:gridCol w:w="109"/>
        <w:gridCol w:w="109"/>
        <w:gridCol w:w="109"/>
        <w:gridCol w:w="196"/>
        <w:gridCol w:w="736"/>
        <w:gridCol w:w="109"/>
        <w:gridCol w:w="109"/>
        <w:gridCol w:w="109"/>
        <w:gridCol w:w="109"/>
        <w:gridCol w:w="202"/>
        <w:gridCol w:w="435"/>
        <w:gridCol w:w="114"/>
        <w:gridCol w:w="109"/>
        <w:gridCol w:w="109"/>
        <w:gridCol w:w="109"/>
        <w:gridCol w:w="196"/>
        <w:gridCol w:w="446"/>
        <w:gridCol w:w="109"/>
        <w:gridCol w:w="109"/>
        <w:gridCol w:w="109"/>
        <w:gridCol w:w="109"/>
        <w:gridCol w:w="196"/>
        <w:gridCol w:w="736"/>
        <w:gridCol w:w="109"/>
        <w:gridCol w:w="109"/>
        <w:gridCol w:w="109"/>
        <w:gridCol w:w="109"/>
        <w:gridCol w:w="196"/>
        <w:gridCol w:w="736"/>
        <w:gridCol w:w="109"/>
        <w:gridCol w:w="109"/>
        <w:gridCol w:w="109"/>
        <w:gridCol w:w="109"/>
        <w:gridCol w:w="207"/>
        <w:gridCol w:w="428"/>
        <w:gridCol w:w="116"/>
        <w:gridCol w:w="109"/>
        <w:gridCol w:w="109"/>
        <w:gridCol w:w="109"/>
        <w:gridCol w:w="196"/>
        <w:gridCol w:w="571"/>
        <w:gridCol w:w="109"/>
        <w:gridCol w:w="109"/>
        <w:gridCol w:w="109"/>
        <w:gridCol w:w="109"/>
        <w:gridCol w:w="196"/>
        <w:gridCol w:w="736"/>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2022</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Market</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Market</w:t>
              <w:br/>
              <w:t>Value</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U.S. Treasury securities </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Agency Securities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28,635 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financial assets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488,252 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325,813 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915" w:type="dxa"/>
        <w:jc w:val="left"/>
        <w:tblInd w:w="0" w:type="dxa"/>
        <w:tblLayout w:type="fixed"/>
        <w:tblCellMar>
          <w:top w:w="28" w:type="dxa"/>
          <w:left w:w="28" w:type="dxa"/>
          <w:bottom w:w="28" w:type="dxa"/>
          <w:right w:w="28" w:type="dxa"/>
        </w:tblCellMar>
      </w:tblPr>
      <w:tblGrid>
        <w:gridCol w:w="430"/>
        <w:gridCol w:w="267"/>
        <w:gridCol w:w="264"/>
        <w:gridCol w:w="109"/>
        <w:gridCol w:w="109"/>
        <w:gridCol w:w="109"/>
        <w:gridCol w:w="196"/>
        <w:gridCol w:w="736"/>
        <w:gridCol w:w="109"/>
        <w:gridCol w:w="109"/>
        <w:gridCol w:w="109"/>
        <w:gridCol w:w="109"/>
        <w:gridCol w:w="202"/>
        <w:gridCol w:w="435"/>
        <w:gridCol w:w="114"/>
        <w:gridCol w:w="109"/>
        <w:gridCol w:w="109"/>
        <w:gridCol w:w="109"/>
        <w:gridCol w:w="196"/>
        <w:gridCol w:w="446"/>
        <w:gridCol w:w="109"/>
        <w:gridCol w:w="109"/>
        <w:gridCol w:w="109"/>
        <w:gridCol w:w="109"/>
        <w:gridCol w:w="196"/>
        <w:gridCol w:w="736"/>
        <w:gridCol w:w="109"/>
        <w:gridCol w:w="109"/>
        <w:gridCol w:w="109"/>
        <w:gridCol w:w="109"/>
        <w:gridCol w:w="196"/>
        <w:gridCol w:w="736"/>
        <w:gridCol w:w="109"/>
        <w:gridCol w:w="109"/>
        <w:gridCol w:w="109"/>
        <w:gridCol w:w="109"/>
        <w:gridCol w:w="207"/>
        <w:gridCol w:w="428"/>
        <w:gridCol w:w="116"/>
        <w:gridCol w:w="109"/>
        <w:gridCol w:w="109"/>
        <w:gridCol w:w="109"/>
        <w:gridCol w:w="196"/>
        <w:gridCol w:w="571"/>
        <w:gridCol w:w="109"/>
        <w:gridCol w:w="109"/>
        <w:gridCol w:w="109"/>
        <w:gridCol w:w="109"/>
        <w:gridCol w:w="196"/>
        <w:gridCol w:w="736"/>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2022</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Classified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Market</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Market</w:t>
              <w:br/>
              <w:t>Value</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488,252 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325,813 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120"/>
        <w:ind w:left="0" w:right="0" w:firstLine="450"/>
        <w:jc w:val="left"/>
        <w:rPr/>
      </w:pPr>
      <w:r>
        <w:rPr/>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sell certain of its short-term securities prior to their stated maturities for reasons including, but not limited to, managing liquidity, credit risk, duration and asset allocation.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remaining contractual maturities of the Company’s short-term investments as of December 31, 2023:</w:t>
      </w:r>
    </w:p>
    <w:tbl>
      <w:tblPr>
        <w:tblW w:w="4673" w:type="dxa"/>
        <w:jc w:val="left"/>
        <w:tblInd w:w="0" w:type="dxa"/>
        <w:tblLayout w:type="fixed"/>
        <w:tblCellMar>
          <w:top w:w="28" w:type="dxa"/>
          <w:left w:w="28" w:type="dxa"/>
          <w:bottom w:w="28" w:type="dxa"/>
          <w:right w:w="28" w:type="dxa"/>
        </w:tblCellMar>
      </w:tblPr>
      <w:tblGrid>
        <w:gridCol w:w="726"/>
        <w:gridCol w:w="640"/>
        <w:gridCol w:w="643"/>
        <w:gridCol w:w="211"/>
        <w:gridCol w:w="826"/>
        <w:gridCol w:w="109"/>
        <w:gridCol w:w="109"/>
        <w:gridCol w:w="109"/>
        <w:gridCol w:w="109"/>
        <w:gridCol w:w="211"/>
        <w:gridCol w:w="826"/>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Adjusted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Market</w:t>
              <w:br/>
              <w:t>Value</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Mature in 1 year or less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Mature in 1 to 2 years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431,011 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liabilities measured at fair value on a recurring basis as of December 31, 2023 and 2022. There have been no transfers between fair value measurement levels during the years ended December 31, 2023 and 2022. In addition, there were no assets or liabilities measured at fair value on a non-recurring basis as of December 31, 2023 and 2022.</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interest income and accretion income earned on Money Market Funds and U.S. Treasury, U.S. government agency and corporate debt securities to interest and other income(expense),net in its statement of operations and comprehensive gain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4.    Property and Equipment, net</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 (in thousands):</w:t>
      </w:r>
    </w:p>
    <w:tbl>
      <w:tblPr>
        <w:tblW w:w="5259" w:type="dxa"/>
        <w:jc w:val="left"/>
        <w:tblInd w:w="0" w:type="dxa"/>
        <w:tblLayout w:type="fixed"/>
        <w:tblCellMar>
          <w:top w:w="28" w:type="dxa"/>
          <w:left w:w="28" w:type="dxa"/>
          <w:bottom w:w="28" w:type="dxa"/>
          <w:right w:w="28" w:type="dxa"/>
        </w:tblCellMar>
      </w:tblPr>
      <w:tblGrid>
        <w:gridCol w:w="1054"/>
        <w:gridCol w:w="926"/>
        <w:gridCol w:w="930"/>
        <w:gridCol w:w="211"/>
        <w:gridCol w:w="721"/>
        <w:gridCol w:w="109"/>
        <w:gridCol w:w="109"/>
        <w:gridCol w:w="109"/>
        <w:gridCol w:w="109"/>
        <w:gridCol w:w="211"/>
        <w:gridCol w:w="616"/>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during the years ended December 31, 2023 and 2022 was $1.8 million, and for 2021 depreciation expense was $1.5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5.    Prepaid Expenses and Other Current Assets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 (in thousands):</w:t>
      </w:r>
    </w:p>
    <w:tbl>
      <w:tblPr>
        <w:tblW w:w="6278" w:type="dxa"/>
        <w:jc w:val="left"/>
        <w:tblInd w:w="0" w:type="dxa"/>
        <w:tblLayout w:type="fixed"/>
        <w:tblCellMar>
          <w:top w:w="28" w:type="dxa"/>
          <w:left w:w="28" w:type="dxa"/>
          <w:bottom w:w="28" w:type="dxa"/>
          <w:right w:w="28" w:type="dxa"/>
        </w:tblCellMar>
      </w:tblPr>
      <w:tblGrid>
        <w:gridCol w:w="1424"/>
        <w:gridCol w:w="1249"/>
        <w:gridCol w:w="1256"/>
        <w:gridCol w:w="211"/>
        <w:gridCol w:w="721"/>
        <w:gridCol w:w="109"/>
        <w:gridCol w:w="109"/>
        <w:gridCol w:w="109"/>
        <w:gridCol w:w="109"/>
        <w:gridCol w:w="211"/>
        <w:gridCol w:w="616"/>
        <w:gridCol w:w="154"/>
      </w:tblGrid>
      <w:tr>
        <w:trPr/>
        <w:tc>
          <w:tcPr>
            <w:tcW w:w="142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licenses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6.    Accrued Liabilities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consisted of the following (in thousands):</w:t>
      </w:r>
    </w:p>
    <w:tbl>
      <w:tblPr>
        <w:tblW w:w="5364" w:type="dxa"/>
        <w:jc w:val="left"/>
        <w:tblInd w:w="0" w:type="dxa"/>
        <w:tblLayout w:type="fixed"/>
        <w:tblCellMar>
          <w:top w:w="28" w:type="dxa"/>
          <w:left w:w="28" w:type="dxa"/>
          <w:bottom w:w="28" w:type="dxa"/>
          <w:right w:w="28" w:type="dxa"/>
        </w:tblCellMar>
      </w:tblPr>
      <w:tblGrid>
        <w:gridCol w:w="1093"/>
        <w:gridCol w:w="959"/>
        <w:gridCol w:w="963"/>
        <w:gridCol w:w="211"/>
        <w:gridCol w:w="721"/>
        <w:gridCol w:w="109"/>
        <w:gridCol w:w="109"/>
        <w:gridCol w:w="109"/>
        <w:gridCol w:w="109"/>
        <w:gridCol w:w="211"/>
        <w:gridCol w:w="616"/>
        <w:gridCol w:w="154"/>
      </w:tblGrid>
      <w:tr>
        <w:trPr/>
        <w:tc>
          <w:tcPr>
            <w:tcW w:w="109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 consist primarily of accrued bonuses and accrued vacation.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7.    Debt</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2022, as amended in October 2022, we entered into a term loan facility (the “Oxford Loan Agreement”) with Oxford Finance LLC (the "Lender") for up to $100.0 million. At closing, we entered into a term loan for $10.0 million and we decided not to draw upon the additional $65.0 million that became available to us over the course of 2023 as certain conditions related to the development of bexotegrast and one of our preclinical product candidates were satisfied. As of December 31, 2023, the time period to draw upon the additional $65.0 million had lapsed. In connection with the Oxford Loan Agreement, we granted a security interest in substantially all of our current and future assets. There are no warrants or financial covenants associated with the Oxford Loan Agreement.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Oxford Loan Agreement bear interest at a rate per annum equal to 1-month term Secured Overnight Financing Rate (SOFR) plus 8.5%, subject to an agreed upon floor and cap. The Oxford Loan Agreement requires the Company to make monthly interest-only payments until July 1, 2026 with monthly interest and principal payments thereafter until the maturity date of May 1, 2027.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fair value of the term loan as of December 31, 2023 was measured using Level 3 inputs and approximates the carrying value recorded to the balance sheet. The effective interest rate for the term loan is 12.69% and interest expense during the years ended December 31, 2023 and 2022 was $1.3 million and $0.8 million, respectively.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Future maturities of debt as of December 31, 2023 are as follows (in thousands):</w:t>
      </w:r>
    </w:p>
    <w:tbl>
      <w:tblPr>
        <w:tblW w:w="5430" w:type="dxa"/>
        <w:jc w:val="center"/>
        <w:tblInd w:w="0" w:type="dxa"/>
        <w:tblLayout w:type="fixed"/>
        <w:tblCellMar>
          <w:top w:w="28" w:type="dxa"/>
          <w:left w:w="28" w:type="dxa"/>
          <w:bottom w:w="28" w:type="dxa"/>
          <w:right w:w="28" w:type="dxa"/>
        </w:tblCellMar>
      </w:tblPr>
      <w:tblGrid>
        <w:gridCol w:w="1155"/>
        <w:gridCol w:w="1013"/>
        <w:gridCol w:w="1027"/>
        <w:gridCol w:w="434"/>
        <w:gridCol w:w="1484"/>
        <w:gridCol w:w="317"/>
      </w:tblGrid>
      <w:tr>
        <w:trPr/>
        <w:tc>
          <w:tcPr>
            <w:tcW w:w="115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9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w:t>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final payment</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10,054 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120" w:after="12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8.    Novartis Collaboration and License Agreement (the "Novartis Agreement")</w:t>
      </w:r>
    </w:p>
    <w:p>
      <w:pPr>
        <w:pStyle w:val="TextBody"/>
        <w:bidi w:val="0"/>
        <w:spacing w:lineRule="auto" w:line="26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2019, we entered into the Novartis Agreement with Novartis Institutes for BioMedical Research, Inc. (“Novartis”) for the development and commercialization of our preclinical product candidate, PLN-1474, and up to three additional integrin research targets. We assessed the Novartis Agreement in accordance with ASC 606 and determined that Novartis was a customer and identified the following performance obligations: (1) to provide worldwide license rights to PLN-1474, (2) to provide research and development services for PLN-1474, (3) to provide non-exclusive license rights to integrin research targets, and (4) to provide research and development services on integrin research targets.</w:t>
      </w:r>
    </w:p>
    <w:p>
      <w:pPr>
        <w:pStyle w:val="TextBody"/>
        <w:bidi w:val="0"/>
        <w:spacing w:lineRule="auto" w:line="26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17, 2023, Novartis exercised their right to terminate the Novartis Agreement as part of their new strategy focusing on a limited number of therapeutic areas. The termination took effect on April 18, 2023, and effective upon the termination, all rights and licenses granted to Novartis under the Novartis Agreement, including PLN-1474, the related investigational new drug (“IND”), and the validated research target, reverted back to us. The payment obligations of Novartis with respect to future milestones, royalties and research and development funding were also terminated.</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Revenues associated with the Novartis Agreement for the years ended December 31, 2023, 2022 and 2021, were $1.6 million, $9.7 million and $7.6 million, respectively, which consisted of revenue generated from research and development services and a $4.0 million contingent payment received in 2022 associated with the integrin research target program.</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there was a receivable of nil and $2.0 million, respectively, related to the Novartis Agreement. There were no contract assets or contract liabilities as of December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9. Preferred Stock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Company’s Amended and Restated Certificate of Incorporation, the Company is authorized to issue two classes of shares: preferred stock and common stock. The preferred stock may be issued in series, and the Company’s board of directors is authorized to determine the rights, preferences, and terms of each series. These rights, preferences and terms could include dividend rights, conversion rights, voting rights, terms of redemptions, liquidation preferences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sinking fund terms. As of December 31, 2023 and 2022, the Company was authorized to issue 10,000,000 shares of preferred stock and there was no outstanding preferred stock as of December 31, 2023 and 2022.</w:t>
      </w:r>
    </w:p>
    <w:p>
      <w:pPr>
        <w:pStyle w:val="TextBody"/>
        <w:bidi w:val="0"/>
        <w:spacing w:before="20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10. Common Stock</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 had 300,000,000 authorized shares of common stock, at a par value of $0.0001 per share. The common stock has the following rights and privileges: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Voting</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holders of shares of common stock are entitled to one vote for each share of common stock held at any meeting of stockholders and at the time of any written action in lieu of a meeting.</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holders of shares of common stock are entitled to receive dividends, when declared by the Company’s Board of Directors. Cash dividends may not be declared or paid to holders of shares of common stock until all unpaid dividends on the Preferred Stock have been paid in accordance with their terms. No dividends have been declared or paid by the Company since its inception.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Liquidation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holders of shares of common stock are entitled to share ratably in the Company’s remaining assets available for distribution to its stockholders in the event of any voluntary or involuntary liquidation, dissolution or winding up of the Company or upon occurrence of a deemed liquidation event.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Shares reserved for future issuance</w:t>
      </w:r>
    </w:p>
    <w:tbl>
      <w:tblPr>
        <w:tblW w:w="10205" w:type="dxa"/>
        <w:jc w:val="left"/>
        <w:tblInd w:w="0" w:type="dxa"/>
        <w:tblLayout w:type="fixed"/>
        <w:tblCellMar>
          <w:top w:w="28" w:type="dxa"/>
          <w:left w:w="28" w:type="dxa"/>
          <w:bottom w:w="28" w:type="dxa"/>
          <w:right w:w="28" w:type="dxa"/>
        </w:tblCellMar>
      </w:tblPr>
      <w:tblGrid>
        <w:gridCol w:w="2650"/>
        <w:gridCol w:w="2325"/>
        <w:gridCol w:w="2338"/>
        <w:gridCol w:w="540"/>
        <w:gridCol w:w="541"/>
        <w:gridCol w:w="156"/>
        <w:gridCol w:w="119"/>
        <w:gridCol w:w="119"/>
        <w:gridCol w:w="119"/>
        <w:gridCol w:w="540"/>
        <w:gridCol w:w="541"/>
        <w:gridCol w:w="217"/>
      </w:tblGrid>
      <w:tr>
        <w:trPr/>
        <w:tc>
          <w:tcPr>
            <w:tcW w:w="2650"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7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stock option awards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6,953,487 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5,569,567 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874,748 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507,925 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PSUs*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531,796 </w:t>
            </w:r>
          </w:p>
        </w:tc>
        <w:tc>
          <w:tcPr>
            <w:tcW w:w="21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available for future grants under the 2020 Stock Option and Incentive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2,882,239 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2,937,769 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available for future issuance under the 2020 ESPP</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805,756 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888,184 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available for future issuance under the 2022 Inducement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reserved for future issuance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12,544,982 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11,435,241 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*PSUs granted and outstanding based on target level of achievement of 100%.</w:t>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11.Stock-Based Compensation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2015, the Company's Board of Directors adopted the 2015 Equity Incentive Plan, as amended in 2018, 2019 and 2020 (the “2015 Plan”), which provided for the grant of incentive stock options, nonqualified stock options or other awards including stock appreciation rights and restricted stock awards to the Company’s employees, officers, directors, advisors, and consultants. In May 2020, the Board of Directors adopted the 2020 Stock Option and Incentive Plan (the “2020 Plan”) and suspended the 2015 Plan. Awards outstanding under either the 2015 Plan or 2020 Plan that are cancelled, expire or otherwise terminated subsequent to May 2020 will become available for issuance as common stock under the 2020 Plan. Additionally, the 2020 Plan is subject to automatic increases on January 1 of each year beginning January 1, 2021. The number of shares added each January 1 will be equal to the lesser of: (i) 5% of the outstanding shares on the immediately preceding December 31 or (ii) such amount as determined by the compensation committee of the Board of Directors.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2020 Plan provides for the grant of incentive stock options, nonqualified stock options or other awards including stock appreciation rights, restricted stock awards and restricted stock units to the Company’s employees, officers, directors, advisors and consultants. As of December 31, 2023, the 2020 Plan had 2,882,239 shares of common stock available for future issuance.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2022, the Board of Directors adopted the 2022 Inducement Plan ("Inducement Plan"), under which the Company may grant nonqualified stock options or other awards including stock appreciation rights and restricted stock awards. As of December 31, 2023, 700,000 shares of common stock were available for issuance.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Options under the 2020 Plan and Inducement Plan may be granted for periods of up to 10 years and at prices no less than the market price of the Company’s common stock on the date of grant, provided, however, that the exercise price of an incentive stock option granted to a 10% shareholder shall not be less than 110% of the fair value of the shares on the date of grant and the option is not exercisable after the expiration of five years from the date of grant.</w:t>
      </w:r>
    </w:p>
    <w:p>
      <w:pPr>
        <w:pStyle w:val="TextBody"/>
        <w:bidi w:val="0"/>
        <w:spacing w:lineRule="auto" w:line="288" w:before="80" w:after="283"/>
        <w:jc w:val="left"/>
        <w:rPr>
          <w:rFonts w:ascii="Times New Roman;sans-serif" w:hAnsi="Times New Roman;sans-serif"/>
          <w:b/>
          <w:i/>
          <w:color w:val="000000"/>
          <w:sz w:val="20"/>
        </w:rPr>
      </w:pPr>
      <w:r>
        <w:rPr>
          <w:rFonts w:ascii="Times New Roman;sans-serif" w:hAnsi="Times New Roman;sans-serif"/>
          <w:b/>
          <w:i/>
          <w:color w:val="000000"/>
          <w:sz w:val="20"/>
        </w:rPr>
        <w:t>Incentive Stock Options and Nonqualified Stock Options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issued under either the 2015 Plan, the 2020 Plan or the Inducement Plan generally vest over four years and expire ten years from the date of grant. Certain options provide for accelerated vesting if there is a change in control, as defined in the respective plans.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used Black-Scholes option pricing model to estimate stock-based compensation expense for stock option awards with the following assumptions:</w:t>
      </w:r>
    </w:p>
    <w:tbl>
      <w:tblPr>
        <w:tblW w:w="9174" w:type="dxa"/>
        <w:jc w:val="center"/>
        <w:tblInd w:w="0" w:type="dxa"/>
        <w:tblLayout w:type="fixed"/>
        <w:tblCellMar>
          <w:top w:w="28" w:type="dxa"/>
          <w:left w:w="28" w:type="dxa"/>
          <w:bottom w:w="28" w:type="dxa"/>
          <w:right w:w="28" w:type="dxa"/>
        </w:tblCellMar>
      </w:tblPr>
      <w:tblGrid>
        <w:gridCol w:w="1121"/>
        <w:gridCol w:w="983"/>
        <w:gridCol w:w="986"/>
        <w:gridCol w:w="243"/>
        <w:gridCol w:w="243"/>
        <w:gridCol w:w="248"/>
        <w:gridCol w:w="109"/>
        <w:gridCol w:w="109"/>
        <w:gridCol w:w="109"/>
        <w:gridCol w:w="243"/>
        <w:gridCol w:w="243"/>
        <w:gridCol w:w="248"/>
        <w:gridCol w:w="109"/>
        <w:gridCol w:w="109"/>
        <w:gridCol w:w="109"/>
        <w:gridCol w:w="243"/>
        <w:gridCol w:w="243"/>
        <w:gridCol w:w="248"/>
        <w:gridCol w:w="109"/>
        <w:gridCol w:w="109"/>
        <w:gridCol w:w="109"/>
        <w:gridCol w:w="243"/>
        <w:gridCol w:w="243"/>
        <w:gridCol w:w="248"/>
        <w:gridCol w:w="109"/>
        <w:gridCol w:w="109"/>
        <w:gridCol w:w="109"/>
        <w:gridCol w:w="243"/>
        <w:gridCol w:w="243"/>
        <w:gridCol w:w="248"/>
        <w:gridCol w:w="109"/>
        <w:gridCol w:w="109"/>
        <w:gridCol w:w="109"/>
        <w:gridCol w:w="226"/>
        <w:gridCol w:w="226"/>
        <w:gridCol w:w="327"/>
      </w:tblGrid>
      <w:tr>
        <w:trPr/>
        <w:tc>
          <w:tcPr>
            <w:tcW w:w="112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76.31%</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6.08</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Underlying common stock fair value</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$38.23</w:t>
            </w:r>
          </w:p>
        </w:tc>
      </w:tr>
    </w:tbl>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option activity under the 2015 Plan and the 2020 Plan is as follows:</w:t>
      </w:r>
    </w:p>
    <w:tbl>
      <w:tblPr>
        <w:tblW w:w="10205" w:type="dxa"/>
        <w:jc w:val="left"/>
        <w:tblInd w:w="0" w:type="dxa"/>
        <w:tblLayout w:type="fixed"/>
        <w:tblCellMar>
          <w:top w:w="28" w:type="dxa"/>
          <w:left w:w="28" w:type="dxa"/>
          <w:bottom w:w="28" w:type="dxa"/>
          <w:right w:w="28" w:type="dxa"/>
        </w:tblCellMar>
      </w:tblPr>
      <w:tblGrid>
        <w:gridCol w:w="1399"/>
        <w:gridCol w:w="1227"/>
        <w:gridCol w:w="1235"/>
        <w:gridCol w:w="488"/>
        <w:gridCol w:w="488"/>
        <w:gridCol w:w="231"/>
        <w:gridCol w:w="109"/>
        <w:gridCol w:w="109"/>
        <w:gridCol w:w="109"/>
        <w:gridCol w:w="307"/>
        <w:gridCol w:w="898"/>
        <w:gridCol w:w="161"/>
        <w:gridCol w:w="109"/>
        <w:gridCol w:w="109"/>
        <w:gridCol w:w="109"/>
        <w:gridCol w:w="415"/>
        <w:gridCol w:w="415"/>
        <w:gridCol w:w="417"/>
        <w:gridCol w:w="109"/>
        <w:gridCol w:w="109"/>
        <w:gridCol w:w="109"/>
        <w:gridCol w:w="298"/>
        <w:gridCol w:w="1023"/>
        <w:gridCol w:w="222"/>
      </w:tblGrid>
      <w:tr>
        <w:trPr/>
        <w:tc>
          <w:tcPr>
            <w:tcW w:w="139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w:t>
              <w:br/>
              <w:t>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Exercise</w:t>
              <w:b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 (in thousands)</w:t>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5,569,567 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43,696 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2,158,764 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(534,706)</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(240,138)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6,953,487 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December 31, 2023</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3,515,801 </w:t>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December 31, 2023</w:t>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6,953,487 </w:t>
            </w:r>
          </w:p>
        </w:tc>
        <w:tc>
          <w:tcPr>
            <w:tcW w:w="2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was $46.4 million of unrecognized compensation costs that is expected to be recognized over the weighted-average periods of 2.5 years related to stock options. The total intrinsic value of stock options exercised was $11.4 million, $2.0 million and $6.9 million for December 31, 2023, 2022 and 2021, respectively. Intrinsic value represents the difference between the current fair value of the underlying stock and the exercise price of the stock option at the respective balance sheet dates. The weighted-average grant date fair value of options granted during the years ended December 31, 2023, 2022 and 2021 was $27.22, $7.82 and $16.94 per share,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service-based condition for restricted stock units ("RSUs") is generally satisfied over two or three years. The following table sets forth the outstanding RSUs and related activity for the year ended December 31, 2023:</w:t>
      </w:r>
    </w:p>
    <w:tbl>
      <w:tblPr>
        <w:tblW w:w="9536" w:type="dxa"/>
        <w:jc w:val="left"/>
        <w:tblInd w:w="0" w:type="dxa"/>
        <w:tblLayout w:type="fixed"/>
        <w:tblCellMar>
          <w:top w:w="28" w:type="dxa"/>
          <w:left w:w="28" w:type="dxa"/>
          <w:bottom w:w="28" w:type="dxa"/>
          <w:right w:w="28" w:type="dxa"/>
        </w:tblCellMar>
      </w:tblPr>
      <w:tblGrid>
        <w:gridCol w:w="1554"/>
        <w:gridCol w:w="1366"/>
        <w:gridCol w:w="1370"/>
        <w:gridCol w:w="569"/>
        <w:gridCol w:w="569"/>
        <w:gridCol w:w="571"/>
        <w:gridCol w:w="109"/>
        <w:gridCol w:w="109"/>
        <w:gridCol w:w="109"/>
        <w:gridCol w:w="690"/>
        <w:gridCol w:w="2016"/>
        <w:gridCol w:w="504"/>
      </w:tblGrid>
      <w:tr>
        <w:trPr/>
        <w:tc>
          <w:tcPr>
            <w:tcW w:w="15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and outstanding as of December 31, 2022</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507,925 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683,703 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(247,488)</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(69,392)</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and outstanding as of December 31, 2023</w:t>
            </w:r>
          </w:p>
        </w:tc>
        <w:tc>
          <w:tcPr>
            <w:tcW w:w="11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874,748 </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$17.4 million of unrecognized stock-based compensation expense related to outstanding RSUs expected to be recognized over a weighted-average period of 1.66 years.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Performance-Based Restricted Stock Units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2022 the Company granted performance-based restricted stock units ("PSUs") that vest upon the achievement of market and performance conditions. Market conditions include the Company's total shareholder return ("TSR") relative to the NASDAQ Biotechnology Index over the term of the award ending on June 30, 2024, and performance conditions consist of multiple clinical development milestones associated with bexotegrast. The performance vesting conditions generally must be satisfied within a two-year period and are forfeited if the vesting conditions are not met. Additionally, the number of shares of common stock issued upon vesting will range from 0% to 200% of the PSUs based on achievement of certain targets.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PSUs with clinical development vesting conditions were determined to be equal to the fair market value of the Company's share price on the date of grant. The fair value of the TSR PSUs were derived from a Monte Carlo simulation model that used the following key assumptions: </w:t>
      </w:r>
    </w:p>
    <w:tbl>
      <w:tblPr>
        <w:tblW w:w="4697" w:type="dxa"/>
        <w:jc w:val="left"/>
        <w:tblInd w:w="0" w:type="dxa"/>
        <w:tblLayout w:type="fixed"/>
        <w:tblCellMar>
          <w:top w:w="28" w:type="dxa"/>
          <w:left w:w="28" w:type="dxa"/>
          <w:bottom w:w="28" w:type="dxa"/>
          <w:right w:w="28" w:type="dxa"/>
        </w:tblCellMar>
      </w:tblPr>
      <w:tblGrid>
        <w:gridCol w:w="1287"/>
        <w:gridCol w:w="1130"/>
        <w:gridCol w:w="1137"/>
        <w:gridCol w:w="211"/>
        <w:gridCol w:w="616"/>
        <w:gridCol w:w="316"/>
      </w:tblGrid>
      <w:tr>
        <w:trP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date share price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 term (years)</w:t>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r>
      <w:tr>
        <w:trPr/>
        <w:tc>
          <w:tcPr>
            <w:tcW w:w="35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Correlation coefficient</w:t>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0.3508</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peer group volatility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peer group correlation coefficient</w:t>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0.4397</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outstanding PSUs associated with the TSR goal and related activity for the years ended December 31, 2023 and 2022:</w:t>
      </w:r>
    </w:p>
    <w:tbl>
      <w:tblPr>
        <w:tblW w:w="9102" w:type="dxa"/>
        <w:jc w:val="left"/>
        <w:tblInd w:w="0" w:type="dxa"/>
        <w:tblLayout w:type="fixed"/>
        <w:tblCellMar>
          <w:top w:w="28" w:type="dxa"/>
          <w:left w:w="28" w:type="dxa"/>
          <w:bottom w:w="28" w:type="dxa"/>
          <w:right w:w="28" w:type="dxa"/>
        </w:tblCellMar>
      </w:tblPr>
      <w:tblGrid>
        <w:gridCol w:w="1303"/>
        <w:gridCol w:w="1144"/>
        <w:gridCol w:w="1152"/>
        <w:gridCol w:w="699"/>
        <w:gridCol w:w="699"/>
        <w:gridCol w:w="701"/>
        <w:gridCol w:w="732"/>
        <w:gridCol w:w="2138"/>
        <w:gridCol w:w="534"/>
      </w:tblGrid>
      <w:tr>
        <w:trPr/>
        <w:tc>
          <w:tcPr>
            <w:tcW w:w="130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Performance Stock Units</w:t>
            </w:r>
          </w:p>
        </w:tc>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Weighed Average Grant Date Fair Value</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as of December 31, 2021</w:t>
            </w:r>
          </w:p>
        </w:tc>
        <w:tc>
          <w:tcPr>
            <w:tcW w:w="2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354,532 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as of December 31, 2022</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354,532 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(25,782)</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as of December 31, 2023</w:t>
            </w:r>
          </w:p>
        </w:tc>
        <w:tc>
          <w:tcPr>
            <w:tcW w:w="13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328,750 </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before="120" w:after="120"/>
        <w:ind w:left="0" w:right="0" w:firstLine="450"/>
        <w:jc w:val="left"/>
        <w:rPr/>
      </w:pPr>
      <w:r>
        <w:rPr/>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177,266 PSUs, with a weighted average grant date fair value of $17.57, associated with clinical development milestones met their vesting conditions. In March and July 2023 the second and the third clinical development vesting conditions were achieved and the remaining 531,792 PSUs relating to clinical development vesting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conditions vested, representing total stock based compensation of $7.3 million. There are no remaining PSUs with clinical development performance conditions outstanding as of December 31, 2023.</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$2.6 million of unrecognized stock-based compensation expense related to unvested PSUs associated with market based vesting conditions are expected to be recognized over a remaining weighted-average period of 0.54 years.</w:t>
      </w:r>
    </w:p>
    <w:p>
      <w:pPr>
        <w:pStyle w:val="TextBody"/>
        <w:bidi w:val="0"/>
        <w:spacing w:lineRule="auto" w:line="288" w:before="200" w:after="120"/>
        <w:jc w:val="left"/>
        <w:rPr>
          <w:rFonts w:ascii="Times New Roman;sans-serif" w:hAnsi="Times New Roman;sans-serif"/>
          <w:b/>
          <w:i/>
          <w:color w:val="000000"/>
          <w:sz w:val="20"/>
        </w:rPr>
      </w:pPr>
      <w:r>
        <w:rPr>
          <w:rFonts w:ascii="Times New Roman;sans-serif" w:hAnsi="Times New Roman;sans-serif"/>
          <w:b/>
          <w:i/>
          <w:color w:val="000000"/>
          <w:sz w:val="20"/>
        </w:rPr>
        <w:t>2020 Employee Stock Purchase Plan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2020, the Company adopted the 2020 Employee Stock Purchase Plan (the "2020 ESPP") and reserved 700,000 shares of common stock for future issuance under the plan. The 2020 ESPP is subject to automatic increases on January 1 of each calendar year, beginning January 1, 2021, by the lesser of (i) 1% of the outstanding shares on the immediately preceding December 31, (ii) 700,000 shares or (iii) such lesser amount as determined by, the compensation committee of the Board of Directors.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2020 ESPP, eligible employees may purchase shares of our common stock through payroll deductions that cannot exceed 15% of the employee’s salary. The 2020 ESPP provides for a six-month offering period. At the end of the purchase period, eligible employees are permitted to purchase shares of common stock at the lower of 85% of the fair market value at the beginning or end of the offering period subject to tax limitations on the total value of the purchase. The 2020 ESPP is considered a compensatory plan, and the Company recorded $0.6 million, $0.4 million and $0.5 million in stock-based compensation expense for years ended December 31, 2023, 2022 and 2021, respectively. During the years ended December 31, 2023, 2022 and 2021, 82,428 shares, 85,969 shares and 86,902 shares, respectively, of common stock were issued under the 2020 ESPP.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used the Black-Scholes option pricing model to estimate stock-based compensation expense for the 2020 ESPP with the following assumptions:</w:t>
      </w:r>
    </w:p>
    <w:tbl>
      <w:tblPr>
        <w:tblW w:w="8383" w:type="dxa"/>
        <w:jc w:val="center"/>
        <w:tblInd w:w="0" w:type="dxa"/>
        <w:tblLayout w:type="fixed"/>
        <w:tblCellMar>
          <w:top w:w="28" w:type="dxa"/>
          <w:left w:w="28" w:type="dxa"/>
          <w:bottom w:w="28" w:type="dxa"/>
          <w:right w:w="28" w:type="dxa"/>
        </w:tblCellMar>
      </w:tblPr>
      <w:tblGrid>
        <w:gridCol w:w="1070"/>
        <w:gridCol w:w="939"/>
        <w:gridCol w:w="945"/>
        <w:gridCol w:w="502"/>
        <w:gridCol w:w="502"/>
        <w:gridCol w:w="511"/>
        <w:gridCol w:w="140"/>
        <w:gridCol w:w="140"/>
        <w:gridCol w:w="140"/>
        <w:gridCol w:w="502"/>
        <w:gridCol w:w="502"/>
        <w:gridCol w:w="511"/>
        <w:gridCol w:w="140"/>
        <w:gridCol w:w="140"/>
        <w:gridCol w:w="140"/>
        <w:gridCol w:w="454"/>
        <w:gridCol w:w="454"/>
        <w:gridCol w:w="651"/>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9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5.20% - 5.47%</w:t>
            </w:r>
          </w:p>
        </w:tc>
        <w:tc>
          <w:tcPr>
            <w:tcW w:w="42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0.60% -3.34%</w:t>
            </w:r>
          </w:p>
        </w:tc>
        <w:tc>
          <w:tcPr>
            <w:tcW w:w="42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0.06% -0.07%</w:t>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of options (in years)</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r>
      <w:tr>
        <w:trPr/>
        <w:tc>
          <w:tcPr>
            <w:tcW w:w="29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stock price volatility</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54.78% - 69.15%</w:t>
            </w:r>
          </w:p>
        </w:tc>
        <w:tc>
          <w:tcPr>
            <w:tcW w:w="42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63.17% - 82.02%</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67.16% - 89.51%</w:t>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classification of stock-based compensation expense during the years ended December 31, 2023, 2022 and 2021 (in thousands):</w:t>
      </w:r>
    </w:p>
    <w:tbl>
      <w:tblPr>
        <w:tblW w:w="7271" w:type="dxa"/>
        <w:jc w:val="center"/>
        <w:tblInd w:w="0" w:type="dxa"/>
        <w:tblLayout w:type="fixed"/>
        <w:tblCellMar>
          <w:top w:w="28" w:type="dxa"/>
          <w:left w:w="28" w:type="dxa"/>
          <w:bottom w:w="28" w:type="dxa"/>
          <w:right w:w="28" w:type="dxa"/>
        </w:tblCellMar>
      </w:tblPr>
      <w:tblGrid>
        <w:gridCol w:w="1247"/>
        <w:gridCol w:w="1097"/>
        <w:gridCol w:w="1105"/>
        <w:gridCol w:w="211"/>
        <w:gridCol w:w="721"/>
        <w:gridCol w:w="109"/>
        <w:gridCol w:w="109"/>
        <w:gridCol w:w="109"/>
        <w:gridCol w:w="109"/>
        <w:gridCol w:w="211"/>
        <w:gridCol w:w="721"/>
        <w:gridCol w:w="109"/>
        <w:gridCol w:w="109"/>
        <w:gridCol w:w="109"/>
        <w:gridCol w:w="109"/>
        <w:gridCol w:w="211"/>
        <w:gridCol w:w="721"/>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ESPP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restricted stock units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a pre-tax U.S. book loss of $161.3 million, $123.3 million, and $97.3 million, for the years ended December 31, 2023, 2022 and 2021, respectively. During the years ended December 31, 2023, 2022 and 2021, the Company did not record an income tax provision. The Company will continue to maintain a 100% valuation allowance on total deferred tax assets. The Company believes it is more likely than not that the related deferred tax assets will not be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reconciliation of the U.S. federal statutory income tax rate to the Company’s effective income tax rate is as follows:</w:t>
      </w:r>
    </w:p>
    <w:tbl>
      <w:tblPr>
        <w:tblW w:w="7047" w:type="dxa"/>
        <w:jc w:val="left"/>
        <w:tblInd w:w="0" w:type="dxa"/>
        <w:tblLayout w:type="fixed"/>
        <w:tblCellMar>
          <w:top w:w="28" w:type="dxa"/>
          <w:left w:w="28" w:type="dxa"/>
          <w:bottom w:w="28" w:type="dxa"/>
          <w:right w:w="28" w:type="dxa"/>
        </w:tblCellMar>
      </w:tblPr>
      <w:tblGrid>
        <w:gridCol w:w="1368"/>
        <w:gridCol w:w="1202"/>
        <w:gridCol w:w="1210"/>
        <w:gridCol w:w="291"/>
        <w:gridCol w:w="294"/>
        <w:gridCol w:w="271"/>
        <w:gridCol w:w="109"/>
        <w:gridCol w:w="109"/>
        <w:gridCol w:w="109"/>
        <w:gridCol w:w="291"/>
        <w:gridCol w:w="294"/>
        <w:gridCol w:w="271"/>
        <w:gridCol w:w="109"/>
        <w:gridCol w:w="109"/>
        <w:gridCol w:w="109"/>
        <w:gridCol w:w="291"/>
        <w:gridCol w:w="294"/>
        <w:gridCol w:w="316"/>
      </w:tblGrid>
      <w:tr>
        <w:trPr/>
        <w:tc>
          <w:tcPr>
            <w:tcW w:w="136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computed at federal statutory rate</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 net of federal tax benefit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business credit—federal</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permanent differences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162(m)</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 and liabilities consisted of the following (in thousands):</w:t>
      </w:r>
    </w:p>
    <w:tbl>
      <w:tblPr>
        <w:tblW w:w="5679" w:type="dxa"/>
        <w:jc w:val="left"/>
        <w:tblInd w:w="0" w:type="dxa"/>
        <w:tblLayout w:type="fixed"/>
        <w:tblCellMar>
          <w:top w:w="28" w:type="dxa"/>
          <w:left w:w="28" w:type="dxa"/>
          <w:bottom w:w="28" w:type="dxa"/>
          <w:right w:w="28" w:type="dxa"/>
        </w:tblCellMar>
      </w:tblPr>
      <w:tblGrid>
        <w:gridCol w:w="1170"/>
        <w:gridCol w:w="1026"/>
        <w:gridCol w:w="1029"/>
        <w:gridCol w:w="211"/>
        <w:gridCol w:w="721"/>
        <w:gridCol w:w="109"/>
        <w:gridCol w:w="109"/>
        <w:gridCol w:w="109"/>
        <w:gridCol w:w="109"/>
        <w:gridCol w:w="211"/>
        <w:gridCol w:w="721"/>
        <w:gridCol w:w="154"/>
      </w:tblGrid>
      <w:tr>
        <w:trPr/>
        <w:tc>
          <w:tcPr>
            <w:tcW w:w="117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 basis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Right of use asset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 and tax credit carryforwards were as follows (in thousands):</w:t>
      </w:r>
    </w:p>
    <w:tbl>
      <w:tblPr>
        <w:tblW w:w="8231" w:type="dxa"/>
        <w:jc w:val="left"/>
        <w:tblInd w:w="0" w:type="dxa"/>
        <w:tblLayout w:type="fixed"/>
        <w:tblCellMar>
          <w:top w:w="28" w:type="dxa"/>
          <w:left w:w="28" w:type="dxa"/>
          <w:bottom w:w="28" w:type="dxa"/>
          <w:right w:w="28" w:type="dxa"/>
        </w:tblCellMar>
      </w:tblPr>
      <w:tblGrid>
        <w:gridCol w:w="1785"/>
        <w:gridCol w:w="1572"/>
        <w:gridCol w:w="1577"/>
        <w:gridCol w:w="284"/>
        <w:gridCol w:w="1114"/>
        <w:gridCol w:w="147"/>
        <w:gridCol w:w="109"/>
        <w:gridCol w:w="109"/>
        <w:gridCol w:w="109"/>
        <w:gridCol w:w="416"/>
        <w:gridCol w:w="416"/>
        <w:gridCol w:w="593"/>
      </w:tblGrid>
      <w:tr>
        <w:trPr/>
        <w:tc>
          <w:tcPr>
            <w:tcW w:w="1785"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Expiration Year</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 federal (starting from January 1, 2018)</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212,005 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Does not expire</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 federal (before January 1, 2018)</w:t>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2035-2037</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 state</w:t>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397,559 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2035-2043</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 federal</w:t>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2036-2043</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 state</w:t>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Does not expire</w:t>
            </w:r>
          </w:p>
        </w:tc>
      </w:tr>
    </w:tbl>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Utilization of the net operating loss carryforwards and research credit carryforwards may be subject to an annual limitation due to the ownership percentage change limitations provided by the Internal Revenue Code (“IRC”) and similar state provisions. Annual limitations may result in the expiration of the net operating losses and tax credit carryforwards before they are utilized. The Company performed a IRC Section 382 analysis through December 31, 2023 and does not expect any previous ownership changes to result in a limitation that will reduce the total amount of net operating loss and tax credit carryforwards disclosed that can be utilized. Subsequent ownership changes may affect the limitation in future years.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December 31, 2023 and 2022, the Company recorded a full valuation allowance on federal and state deferred balances since management does not forecast the Company to be in a profitable position in the near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future. Changes in the valuation allowance for deferred tax assets during the years ended December 31, 2023 and 2022 related primarily to the increases in net operating loss carryforwards and research and development tax credit carryforwards and were as follows (in thousands):</w:t>
      </w:r>
    </w:p>
    <w:tbl>
      <w:tblPr>
        <w:tblW w:w="6743" w:type="dxa"/>
        <w:jc w:val="left"/>
        <w:tblInd w:w="0" w:type="dxa"/>
        <w:tblLayout w:type="fixed"/>
        <w:tblCellMar>
          <w:top w:w="28" w:type="dxa"/>
          <w:left w:w="28" w:type="dxa"/>
          <w:bottom w:w="28" w:type="dxa"/>
          <w:right w:w="28" w:type="dxa"/>
        </w:tblCellMar>
      </w:tblPr>
      <w:tblGrid>
        <w:gridCol w:w="1477"/>
        <w:gridCol w:w="1299"/>
        <w:gridCol w:w="1303"/>
        <w:gridCol w:w="211"/>
        <w:gridCol w:w="826"/>
        <w:gridCol w:w="109"/>
        <w:gridCol w:w="109"/>
        <w:gridCol w:w="109"/>
        <w:gridCol w:w="109"/>
        <w:gridCol w:w="211"/>
        <w:gridCol w:w="826"/>
        <w:gridCol w:w="154"/>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at the beginning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recorded to income tax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at the end of the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U.S. federal and state income tax returns are generally subject to tax examinations for the tax years ended December 31, 2018 through December 31, 2023. There are currently no pending income tax examinations. To the extent the Company has tax attribute carryforwards, the tax years in which the attribute was generated may still be adjusted upon examination by the Internal Revenue Service and state tax authorities to the extent utilized in a future period.</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entire amount of the unrecognized tax benefits would not impact the Company’s effective tax rate if recognized. The Company's accounting policy is to include interest and penalties as a component of tax expense. During the years ended December 31, 2023 and 2022, the Company did not recognize accrued interest and penalties related to unrecognized tax benefits. The Company does not anticipate that the amount of existing unrecognized tax benefits will significantly increase or decrease during the next 12 months.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 of unrecognized tax benefits is as follows (in thousands):</w:t>
      </w:r>
    </w:p>
    <w:tbl>
      <w:tblPr>
        <w:tblW w:w="6849" w:type="dxa"/>
        <w:jc w:val="center"/>
        <w:tblInd w:w="0" w:type="dxa"/>
        <w:tblLayout w:type="fixed"/>
        <w:tblCellMar>
          <w:top w:w="28" w:type="dxa"/>
          <w:left w:w="28" w:type="dxa"/>
          <w:bottom w:w="28" w:type="dxa"/>
          <w:right w:w="28" w:type="dxa"/>
        </w:tblCellMar>
      </w:tblPr>
      <w:tblGrid>
        <w:gridCol w:w="1667"/>
        <w:gridCol w:w="1464"/>
        <w:gridCol w:w="1474"/>
        <w:gridCol w:w="211"/>
        <w:gridCol w:w="616"/>
        <w:gridCol w:w="109"/>
        <w:gridCol w:w="109"/>
        <w:gridCol w:w="109"/>
        <w:gridCol w:w="109"/>
        <w:gridCol w:w="211"/>
        <w:gridCol w:w="616"/>
        <w:gridCol w:w="154"/>
      </w:tblGrid>
      <w:tr>
        <w:trPr/>
        <w:tc>
          <w:tcPr>
            <w:tcW w:w="1667"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tax positions related to current year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of prior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Effective January 1, 2022, we are subject to mandatory capitalization of Section 174 research and development expenditures. The capitalized expenses are subject to amortization over five and fifteen years for expenses incurred within the U.S. and outside of U.S.,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13.    Commitments and Contingencies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contractual arrangements with research and development organizations and suppliers; however, these contracts are generally cancellable on 30 days’ notice and the obligations under these contracts are largely based on services performed.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become involved in legal proceedings arising from the ordinary course of business. The Company record a liability for such matters when it is probable that future losses will be incurred and that such losses can be reasonably estimated. Significant judgment by us is required to determine both probability and the estimated amount. Management is currently not aware of any legal matters that could have a material adverse effect on our financial position, results of operations or cash flows.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14.    Leases</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New Lease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28, 2023, the Company entered into a lease agreement for a premise consisting of approximately 100,904 square feet located at Oyster Point Blvd, South San Francisco, California (the "Oyster Point Lease"), which the Company intends to use as laboratory and office space. The lease term of approximately seven years will start upon the Landlord’s substantial completion of tenant improvements, and may be extended for a period of eight years at then prevailing market rates for a comparable property. Future lease payments are approximately $43.7 million and are expected to start in the third quarter of 2024. Additionally, the Company is required to provide a letter of credit to the Landlord in the amount of $1.4 million in connection with the Oyster Point Lease. The Company has not recognized a right-of-use asset ("ROU") or aggregate lease liability as of December 31, 2023 for this lease as the Company did not control the underlying assets at any time during the year ended December 31, 2023.</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Existing leases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conjunction with the Oyster Point Lease, we modified the lease term of our existing lease to end upon the start date of the Oyster Point Lease. As a result of this modification, we reduced our lease liability and our right-of-use asset by $1.8 million as of December 31, 2023. Additionally, we paid a refundable security deposit of approximately $0.4 million at inception of the lease term which has been reclassified from other non-current assets to other current assets in the balance sheet of December 31, 2023.</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ROU assets and liabilities on our balance sheets represent the present value of our remaining lease payments over the remaining lease terms. We use our incremental borrowing rate to calculate the present value of our lease payments, as the implicit rates in our leases are not readily determinable. Operating lease liabilities are based on the net present value of the remaining lease payments over the remaining lease term. In determining the present value of lease payments, the Company used its incremental borrowing rate based on the information available at the date of adoption of Topic 842 or the date of lease modification.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undiscounted future non-cancellable lease payments of the Company's operating lease liability as of December 31, 2023 were as follows (in thousands):</w:t>
      </w:r>
    </w:p>
    <w:tbl>
      <w:tblPr>
        <w:tblW w:w="5382" w:type="dxa"/>
        <w:jc w:val="left"/>
        <w:tblInd w:w="0" w:type="dxa"/>
        <w:tblLayout w:type="fixed"/>
        <w:tblCellMar>
          <w:top w:w="28" w:type="dxa"/>
          <w:left w:w="28" w:type="dxa"/>
          <w:bottom w:w="28" w:type="dxa"/>
          <w:right w:w="28" w:type="dxa"/>
        </w:tblCellMar>
      </w:tblPr>
      <w:tblGrid>
        <w:gridCol w:w="1318"/>
        <w:gridCol w:w="1162"/>
        <w:gridCol w:w="1165"/>
        <w:gridCol w:w="109"/>
        <w:gridCol w:w="109"/>
        <w:gridCol w:w="109"/>
        <w:gridCol w:w="303"/>
        <w:gridCol w:w="886"/>
        <w:gridCol w:w="221"/>
      </w:tblGrid>
      <w:tr>
        <w:trPr/>
        <w:tc>
          <w:tcPr>
            <w:tcW w:w="131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Present value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lease terms and discount rates related to the Company's operating leases were as follows:</w:t>
      </w:r>
    </w:p>
    <w:tbl>
      <w:tblPr>
        <w:tblW w:w="6579" w:type="dxa"/>
        <w:jc w:val="left"/>
        <w:tblInd w:w="0" w:type="dxa"/>
        <w:tblLayout w:type="fixed"/>
        <w:tblCellMar>
          <w:top w:w="28" w:type="dxa"/>
          <w:left w:w="28" w:type="dxa"/>
          <w:bottom w:w="28" w:type="dxa"/>
          <w:right w:w="28" w:type="dxa"/>
        </w:tblCellMar>
      </w:tblPr>
      <w:tblGrid>
        <w:gridCol w:w="1495"/>
        <w:gridCol w:w="1312"/>
        <w:gridCol w:w="1317"/>
        <w:gridCol w:w="109"/>
        <w:gridCol w:w="109"/>
        <w:gridCol w:w="109"/>
        <w:gridCol w:w="308"/>
        <w:gridCol w:w="308"/>
        <w:gridCol w:w="328"/>
        <w:gridCol w:w="132"/>
        <w:gridCol w:w="132"/>
        <w:gridCol w:w="132"/>
        <w:gridCol w:w="203"/>
        <w:gridCol w:w="203"/>
        <w:gridCol w:w="382"/>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 comprise primarily of the Company's proportionate share of operating expenses, property taxes, and insurance. Short-term lease expense and variable lease payments recorded in operating expenses were immaterial for the years ended December 31, 2023, 2022 and 2021. Lease expenses for the years ended December 31, 2023, 2022 and 2021 are as follows (in thousands)</w:t>
      </w:r>
    </w:p>
    <w:tbl>
      <w:tblPr>
        <w:tblW w:w="5664" w:type="dxa"/>
        <w:jc w:val="left"/>
        <w:tblInd w:w="0" w:type="dxa"/>
        <w:tblLayout w:type="fixed"/>
        <w:tblCellMar>
          <w:top w:w="28" w:type="dxa"/>
          <w:left w:w="28" w:type="dxa"/>
          <w:bottom w:w="28" w:type="dxa"/>
          <w:right w:w="28" w:type="dxa"/>
        </w:tblCellMar>
      </w:tblPr>
      <w:tblGrid>
        <w:gridCol w:w="662"/>
        <w:gridCol w:w="582"/>
        <w:gridCol w:w="586"/>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variable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15.     Related Party Transactions</w:t>
      </w:r>
    </w:p>
    <w:p>
      <w:pPr>
        <w:pStyle w:val="TextBody"/>
        <w:bidi w:val="0"/>
        <w:spacing w:lineRule="auto" w:line="288" w:before="120" w:after="120"/>
        <w:ind w:left="0" w:right="0" w:firstLine="450"/>
        <w:jc w:val="left"/>
        <w:rPr/>
      </w:pPr>
      <w:r>
        <w:rPr>
          <w:rFonts w:ascii="Times New Roman;sans-serif" w:hAnsi="Times New Roman;sans-serif"/>
          <w:b w:val="false"/>
          <w:color w:val="000000"/>
          <w:sz w:val="20"/>
        </w:rPr>
        <w:t>In June 2022 and 2021, the Company granted 15,000 and 26,572 stock options with a grant date fair value of $0.1 million and $0.5 million to partners of Third Rock Ventures who were also serving as non-employee directors on the Company's Board of Directors. Both of the non-employee directors resigned from the Company's Board of Directors in 2022. The shares of common stock subject to these options ve</w:t>
      </w:r>
      <w:r>
        <w:rPr>
          <w:rFonts w:ascii="Times New Roman;sans-serif" w:hAnsi="Times New Roman;sans-serif"/>
          <w:b w:val="false"/>
          <w:color w:val="000000"/>
          <w:sz w:val="20"/>
          <w:shd w:fill="FFFFFF" w:val="clear"/>
        </w:rPr>
        <w:t>st have all vested</w:t>
      </w:r>
      <w:r>
        <w:rPr>
          <w:rFonts w:ascii="Times New Roman;sans-serif" w:hAnsi="Times New Roman;sans-serif"/>
          <w:b w:val="false"/>
          <w:color w:val="000000"/>
          <w:sz w:val="20"/>
        </w:rPr>
        <w:t>. The stock-based compensation expense related to these options was immaterial during the years ended December 31, 2022, and 2021. There were no related party transactions during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16. Defined Contribution Plan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sponsors a defined contribution plan under Section 401(k) of the Internal Revenue Code covering substantially all full-time U.S. employees. Employee contributions are voluntary and are determined on an individual basis subject to the maximum allowable under federal tax regulations. The Company made contributions to the plan of $1.0 million, $0.8 million and $0.6 million during the years ended December 31,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17. Net Loss Per Share Attributable to Common Stockholders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common share equivalents were excluded from the computation of diluted net loss per share attributable to common stockholders for the periods presented, because including them would have been antidilutive:</w:t>
      </w:r>
    </w:p>
    <w:tbl>
      <w:tblPr>
        <w:tblW w:w="9705" w:type="dxa"/>
        <w:jc w:val="center"/>
        <w:tblInd w:w="0" w:type="dxa"/>
        <w:tblLayout w:type="fixed"/>
        <w:tblCellMar>
          <w:top w:w="28" w:type="dxa"/>
          <w:left w:w="28" w:type="dxa"/>
          <w:bottom w:w="28" w:type="dxa"/>
          <w:right w:w="28" w:type="dxa"/>
        </w:tblCellMar>
      </w:tblPr>
      <w:tblGrid>
        <w:gridCol w:w="1974"/>
        <w:gridCol w:w="1740"/>
        <w:gridCol w:w="1746"/>
        <w:gridCol w:w="488"/>
        <w:gridCol w:w="488"/>
        <w:gridCol w:w="156"/>
        <w:gridCol w:w="132"/>
        <w:gridCol w:w="132"/>
        <w:gridCol w:w="132"/>
        <w:gridCol w:w="488"/>
        <w:gridCol w:w="488"/>
        <w:gridCol w:w="156"/>
        <w:gridCol w:w="132"/>
        <w:gridCol w:w="132"/>
        <w:gridCol w:w="132"/>
        <w:gridCol w:w="488"/>
        <w:gridCol w:w="488"/>
        <w:gridCol w:w="213"/>
      </w:tblGrid>
      <w:tr>
        <w:trPr/>
        <w:tc>
          <w:tcPr>
            <w:tcW w:w="1974"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6,953,487 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5,569,567 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3,620,180 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874,748 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restricted stock units*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shares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8,156,985 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6,432,024 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3,642,021 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*PSUs outstanding based on target level of achievement of 100%.</w:t>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left"/>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in our reports under the Securities Exchange Act of 1934, as amended, or the Exchange Act, and the rules and regulations thereunder,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required by Rule 13a-15(b) under the Exchange Act, our management, under the supervision and with the participation of our principal executive officer and principal financial officer, has evaluated the effectiveness of the design and operation of our disclosure controls and procedures (as such term is defined in Rules 13a-15(e) and 15d-15(e) under the Exchange Act) as of December 31, 2023. Based on such evaluation, our Chief Executive Officer and Chief Financial Officer have concluded that, as of December 31, 2023, our disclosure controls and procedures were effective at the reasonable assurance level.</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is responsible for establishing and maintaining adequate internal control over financial reporting. Internal control over financial reporting is a process designed by, or under the supervision of, our Chief Executive Officer and Chief Financial Officer to provide reasonable assurance regarding the reliability of financial reporting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preparation of financial statements for external purposes in accordance with generally accepted accounting principles and includes those policies and procedures that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pertain to the maintenance of records that in reasonable detail accurately and fairly reflect the transactions and dispositions of our assets;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(3) provide reasonable assurance regarding prevention or timely detection of unauthorized acquisition, use or disposition of our assets that could have a material effect on the financial statements.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our Chief Executive Officer and Chief Financial Officer, we conducted an evaluation of the effectiveness of our internal control over financial reporting based on criteria established in “Internal Control—Integrated Framework (2013)” issued by the Committee of Sponsoring Organizations of the Treadway Commission (COSO). Our management concluded that our internal control over financial reporting was effective as of December 31, 2023.</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Deloitte &amp; Touche LLP, issued an attestation report on our internal control over financial reporting. See below.</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Limitations on Effectiveness of Controls and Procedures and Internal Control over Financial Reporting</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continuously seek to improve the efficiency and effectiveness of our internal controls. This results in refinements to processes throughout our company. There were no changes in our internal controls over financial reporting identified in connection with the evaluation required by Rule 13a-15(d) and 15d-15(d) of the Exchange Act that occurred during the quarter ended December 31, 2023 that have materially affected, or are reasonably likely to materially affect, our internal control over financial reporting. </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stockholders and the Board of Directors of Pliant Therapeutics, Inc.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 xml:space="preserve">We have audited the internal control over financial reporting of Pliant Therapeutics, Inc. (the “Company”)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COSO.</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financial statements as of and for the year ended December 31, 2023, of the Company and our report dated February 27, 2024, expressed an unqualified opinion on those financial statements.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San Francisco, California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27,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Rule 10b5-1 Trading Arrangements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Other than those listed below, none of the Company’s directors or officers adopted, modified or terminated a Rule 10b5-1 trading arrangement or a non-Rule 10b5-1 trading arrangement during the three months ended December 31, 2023, as such terms are defined under Item 408(a) of Regulation S-K.</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On October 4, 2023, Mike Ouimette, our General Counsel, entered into a trading plan, or the Ouimette 10b5-1 Sales Plan, intended to satisfy the affirmative defense of Rule 10b5-1(c) under the Exchange Act. Under the Ouimette 10b5-1 Sales Plan, an aggregate of 57,074 shares of the Company’s common stock</w:t>
      </w:r>
      <w:r>
        <w:rPr>
          <w:color w:val="000000"/>
        </w:rPr>
        <w:t xml:space="preserve"> </w:t>
      </w:r>
      <w:r>
        <w:rPr>
          <w:rFonts w:ascii="Times New Roman;sans-serif" w:hAnsi="Times New Roman;sans-serif"/>
          <w:b w:val="false"/>
          <w:color w:val="000000"/>
          <w:sz w:val="20"/>
        </w:rPr>
        <w:t>and up to 33% of the net shares Mr. Ouimette may receive from the vesting of certain outstanding RSU and PSU awards from time to time between January 16, 2024 and July 1, 2024 (the “Ouimette Authorized Shares”) may be sold. Due to vesting conditions of the awards and the number of shares withheld for taxes, to be determined only on the vesting date and market conditions, the number of shares actually sold under the Ouimette 10b5-1 Sales Plan may be less than the maximum number of shares that can be sold. The Ouimette 10b5-1 Sales Plan, which was entered into during an open trading window under the Company’s insider trading policy, will be in effect until the earlier of (1) December 31, 2024, or (2) the date on which all Ouimette Authorized Shares have been sold under the Ouimette 10b5-1 Sales Plan.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7, 2023, Eric Lefebvre, our Chief Medical Officer, entered into a trading plan, or the Lefebvre 10b5-1 Sales Plan, intended to satisfy the affirmative defense of Rule 10b5-1(c) under the Exchange Act. Under the Lefebvre 10b5-1 Sales Plan, an aggregate of 111,781 shares of the Company’s common stock may be sold (such aggregate amount, which may be reduced by any shares sold prior pursuant to a prior trading plan adopted by Dr. Lefebvre on December 13, 2022 and prior to initiation of sales pursuant to the Lefebvre 10b5-1 Sales Plan, the “Lefebvre Authorized Shares”). The Lefebvre 10b5-1 Sales Plan, which was entered into during an open trading window under the Company’s insider trading policy, will be in effect until the earlier of (1) March 7, 2025, or (2) the date on which all Lefebvre Authorized Shares have been sold under the Lefebvre 10b5-1 Sales Plan.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13, 2023, Bernard Coulie, our Chief Executive Officer, entered into a trading plan, or the Coulie 10b5-1 Sales Plan, intended to satisfy the affirmative defense of Rule 10b5-1(c) under the Exchange Act. Under the Coulie 10b5-1 Sales Plan, an aggregate of 80,000 shares of the Company’s common stock may be sold. The Coulie 10b5-1 Sales Plan, which was entered into during an open trading window under the Company’s insider trading policy, will be in effect until the earlier of (1) December 31, 2024, or (2) the date on which the maximum number of shares of the Company’s common stock have been sold under the Coulie 10b5-1 Sales Plan.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set forth in our Proxy Statement for our 2024 Annual Meeting of Stockholders and is incorporated herein by reference. Information required by this item regarding compliance with Section 16(a) of the Exchange Act will be set forth in our Proxy Statement and is incorporated herein by reference.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written code of business conduct and ethics (the “Code of Conduct”) applies to all of our employees, officers and directors, including our principal executive officer, principal financial officer and principal accounting officer or controller. The Code of Conduct is available on our corporate website at https://pliantrx.com. If we make any substantive amendments to our Code of Conduct or grant any of our directors or executive officers any waiver, including any implicit waiver, from a provision of our Code of Conduct, we will disclose the nature of the amendment or waiver on our website or in a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set forth in our Proxy Statement and is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set forth in our Proxy Statement and is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set forth in our Proxy Statement and is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set forth in our Proxy Statement and is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(a)The following documents are filed as part of this Annual Report:</w:t>
      </w:r>
    </w:p>
    <w:p>
      <w:pPr>
        <w:pStyle w:val="TextBody"/>
        <w:bidi w:val="0"/>
        <w:spacing w:lineRule="auto" w:line="288" w:before="200" w:after="283"/>
        <w:ind w:left="0" w:right="0" w:hanging="720"/>
        <w:jc w:val="left"/>
        <w:rPr/>
      </w:pPr>
      <w:r>
        <w:rPr>
          <w:rFonts w:ascii="Times New Roman;sans-serif" w:hAnsi="Times New Roman;sans-serif"/>
          <w:b w:val="false"/>
          <w:color w:val="000000"/>
          <w:sz w:val="20"/>
        </w:rPr>
        <w:t>1.</w:t>
      </w:r>
      <w:r>
        <w:rPr>
          <w:rFonts w:ascii="Times New Roman;sans-serif" w:hAnsi="Times New Roman;sans-serif"/>
          <w:b w:val="false"/>
          <w:i/>
          <w:color w:val="000000"/>
          <w:sz w:val="20"/>
        </w:rPr>
        <w:t>Financial Statements. </w:t>
      </w:r>
      <w:r>
        <w:rPr>
          <w:rFonts w:ascii="Times New Roman;sans-serif" w:hAnsi="Times New Roman;sans-serif"/>
          <w:b w:val="false"/>
          <w:color w:val="000000"/>
          <w:sz w:val="20"/>
        </w:rPr>
        <w:t>See Index to Financial Statements in Part II Item 8 of this Annual Report on Form 10-K.</w:t>
      </w:r>
    </w:p>
    <w:p>
      <w:pPr>
        <w:pStyle w:val="TextBody"/>
        <w:bidi w:val="0"/>
        <w:spacing w:lineRule="auto" w:line="288" w:before="200" w:after="283"/>
        <w:ind w:left="0" w:right="0" w:hanging="720"/>
        <w:jc w:val="left"/>
        <w:rPr/>
      </w:pPr>
      <w:r>
        <w:rPr>
          <w:rFonts w:ascii="Times New Roman;sans-serif" w:hAnsi="Times New Roman;sans-serif"/>
          <w:b w:val="false"/>
          <w:color w:val="000000"/>
          <w:sz w:val="20"/>
        </w:rPr>
        <w:t>2.</w:t>
      </w:r>
      <w:r>
        <w:rPr>
          <w:rFonts w:ascii="Times New Roman;sans-serif" w:hAnsi="Times New Roman;sans-serif"/>
          <w:b w:val="false"/>
          <w:i/>
          <w:color w:val="000000"/>
          <w:sz w:val="20"/>
        </w:rPr>
        <w:t>Financial Statement Schedules</w:t>
      </w:r>
      <w:r>
        <w:rPr>
          <w:rFonts w:ascii="Times New Roman;sans-serif" w:hAnsi="Times New Roman;sans-serif"/>
          <w:b w:val="false"/>
          <w:color w:val="000000"/>
          <w:sz w:val="20"/>
        </w:rPr>
        <w:t>. None. All financial statement schedules are omitted because they are not applicable, not</w:t>
      </w:r>
      <w:r>
        <w:rPr>
          <w:color w:val="000000"/>
        </w:rPr>
        <w:t> </w:t>
      </w:r>
      <w:r>
        <w:rPr>
          <w:rFonts w:ascii="Times New Roman;sans-serif" w:hAnsi="Times New Roman;sans-serif"/>
          <w:b w:val="false"/>
          <w:color w:val="000000"/>
          <w:sz w:val="20"/>
        </w:rPr>
        <w:t>required under the instructions, or the requested information is included in the financial statements or notes thereto.</w:t>
      </w:r>
    </w:p>
    <w:p>
      <w:pPr>
        <w:pStyle w:val="TextBody"/>
        <w:bidi w:val="0"/>
        <w:spacing w:lineRule="auto" w:line="288" w:before="200" w:after="283"/>
        <w:ind w:left="0" w:right="0" w:hanging="720"/>
        <w:jc w:val="left"/>
        <w:rPr/>
      </w:pPr>
      <w:r>
        <w:rPr>
          <w:rFonts w:ascii="Times New Roman;sans-serif" w:hAnsi="Times New Roman;sans-serif"/>
          <w:b w:val="false"/>
          <w:color w:val="000000"/>
          <w:sz w:val="20"/>
        </w:rPr>
        <w:t>3.</w:t>
      </w:r>
      <w:r>
        <w:rPr>
          <w:rFonts w:ascii="Times New Roman;sans-serif" w:hAnsi="Times New Roman;sans-serif"/>
          <w:b w:val="false"/>
          <w:i/>
          <w:color w:val="000000"/>
          <w:sz w:val="20"/>
        </w:rPr>
        <w:t>Exhibits</w:t>
      </w:r>
      <w:r>
        <w:rPr>
          <w:rFonts w:ascii="Times New Roman;sans-serif" w:hAnsi="Times New Roman;sans-serif"/>
          <w:b w:val="false"/>
          <w:color w:val="000000"/>
          <w:sz w:val="20"/>
        </w:rPr>
        <w:t>. The following is a list of exhibits filed with this Annual Report or incorporated herein by reference:</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1316"/>
        <w:gridCol w:w="1154"/>
        <w:gridCol w:w="1158"/>
        <w:gridCol w:w="109"/>
        <w:gridCol w:w="109"/>
        <w:gridCol w:w="109"/>
        <w:gridCol w:w="176"/>
        <w:gridCol w:w="176"/>
        <w:gridCol w:w="177"/>
        <w:gridCol w:w="109"/>
        <w:gridCol w:w="109"/>
        <w:gridCol w:w="109"/>
        <w:gridCol w:w="302"/>
        <w:gridCol w:w="253"/>
        <w:gridCol w:w="182"/>
        <w:gridCol w:w="109"/>
        <w:gridCol w:w="109"/>
        <w:gridCol w:w="109"/>
        <w:gridCol w:w="225"/>
        <w:gridCol w:w="225"/>
        <w:gridCol w:w="226"/>
        <w:gridCol w:w="109"/>
        <w:gridCol w:w="109"/>
        <w:gridCol w:w="109"/>
        <w:gridCol w:w="453"/>
        <w:gridCol w:w="294"/>
        <w:gridCol w:w="298"/>
        <w:gridCol w:w="109"/>
        <w:gridCol w:w="109"/>
        <w:gridCol w:w="109"/>
        <w:gridCol w:w="250"/>
        <w:gridCol w:w="250"/>
        <w:gridCol w:w="362"/>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Incorporated by Reference</w:t>
            </w:r>
          </w:p>
        </w:tc>
      </w:tr>
      <w:tr>
        <w:trPr/>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Filing</w:t>
              <w:br/>
              <w:t>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File</w:t>
              <w:br/>
              <w:t>Herewith</w:t>
            </w:r>
          </w:p>
        </w:tc>
      </w:tr>
      <w:tr>
        <w:trPr/>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ans-serif" w:hAnsi="Times New Roman;sans-serif"/>
                  <w:b w:val="false"/>
                  <w:color w:val="0000FF"/>
                  <w:sz w:val="18"/>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ans-serif" w:hAnsi="Times New Roman;sans-serif"/>
                  <w:b w:val="false"/>
                  <w:color w:val="0000FF"/>
                  <w:sz w:val="18"/>
                  <w:u w:val="single"/>
                </w:rPr>
                <w:t>Amended and Restated Certificate of Incorporation of the Registrant, as currently in effect.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11,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ans-serif" w:hAnsi="Times New Roman;sans-serif"/>
                  <w:b w:val="false"/>
                  <w:color w:val="0000FF"/>
                  <w:sz w:val="18"/>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ans-serif" w:hAnsi="Times New Roman;sans-serif"/>
                  <w:b w:val="false"/>
                  <w:color w:val="000080"/>
                  <w:sz w:val="18"/>
                  <w:u w:val="single"/>
                </w:rPr>
                <w:t xml:space="preserve">Second </w:t>
              </w:r>
            </w:hyperlink>
            <w:hyperlink r:id="rId16">
              <w:r>
                <w:rPr>
                  <w:rStyle w:val="InternetLink"/>
                  <w:rFonts w:ascii="Times New Roman;sans-serif" w:hAnsi="Times New Roman;sans-serif"/>
                  <w:b w:val="false"/>
                  <w:color w:val="000080"/>
                  <w:sz w:val="18"/>
                  <w:u w:val="single"/>
                </w:rPr>
                <w:t>Amended and Restated Bylaws of the Registrant, as currently in effect.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16,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ans-serif" w:hAnsi="Times New Roman;sans-serif"/>
                  <w:b w:val="false"/>
                  <w:color w:val="0000FF"/>
                  <w:sz w:val="18"/>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ans-serif" w:hAnsi="Times New Roman;sans-serif"/>
                  <w:b w:val="false"/>
                  <w:color w:val="0000FF"/>
                  <w:sz w:val="18"/>
                  <w:u w:val="single"/>
                </w:rPr>
                <w:t>Specimen Common Stock Certificate of the Registrant</w:t>
              </w:r>
            </w:hyperlink>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333-238146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26,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ans-serif" w:hAnsi="Times New Roman;sans-serif"/>
                  <w:b w:val="false"/>
                  <w:color w:val="0000FF"/>
                  <w:sz w:val="18"/>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ans-serif" w:hAnsi="Times New Roman;sans-serif"/>
                  <w:b w:val="false"/>
                  <w:color w:val="0000FF"/>
                  <w:sz w:val="18"/>
                  <w:u w:val="single"/>
                </w:rPr>
                <w:t>Description of the Registrant’s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16,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ans-serif" w:hAnsi="Times New Roman;sans-serif"/>
                  <w:b w:val="false"/>
                  <w:color w:val="0000FF"/>
                  <w:sz w:val="18"/>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ans-serif" w:hAnsi="Times New Roman;sans-serif"/>
                  <w:b w:val="false"/>
                  <w:color w:val="0000FF"/>
                  <w:sz w:val="18"/>
                  <w:u w:val="single"/>
                </w:rPr>
                <w:t>2020 Stock Option and Incentive Plan and forms of award agreement</w:t>
              </w:r>
            </w:hyperlink>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333-238146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26,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ans-serif" w:hAnsi="Times New Roman;sans-serif"/>
                  <w:b w:val="false"/>
                  <w:color w:val="0000FF"/>
                  <w:sz w:val="18"/>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ans-serif" w:hAnsi="Times New Roman;sans-serif"/>
                  <w:b w:val="false"/>
                  <w:color w:val="0000FF"/>
                  <w:sz w:val="18"/>
                  <w:u w:val="single"/>
                </w:rPr>
                <w:t>2015 Equity Incentive Plan and forms of award agreements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333-238146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ans-serif" w:hAnsi="Times New Roman;sans-serif"/>
                  <w:b w:val="false"/>
                  <w:color w:val="0000FF"/>
                  <w:sz w:val="18"/>
                  <w:u w:val="single"/>
                </w:rPr>
                <w:t>10.3</w:t>
              </w:r>
            </w:hyperlink>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ans-serif" w:hAnsi="Times New Roman;sans-serif"/>
                  <w:b w:val="false"/>
                  <w:color w:val="0000FF"/>
                  <w:sz w:val="18"/>
                  <w:u w:val="single"/>
                </w:rPr>
                <w:t>2020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333-238146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26,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ans-serif" w:hAnsi="Times New Roman;sans-serif"/>
                  <w:b w:val="false"/>
                  <w:color w:val="0000FF"/>
                  <w:sz w:val="18"/>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ans-serif" w:hAnsi="Times New Roman;sans-serif"/>
                  <w:b w:val="false"/>
                  <w:color w:val="0000FF"/>
                  <w:sz w:val="18"/>
                  <w:u w:val="single"/>
                </w:rPr>
                <w:t>Senior Executive Cash Incentive Bonus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333-238146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ans-serif" w:hAnsi="Times New Roman;sans-serif"/>
                  <w:b w:val="false"/>
                  <w:color w:val="0000FF"/>
                  <w:sz w:val="18"/>
                  <w:u w:val="single"/>
                </w:rPr>
                <w:t>10.5</w:t>
              </w:r>
            </w:hyperlink>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ans-serif" w:hAnsi="Times New Roman;sans-serif"/>
                  <w:b w:val="false"/>
                  <w:color w:val="0000FF"/>
                  <w:sz w:val="18"/>
                  <w:u w:val="single"/>
                </w:rPr>
                <w:t>Non-Employee Director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333-238146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26,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ans-serif" w:hAnsi="Times New Roman;sans-serif"/>
                  <w:b w:val="false"/>
                  <w:color w:val="0000FF"/>
                  <w:sz w:val="18"/>
                  <w:u w:val="single"/>
                </w:rPr>
                <w:t>10.6</w:t>
              </w:r>
            </w:hyperlink>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ans-serif" w:hAnsi="Times New Roman;sans-serif"/>
                  <w:b w:val="false"/>
                  <w:color w:val="0000FF"/>
                  <w:sz w:val="18"/>
                  <w:u w:val="single"/>
                </w:rPr>
                <w:t>Executive Severance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333-238146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ans-serif" w:hAnsi="Times New Roman;sans-serif"/>
                  <w:b w:val="false"/>
                  <w:color w:val="0000FF"/>
                  <w:sz w:val="18"/>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ans-serif" w:hAnsi="Times New Roman;sans-serif"/>
                  <w:b w:val="false"/>
                  <w:color w:val="0000FF"/>
                  <w:sz w:val="18"/>
                  <w:u w:val="single"/>
                </w:rPr>
                <w:t>Offer Letter, by and between the Registrant and Mike Ouimette, dated August 17,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10.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Times New Roman;sans-serif" w:hAnsi="Times New Roman;sans-serif"/>
                  <w:b w:val="false"/>
                  <w:color w:val="0000FF"/>
                  <w:sz w:val="18"/>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Times New Roman;sans-serif" w:hAnsi="Times New Roman;sans-serif"/>
                  <w:b w:val="false"/>
                  <w:color w:val="0000FF"/>
                  <w:sz w:val="18"/>
                  <w:u w:val="single"/>
                </w:rPr>
                <w:t>Offer Letter, by and between the Registrant and Éric Lefebvre, M.D., dated February 28,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333-238146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ans-serif" w:hAnsi="Times New Roman;sans-serif"/>
                  <w:b w:val="false"/>
                  <w:color w:val="0000FF"/>
                  <w:sz w:val="18"/>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Times New Roman;sans-serif" w:hAnsi="Times New Roman;sans-serif"/>
                  <w:b w:val="false"/>
                  <w:color w:val="0000FF"/>
                  <w:sz w:val="18"/>
                  <w:u w:val="single"/>
                </w:rPr>
                <w:t>Offer Letter, by and between the Registrant and Keith Cummings, M.D., MBA, dated November 29,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333-238146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Times New Roman;sans-serif" w:hAnsi="Times New Roman;sans-serif"/>
                  <w:b w:val="false"/>
                  <w:color w:val="0000FF"/>
                  <w:sz w:val="18"/>
                  <w:u w:val="single"/>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Times New Roman;sans-serif" w:hAnsi="Times New Roman;sans-serif"/>
                  <w:b w:val="false"/>
                  <w:color w:val="0000FF"/>
                  <w:sz w:val="18"/>
                  <w:u w:val="single"/>
                </w:rPr>
                <w:t>Offer Letter, by and between the Registrant and Hans Hull, J.D., dated February 10, 2016.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333-238146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1">
              <w:r>
                <w:rPr>
                  <w:rStyle w:val="InternetLink"/>
                  <w:rFonts w:ascii="Times New Roman;sans-serif" w:hAnsi="Times New Roman;sans-serif"/>
                  <w:b w:val="false"/>
                  <w:color w:val="0000FF"/>
                  <w:sz w:val="18"/>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18"/>
                  <w:u w:val="single"/>
                </w:rPr>
                <w:t>Offer Letter, by and between the Registrant and Bernard Coulie, M.D., Ph.D., dated October 12, 2015.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333-238146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Times New Roman;sans-serif" w:hAnsi="Times New Roman;sans-serif"/>
                  <w:b w:val="false"/>
                  <w:color w:val="0000FF"/>
                  <w:sz w:val="18"/>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Times New Roman;sans-serif" w:hAnsi="Times New Roman;sans-serif"/>
                  <w:b w:val="false"/>
                  <w:color w:val="0000FF"/>
                  <w:sz w:val="18"/>
                  <w:u w:val="single"/>
                </w:rPr>
                <w:t>Form of Indemnification Agreement, by and between the Registrant and each of its directors and certain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333-238146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5">
              <w:r>
                <w:rPr>
                  <w:rStyle w:val="InternetLink"/>
                  <w:rFonts w:ascii="Times New Roman;sans-serif" w:hAnsi="Times New Roman;sans-serif"/>
                  <w:b w:val="false"/>
                  <w:color w:val="0000FF"/>
                  <w:sz w:val="18"/>
                  <w:u w:val="single"/>
                </w:rPr>
                <w:t>10.13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Times New Roman;sans-serif" w:hAnsi="Times New Roman;sans-serif"/>
                  <w:b w:val="false"/>
                  <w:color w:val="0000FF"/>
                  <w:sz w:val="18"/>
                  <w:u w:val="single"/>
                </w:rPr>
                <w:t>Office Lease, by and between the Registrant and 260 Littlefield Avenue South San Francisco, California 94080, dated February 6,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333-238146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7">
              <w:r>
                <w:rPr>
                  <w:rStyle w:val="InternetLink"/>
                  <w:rFonts w:ascii="Times New Roman;sans-serif" w:hAnsi="Times New Roman;sans-serif"/>
                  <w:b w:val="false"/>
                  <w:color w:val="000080"/>
                  <w:sz w:val="18"/>
                  <w:u w:val="single"/>
                </w:rPr>
                <w:t>10.1</w:t>
              </w:r>
            </w:hyperlink>
            <w:hyperlink r:id="rId48">
              <w:r>
                <w:rPr>
                  <w:rStyle w:val="InternetLink"/>
                  <w:rFonts w:ascii="Times New Roman;sans-serif" w:hAnsi="Times New Roman;sans-serif"/>
                  <w:b w:val="false"/>
                  <w:color w:val="000080"/>
                  <w:sz w:val="18"/>
                  <w:u w:val="single"/>
                </w:rPr>
                <w:t>4</w:t>
              </w:r>
            </w:hyperlink>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18"/>
                  <w:u w:val="single"/>
                </w:rPr>
                <w:t>2022 Inducement Plan dated September 14,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9"/>
        <w:gridCol w:w="245"/>
        <w:gridCol w:w="246"/>
        <w:gridCol w:w="109"/>
        <w:gridCol w:w="109"/>
        <w:gridCol w:w="109"/>
        <w:gridCol w:w="1455"/>
        <w:gridCol w:w="1254"/>
        <w:gridCol w:w="1259"/>
        <w:gridCol w:w="109"/>
        <w:gridCol w:w="109"/>
        <w:gridCol w:w="109"/>
        <w:gridCol w:w="175"/>
        <w:gridCol w:w="175"/>
        <w:gridCol w:w="176"/>
        <w:gridCol w:w="109"/>
        <w:gridCol w:w="109"/>
        <w:gridCol w:w="109"/>
        <w:gridCol w:w="242"/>
        <w:gridCol w:w="220"/>
        <w:gridCol w:w="162"/>
        <w:gridCol w:w="109"/>
        <w:gridCol w:w="109"/>
        <w:gridCol w:w="109"/>
        <w:gridCol w:w="225"/>
        <w:gridCol w:w="225"/>
        <w:gridCol w:w="226"/>
        <w:gridCol w:w="109"/>
        <w:gridCol w:w="109"/>
        <w:gridCol w:w="109"/>
        <w:gridCol w:w="343"/>
        <w:gridCol w:w="236"/>
        <w:gridCol w:w="238"/>
        <w:gridCol w:w="109"/>
        <w:gridCol w:w="109"/>
        <w:gridCol w:w="109"/>
        <w:gridCol w:w="250"/>
        <w:gridCol w:w="250"/>
        <w:gridCol w:w="362"/>
      </w:tblGrid>
      <w:tr>
        <w:trPr/>
        <w:tc>
          <w:tcPr>
            <w:tcW w:w="27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3"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Incorporated by Reference</w:t>
            </w:r>
          </w:p>
        </w:tc>
      </w:tr>
      <w:tr>
        <w:trPr/>
        <w:tc>
          <w:tcPr>
            <w:tcW w:w="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Filing</w:t>
              <w:br/>
              <w:t>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File</w:t>
              <w:br/>
              <w:t>Herewith</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0">
              <w:r>
                <w:rPr>
                  <w:rStyle w:val="InternetLink"/>
                  <w:rFonts w:ascii="Times New Roman;sans-serif" w:hAnsi="Times New Roman;sans-serif"/>
                  <w:b w:val="false"/>
                  <w:color w:val="000080"/>
                  <w:sz w:val="18"/>
                  <w:u w:val="single"/>
                </w:rPr>
                <w:t>10.1</w:t>
              </w:r>
            </w:hyperlink>
            <w:hyperlink r:id="rId51">
              <w:r>
                <w:rPr>
                  <w:rStyle w:val="InternetLink"/>
                  <w:rFonts w:ascii="Times New Roman;sans-serif" w:hAnsi="Times New Roman;sans-serif"/>
                  <w:b w:val="false"/>
                  <w:color w:val="000080"/>
                  <w:sz w:val="18"/>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2">
              <w:r>
                <w:rPr>
                  <w:rStyle w:val="InternetLink"/>
                  <w:rFonts w:ascii="Times New Roman;sans-serif" w:hAnsi="Times New Roman;sans-serif"/>
                  <w:b w:val="false"/>
                  <w:color w:val="0000FF"/>
                  <w:sz w:val="18"/>
                  <w:u w:val="single"/>
                </w:rPr>
                <w:t>Loan and Security Agreement, by and between Registrant and Oxford Finance LLC, dated May 4,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3">
              <w:r>
                <w:rPr>
                  <w:rStyle w:val="InternetLink"/>
                  <w:rFonts w:ascii="Times New Roman;sans-serif" w:hAnsi="Times New Roman;sans-serif"/>
                  <w:b w:val="false"/>
                  <w:color w:val="000080"/>
                  <w:sz w:val="18"/>
                  <w:u w:val="single"/>
                </w:rPr>
                <w:t>10.1</w:t>
              </w:r>
            </w:hyperlink>
            <w:hyperlink r:id="rId54">
              <w:r>
                <w:rPr>
                  <w:rStyle w:val="InternetLink"/>
                  <w:rFonts w:ascii="Times New Roman;sans-serif" w:hAnsi="Times New Roman;sans-serif"/>
                  <w:b w:val="false"/>
                  <w:color w:val="000080"/>
                  <w:sz w:val="18"/>
                  <w:u w:val="single"/>
                </w:rPr>
                <w:t>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5">
              <w:r>
                <w:rPr>
                  <w:rStyle w:val="InternetLink"/>
                  <w:rFonts w:ascii="Times New Roman;sans-serif" w:hAnsi="Times New Roman;sans-serif"/>
                  <w:b w:val="false"/>
                  <w:color w:val="0000FF"/>
                  <w:sz w:val="18"/>
                  <w:u w:val="single"/>
                </w:rPr>
                <w:t>First Amendment to Loan and Security Agreement, by and between Registrant and Oxford Finance LLC, dated October 4,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7non-employeedir.htm">
              <w:r>
                <w:rPr>
                  <w:rStyle w:val="InternetLink"/>
                  <w:rFonts w:ascii="Times New Roman;sans-serif" w:hAnsi="Times New Roman;sans-serif"/>
                  <w:b w:val="false"/>
                  <w:color w:val="000080"/>
                  <w:sz w:val="18"/>
                  <w:u w:val="single"/>
                </w:rPr>
                <w:t>10.</w:t>
              </w:r>
            </w:hyperlink>
            <w:hyperlink w:anchor="exhibit1017non-employeedir.htm">
              <w:r>
                <w:rPr>
                  <w:rStyle w:val="InternetLink"/>
                  <w:rFonts w:ascii="Times New Roman;sans-serif" w:hAnsi="Times New Roman;sans-serif"/>
                  <w:b w:val="false"/>
                  <w:color w:val="000080"/>
                  <w:sz w:val="18"/>
                  <w:u w:val="single"/>
                </w:rPr>
                <w:t>1</w:t>
              </w:r>
            </w:hyperlink>
            <w:hyperlink w:anchor="exhibit1017non-employeedir.htm">
              <w:r>
                <w:rPr>
                  <w:rStyle w:val="InternetLink"/>
                  <w:rFonts w:ascii="Times New Roman;sans-serif" w:hAnsi="Times New Roman;sans-serif"/>
                  <w:b w:val="false"/>
                  <w:color w:val="000080"/>
                  <w:sz w:val="18"/>
                  <w:u w:val="single"/>
                </w:rPr>
                <w:t>7</w:t>
              </w:r>
            </w:hyperlink>
            <w:hyperlink w:anchor="exhibit1017non-employeedir.htm">
              <w:r>
                <w:rPr>
                  <w:rStyle w:val="InternetLink"/>
                  <w:rFonts w:ascii="Times New Roman;sans-serif" w:hAnsi="Times New Roman;sans-serif"/>
                  <w:b w:val="false"/>
                  <w:color w:val="000080"/>
                  <w:sz w:val="18"/>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7non-employeedir.htm">
              <w:r>
                <w:rPr>
                  <w:rStyle w:val="InternetLink"/>
                  <w:rFonts w:ascii="Times New Roman;sans-serif" w:hAnsi="Times New Roman;sans-serif"/>
                  <w:b w:val="false"/>
                  <w:color w:val="0000FF"/>
                  <w:sz w:val="18"/>
                  <w:u w:val="single"/>
                </w:rPr>
                <w:t>Amended and Restated Non-Employee Director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6">
              <w:r>
                <w:rPr>
                  <w:rStyle w:val="InternetLink"/>
                  <w:rFonts w:ascii="Times New Roman;sans-serif" w:hAnsi="Times New Roman;sans-serif"/>
                  <w:b w:val="false"/>
                  <w:color w:val="000080"/>
                  <w:sz w:val="18"/>
                  <w:u w:val="single"/>
                </w:rPr>
                <w:t>10.</w:t>
              </w:r>
            </w:hyperlink>
            <w:hyperlink r:id="rId57">
              <w:r>
                <w:rPr>
                  <w:rStyle w:val="InternetLink"/>
                  <w:rFonts w:ascii="Times New Roman;sans-serif" w:hAnsi="Times New Roman;sans-serif"/>
                  <w:b w:val="false"/>
                  <w:color w:val="000080"/>
                  <w:sz w:val="18"/>
                  <w:u w:val="single"/>
                </w:rPr>
                <w:t>1</w:t>
              </w:r>
            </w:hyperlink>
            <w:hyperlink r:id="rId58">
              <w:r>
                <w:rPr>
                  <w:rStyle w:val="InternetLink"/>
                  <w:rFonts w:ascii="Times New Roman;sans-serif" w:hAnsi="Times New Roman;sans-serif"/>
                  <w:b w:val="false"/>
                  <w:color w:val="000080"/>
                  <w:sz w:val="18"/>
                  <w:u w:val="single"/>
                </w:rPr>
                <w:t>8</w:t>
              </w:r>
            </w:hyperlink>
            <w:hyperlink r:id="rId59">
              <w:r>
                <w:rPr>
                  <w:rStyle w:val="InternetLink"/>
                  <w:rFonts w:ascii="Times New Roman;sans-serif" w:hAnsi="Times New Roman;sans-serif"/>
                  <w:b w:val="false"/>
                  <w:color w:val="000080"/>
                  <w:sz w:val="18"/>
                  <w:u w:val="single"/>
                </w:rPr>
                <w:t xml:space="preserve">#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ans-serif" w:hAnsi="Times New Roman;sans-serif"/>
                  <w:b w:val="false"/>
                  <w:color w:val="0000FF"/>
                  <w:sz w:val="18"/>
                  <w:u w:val="single"/>
                </w:rPr>
                <w:t>Offer Letter, by and between the Registrant and Lily Cheung, dated December 21,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1">
              <w:r>
                <w:rPr>
                  <w:rStyle w:val="InternetLink"/>
                  <w:rFonts w:ascii="Times New Roman;sans-serif" w:hAnsi="Times New Roman;sans-serif"/>
                  <w:b w:val="false"/>
                  <w:color w:val="000080"/>
                  <w:sz w:val="18"/>
                  <w:u w:val="single"/>
                </w:rPr>
                <w:t>10.</w:t>
              </w:r>
            </w:hyperlink>
            <w:hyperlink r:id="rId62">
              <w:r>
                <w:rPr>
                  <w:rStyle w:val="InternetLink"/>
                  <w:rFonts w:ascii="Times New Roman;sans-serif" w:hAnsi="Times New Roman;sans-serif"/>
                  <w:b w:val="false"/>
                  <w:color w:val="000080"/>
                  <w:sz w:val="18"/>
                  <w:u w:val="single"/>
                </w:rPr>
                <w:t>19</w:t>
              </w:r>
            </w:hyperlink>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3">
              <w:r>
                <w:rPr>
                  <w:rStyle w:val="InternetLink"/>
                  <w:rFonts w:ascii="Times New Roman;sans-serif" w:hAnsi="Times New Roman;sans-serif"/>
                  <w:b w:val="false"/>
                  <w:color w:val="0000FF"/>
                  <w:sz w:val="18"/>
                  <w:u w:val="single"/>
                </w:rPr>
                <w:t>Lease Agreement by and between the Registrant and HCP BTC, LLC, dated September 28,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23,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4">
              <w:r>
                <w:rPr>
                  <w:rStyle w:val="InternetLink"/>
                  <w:rFonts w:ascii="Times New Roman;sans-serif" w:hAnsi="Times New Roman;sans-serif"/>
                  <w:b w:val="false"/>
                  <w:color w:val="000080"/>
                  <w:sz w:val="18"/>
                  <w:u w:val="single"/>
                </w:rPr>
                <w:t>10.2</w:t>
              </w:r>
            </w:hyperlink>
            <w:hyperlink r:id="rId65">
              <w:r>
                <w:rPr>
                  <w:rStyle w:val="InternetLink"/>
                  <w:rFonts w:ascii="Times New Roman;sans-serif" w:hAnsi="Times New Roman;sans-serif"/>
                  <w:b w:val="false"/>
                  <w:color w:val="000080"/>
                  <w:sz w:val="18"/>
                  <w:u w:val="single"/>
                </w:rPr>
                <w:t>0</w:t>
              </w:r>
            </w:hyperlink>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6">
              <w:r>
                <w:rPr>
                  <w:rStyle w:val="InternetLink"/>
                  <w:rFonts w:ascii="Times New Roman;sans-serif" w:hAnsi="Times New Roman;sans-serif"/>
                  <w:b w:val="false"/>
                  <w:color w:val="0000FF"/>
                  <w:sz w:val="18"/>
                  <w:u w:val="single"/>
                </w:rPr>
                <w:t>Termination Agreement by and between the Registrant and Healthpeak OP, LLC, dated September 28,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23,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31auditorsconsent.htm">
              <w:r>
                <w:rPr>
                  <w:rStyle w:val="InternetLink"/>
                  <w:rFonts w:ascii="Times New Roman;sans-serif" w:hAnsi="Times New Roman;sans-serif"/>
                  <w:b w:val="false"/>
                  <w:color w:val="0000FF"/>
                  <w:sz w:val="18"/>
                  <w:u w:val="single"/>
                </w:rPr>
                <w:t>Consent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ceocertification.htm">
              <w:r>
                <w:rPr>
                  <w:rStyle w:val="InternetLink"/>
                  <w:rFonts w:ascii="Times New Roman;sans-serif" w:hAnsi="Times New Roman;sans-serif"/>
                  <w:b w:val="false"/>
                  <w:color w:val="0000FF"/>
                  <w:sz w:val="18"/>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ceocertification.htm">
              <w:r>
                <w:rPr>
                  <w:rStyle w:val="InternetLink"/>
                  <w:rFonts w:ascii="Times New Roman;sans-serif" w:hAnsi="Times New Roman;sans-serif"/>
                  <w:b w:val="false"/>
                  <w:color w:val="0000FF"/>
                  <w:sz w:val="18"/>
                  <w:u w:val="single"/>
                </w:rPr>
                <w:t>Certification of Chief Executive Officer required by Rule 13a-14(a) or Rule 15d-14(a) of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2cfocertification.htm">
              <w:r>
                <w:rPr>
                  <w:rStyle w:val="InternetLink"/>
                  <w:rFonts w:ascii="Times New Roman;sans-serif" w:hAnsi="Times New Roman;sans-serif"/>
                  <w:b w:val="false"/>
                  <w:color w:val="0000FF"/>
                  <w:sz w:val="18"/>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2cfocertification.htm">
              <w:r>
                <w:rPr>
                  <w:rStyle w:val="InternetLink"/>
                  <w:rFonts w:ascii="Times New Roman;sans-serif" w:hAnsi="Times New Roman;sans-serif"/>
                  <w:b w:val="false"/>
                  <w:color w:val="0000FF"/>
                  <w:sz w:val="18"/>
                  <w:u w:val="single"/>
                </w:rPr>
                <w:t>Certification of Chief Financial Officer required by Rule 13a-14(a) or Rule 15d-14(a) of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1ceoandcfocertifi.htm">
              <w:r>
                <w:rPr>
                  <w:rStyle w:val="InternetLink"/>
                  <w:rFonts w:ascii="Times New Roman;sans-serif" w:hAnsi="Times New Roman;sans-serif"/>
                  <w:b w:val="false"/>
                  <w:color w:val="0000FF"/>
                  <w:sz w:val="18"/>
                  <w:u w:val="single"/>
                </w:rPr>
                <w:t>32.1</w:t>
              </w:r>
            </w:hyperlink>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1ceoandcfocertifi.htm">
              <w:r>
                <w:rPr>
                  <w:rStyle w:val="InternetLink"/>
                  <w:rFonts w:ascii="Times New Roman;sans-serif" w:hAnsi="Times New Roman;sans-serif"/>
                  <w:b w:val="false"/>
                  <w:color w:val="0000FF"/>
                  <w:sz w:val="18"/>
                  <w:u w:val="single"/>
                </w:rPr>
                <w:t>Certification of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97clawbackpolicy.htm">
              <w:r>
                <w:rPr>
                  <w:rStyle w:val="InternetLink"/>
                  <w:rFonts w:ascii="Times New Roman;sans-serif" w:hAnsi="Times New Roman;sans-serif"/>
                  <w:b w:val="false"/>
                  <w:color w:val="0000FF"/>
                  <w:sz w:val="18"/>
                  <w:u w:val="single"/>
                </w:rPr>
                <w:t>97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7clawbackpolicy.htm">
              <w:r>
                <w:rPr>
                  <w:rStyle w:val="InternetLink"/>
                  <w:rFonts w:ascii="Times New Roman;sans-serif" w:hAnsi="Times New Roman;sans-serif"/>
                  <w:b w:val="false"/>
                  <w:color w:val="0000FF"/>
                  <w:sz w:val="18"/>
                  <w:u w:val="single"/>
                </w:rPr>
                <w:t>Clawback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Definition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w:t>
      </w:r>
    </w:p>
    <w:p>
      <w:pPr>
        <w:pStyle w:val="TextBody"/>
        <w:bidi w:val="0"/>
        <w:spacing w:lineRule="auto" w:line="288" w:before="120" w:after="12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    The certifications furnished in Exhibit 32.1 hereto are deemed to be furnished with this Annual Report on Form 10-K and will not be deemed to be “filed” for purposes of Section 18 of the Securities Exchange Act of 1934, as amended, except to the extent that the Registrant specifically incorporates them by reference</w:t>
      </w:r>
    </w:p>
    <w:p>
      <w:pPr>
        <w:pStyle w:val="TextBody"/>
        <w:bidi w:val="0"/>
        <w:spacing w:lineRule="auto" w:line="288" w:before="120" w:after="12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    Represents management compensation plan, contract or arrangement.</w:t>
      </w:r>
    </w:p>
    <w:p>
      <w:pPr>
        <w:pStyle w:val="TextBody"/>
        <w:bidi w:val="0"/>
        <w:spacing w:lineRule="auto" w:line="288" w:before="120" w:after="120"/>
        <w:ind w:left="0" w:right="0" w:hanging="720"/>
        <w:jc w:val="left"/>
        <w:rPr/>
      </w:pPr>
      <w:r>
        <w:rPr>
          <w:color w:val="000000"/>
        </w:rPr>
        <w:t>†    </w:t>
      </w:r>
      <w:r>
        <w:rPr>
          <w:rFonts w:ascii="Times New Roman;sans-serif" w:hAnsi="Times New Roman;sans-serif"/>
          <w:b w:val="false"/>
          <w:color w:val="000000"/>
          <w:sz w:val="18"/>
        </w:rPr>
        <w:t>Portions of this exhibit have been omitted pursuant to Item 601(b)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sans-serif" w:hAnsi="Times New Roman;sans-serif"/>
          <w:b/>
          <w:color w:val="000000"/>
          <w:sz w:val="20"/>
        </w:rPr>
        <w: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2024</w:t>
      </w:r>
    </w:p>
    <w:tbl>
      <w:tblPr>
        <w:tblW w:w="4917" w:type="dxa"/>
        <w:jc w:val="left"/>
        <w:tblInd w:w="0" w:type="dxa"/>
        <w:tblLayout w:type="fixed"/>
        <w:tblCellMar>
          <w:top w:w="28" w:type="dxa"/>
          <w:left w:w="28" w:type="dxa"/>
          <w:bottom w:w="28" w:type="dxa"/>
          <w:right w:w="28" w:type="dxa"/>
        </w:tblCellMar>
      </w:tblPr>
      <w:tblGrid>
        <w:gridCol w:w="151"/>
        <w:gridCol w:w="134"/>
        <w:gridCol w:w="135"/>
        <w:gridCol w:w="429"/>
        <w:gridCol w:w="429"/>
        <w:gridCol w:w="429"/>
        <w:gridCol w:w="935"/>
        <w:gridCol w:w="935"/>
        <w:gridCol w:w="1340"/>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PLIANT THERAPEUTICS, INC.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Bernard Coulie</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Bernard Coulie, M.D., Ph.D.</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Keith Cummings</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Keith Cummings, M.D., M.B.A.</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constitutes and appoints, Bernard Coulie and Keith Cummings and each of them, as his or her true and lawful attorneys-in-fact and agents, with full power of substitution for him or her, and in his or her name in any and all capacities, to sign any and all amendments to this Annual Report on Form 10-K, and to file the same, with exhibits thereto and other documents in connection therewith, with the U.S.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either of them, his or her substitute or substitutes, may lawfully do or cause to be done by virtue hereof.</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this Report has been signed below by the following persons on behalf of the Registrant in the capacities and on the dates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before="0" w:after="0"/>
        <w:jc w:val="left"/>
        <w:rPr/>
      </w:pPr>
      <w:r>
        <w:rPr/>
      </w:r>
    </w:p>
    <w:tbl>
      <w:tblPr>
        <w:tblW w:w="8873" w:type="dxa"/>
        <w:jc w:val="left"/>
        <w:tblInd w:w="0" w:type="dxa"/>
        <w:tblLayout w:type="fixed"/>
        <w:tblCellMar>
          <w:top w:w="28" w:type="dxa"/>
          <w:left w:w="28" w:type="dxa"/>
          <w:bottom w:w="28" w:type="dxa"/>
          <w:right w:w="28" w:type="dxa"/>
        </w:tblCellMar>
      </w:tblPr>
      <w:tblGrid>
        <w:gridCol w:w="964"/>
        <w:gridCol w:w="845"/>
        <w:gridCol w:w="861"/>
        <w:gridCol w:w="109"/>
        <w:gridCol w:w="109"/>
        <w:gridCol w:w="109"/>
        <w:gridCol w:w="1299"/>
        <w:gridCol w:w="1299"/>
        <w:gridCol w:w="1316"/>
        <w:gridCol w:w="109"/>
        <w:gridCol w:w="109"/>
        <w:gridCol w:w="109"/>
        <w:gridCol w:w="477"/>
        <w:gridCol w:w="477"/>
        <w:gridCol w:w="681"/>
      </w:tblGrid>
      <w:tr>
        <w:trPr/>
        <w:tc>
          <w:tcPr>
            <w:tcW w:w="96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Bernard Coulie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Bernard Coulie, M.D.,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Keith Cummings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Keith Cummings, M.D., M.B.A.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Hoyoung Huh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Hoyoung Huh, M.D.,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Suzanne Bruhn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Suzanne Bruhn,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Darren Cline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Darren Cline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Pyott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Pyott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Gayle Crowell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Gayle Crowell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Curnutte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Curnutte,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Katharine Knobil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Katharine Knobil,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Thomas McCourt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Thomas McCourt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Smital Shah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Smital Shah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40" w:before="75" w:after="283"/>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40" w:before="5" w:after="283"/>
        <w:jc w:val="center"/>
        <w:rPr>
          <w:rFonts w:ascii="Times New Roman;sans-serif" w:hAnsi="Times New Roman;sans-serif"/>
          <w:b/>
          <w:color w:val="000000"/>
          <w:sz w:val="20"/>
        </w:rPr>
      </w:pPr>
      <w:r>
        <w:rPr>
          <w:rFonts w:ascii="Times New Roman;sans-serif" w:hAnsi="Times New Roman;sans-serif"/>
          <w:b/>
          <w:color w:val="000000"/>
          <w:sz w:val="20"/>
        </w:rPr>
        <w:t>NON-EMPLOYEE DIRECTOR COMPENSATION POLICY</w:t>
      </w:r>
    </w:p>
    <w:p>
      <w:pPr>
        <w:pStyle w:val="TextBody"/>
        <w:bidi w:val="0"/>
        <w:spacing w:lineRule="auto" w:line="240" w:before="274" w:after="283"/>
        <w:jc w:val="both"/>
        <w:rPr/>
      </w:pPr>
      <w:r>
        <w:rPr>
          <w:rFonts w:ascii="Times New Roman;sans-serif" w:hAnsi="Times New Roman;sans-serif"/>
          <w:b w:val="false"/>
          <w:color w:val="000000"/>
          <w:sz w:val="20"/>
        </w:rPr>
        <w:t>The purpose of this Non-Employee Director Compensation Policy (the “</w:t>
      </w:r>
      <w:r>
        <w:rPr>
          <w:rFonts w:ascii="Times New Roman;sans-serif" w:hAnsi="Times New Roman;sans-serif"/>
          <w:b w:val="false"/>
          <w:color w:val="000000"/>
          <w:sz w:val="20"/>
          <w:u w:val="single"/>
        </w:rPr>
        <w:t>Policy</w:t>
      </w:r>
      <w:r>
        <w:rPr>
          <w:color w:val="000000"/>
        </w:rPr>
        <w:t>”</w:t>
      </w:r>
      <w:r>
        <w:rPr>
          <w:rFonts w:ascii="Times New Roman;sans-serif" w:hAnsi="Times New Roman;sans-serif"/>
          <w:b w:val="false"/>
          <w:color w:val="000000"/>
          <w:sz w:val="20"/>
        </w:rPr>
        <w:t>) of Pliant Therapeutics, Inc., a Delaware corporation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is to provide a total compensation package that enables the Company to attract and retain, on a long-term basis, high-caliber directors who are not employees or officers of the Company or its subsidiaries (“</w:t>
      </w:r>
      <w:r>
        <w:rPr>
          <w:rFonts w:ascii="Times New Roman;sans-serif" w:hAnsi="Times New Roman;sans-serif"/>
          <w:b w:val="false"/>
          <w:color w:val="000000"/>
          <w:sz w:val="20"/>
          <w:u w:val="single"/>
        </w:rPr>
        <w:t>Outside Directors</w:t>
      </w:r>
      <w:r>
        <w:rPr>
          <w:color w:val="000000"/>
        </w:rPr>
        <w:t>”</w:t>
      </w:r>
      <w:r>
        <w:rPr>
          <w:rFonts w:ascii="Times New Roman;sans-serif" w:hAnsi="Times New Roman;sans-serif"/>
          <w:b w:val="false"/>
          <w:color w:val="000000"/>
          <w:sz w:val="20"/>
        </w:rPr>
        <w:t>). This Policy was reviewed and updated by the Board of Directors of the Company on March 2, 2023 and shall be effective for all Outside Director compensation after that date. In furtherance of the purpose stated above, all Outside Directors shall be paid compensation for services provided to the Company as set forth below:</w:t>
      </w:r>
    </w:p>
    <w:p>
      <w:pPr>
        <w:pStyle w:val="TextBody"/>
        <w:bidi w:val="0"/>
        <w:spacing w:lineRule="auto" w:line="240" w:before="240" w:after="283"/>
        <w:ind w:left="0" w:right="0" w:hanging="722"/>
        <w:jc w:val="left"/>
        <w:rPr/>
      </w:pPr>
      <w:r>
        <w:rPr>
          <w:rFonts w:ascii="Times New Roman;sans-serif" w:hAnsi="Times New Roman;sans-serif"/>
          <w:b/>
          <w:color w:val="000000"/>
          <w:sz w:val="20"/>
        </w:rPr>
        <w:t>I.</w:t>
      </w:r>
      <w:r>
        <w:rPr>
          <w:rFonts w:ascii="Times New Roman;sans-serif" w:hAnsi="Times New Roman;sans-serif"/>
          <w:b/>
          <w:color w:val="000000"/>
          <w:sz w:val="20"/>
          <w:u w:val="single"/>
        </w:rPr>
        <w:t>Cash Retainers</w:t>
      </w:r>
    </w:p>
    <w:p>
      <w:pPr>
        <w:pStyle w:val="TextBody"/>
        <w:bidi w:val="0"/>
        <w:spacing w:lineRule="auto" w:line="240" w:before="243" w:after="283"/>
        <w:ind w:left="0" w:right="0" w:firstLine="717"/>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Annual Retainer for Board Membership</w:t>
      </w:r>
      <w:r>
        <w:rPr>
          <w:rFonts w:ascii="Times New Roman;sans-serif" w:hAnsi="Times New Roman;sans-serif"/>
          <w:b w:val="false"/>
          <w:color w:val="000000"/>
          <w:sz w:val="20"/>
        </w:rPr>
        <w:t>: $40,000 for general availability and participation in meetings and conference calls of our Board of Directors, to be paid quarterly in arrears, pro-rated based on the number of actual days served by the director during such calendar quarter. No additional compensation for attending individual Board meetings.</w:t>
      </w:r>
    </w:p>
    <w:p>
      <w:pPr>
        <w:pStyle w:val="TextBody"/>
        <w:bidi w:val="0"/>
        <w:spacing w:lineRule="auto" w:line="240" w:before="240" w:after="283"/>
        <w:ind w:left="0" w:right="0" w:hanging="722"/>
        <w:jc w:val="left"/>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Additional Annual Retainers for Committee Membership</w:t>
      </w:r>
      <w:r>
        <w:rPr>
          <w:rFonts w:ascii="Times New Roman;sans-serif" w:hAnsi="Times New Roman;sans-serif"/>
          <w:b w:val="false"/>
          <w:color w:val="000000"/>
          <w:sz w:val="20"/>
        </w:rPr>
        <w:t>:</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Committee Chairperson:    $17,000</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Committee member:    $8,500</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Committee Chairperson:    $12,000</w:t>
      </w:r>
    </w:p>
    <w:p>
      <w:pPr>
        <w:pStyle w:val="TextBody"/>
        <w:bidi w:val="0"/>
        <w:spacing w:lineRule="auto" w:line="520" w:before="241"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Committee member:    $6,000 Nominating and Corporate Governance Committee Chairperson:    $10,000 Nominating and Corporate Governance Committee member:    $5,000 Research and Development Committee Chairperson:    $10,000</w:t>
      </w:r>
    </w:p>
    <w:p>
      <w:pPr>
        <w:pStyle w:val="TextBody"/>
        <w:bidi w:val="0"/>
        <w:spacing w:lineRule="auto" w:line="3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Committee member:    $5,000</w:t>
      </w:r>
    </w:p>
    <w:p>
      <w:pPr>
        <w:pStyle w:val="TextBody"/>
        <w:bidi w:val="0"/>
        <w:spacing w:lineRule="auto" w:line="240" w:before="237" w:after="283"/>
        <w:ind w:left="0" w:right="0" w:firstLine="717"/>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Additional Retainer for Non-Executive Chairperson or Lead Director of the Board</w:t>
      </w:r>
      <w:r>
        <w:rPr>
          <w:color w:val="000000"/>
        </w:rPr>
        <w:t xml:space="preserve"> </w:t>
      </w:r>
      <w:r>
        <w:rPr>
          <w:rFonts w:ascii="Times New Roman;sans-serif" w:hAnsi="Times New Roman;sans-serif"/>
          <w:b w:val="false"/>
          <w:color w:val="000000"/>
          <w:sz w:val="20"/>
          <w:u w:val="single"/>
        </w:rPr>
        <w:t>of Directors</w:t>
      </w:r>
      <w:r>
        <w:rPr>
          <w:rFonts w:ascii="Times New Roman;sans-serif" w:hAnsi="Times New Roman;sans-serif"/>
          <w:b w:val="false"/>
          <w:color w:val="000000"/>
          <w:sz w:val="20"/>
        </w:rPr>
        <w:t>: $30,000 to acknowledge the additional responsibilities and time commitment of the Chairperson role, or in the absence of a Chairperson, of the Outside Director designated Lead Director.</w:t>
      </w:r>
    </w:p>
    <w:p>
      <w:pPr>
        <w:pStyle w:val="TextBody"/>
        <w:bidi w:val="0"/>
        <w:spacing w:lineRule="auto" w:line="240" w:before="244" w:after="283"/>
        <w:ind w:left="0" w:right="0" w:hanging="722"/>
        <w:jc w:val="left"/>
        <w:rPr/>
      </w:pPr>
      <w:r>
        <w:rPr>
          <w:rFonts w:ascii="Times New Roman;sans-serif" w:hAnsi="Times New Roman;sans-serif"/>
          <w:b/>
          <w:color w:val="000000"/>
          <w:sz w:val="20"/>
        </w:rPr>
        <w:t>II.</w:t>
      </w:r>
      <w:r>
        <w:rPr>
          <w:rFonts w:ascii="Times New Roman;sans-serif" w:hAnsi="Times New Roman;sans-serif"/>
          <w:b/>
          <w:color w:val="000000"/>
          <w:sz w:val="20"/>
          <w:u w:val="single"/>
        </w:rPr>
        <w:t>Equity Retainers</w:t>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grants of equity retainer awards to Outside Directors pursuant to this Policy will be automatic and nondiscretionary and will be made in accordance with the following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725170"/>
                <wp:effectExtent l="0" t="0" r="0" b="0"/>
                <wp:wrapNone/>
                <wp:docPr id="130" name="Frame121"/>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1769" w:type="dxa"/>
                              <w:jc w:val="left"/>
                              <w:tblInd w:w="0" w:type="dxa"/>
                              <w:tblLayout w:type="fixed"/>
                              <w:tblCellMar>
                                <w:top w:w="28" w:type="dxa"/>
                                <w:left w:w="28" w:type="dxa"/>
                                <w:bottom w:w="28" w:type="dxa"/>
                                <w:right w:w="28" w:type="dxa"/>
                              </w:tblCellMar>
                            </w:tblPr>
                            <w:tblGrid>
                              <w:gridCol w:w="565"/>
                              <w:gridCol w:w="497"/>
                              <w:gridCol w:w="707"/>
                            </w:tblGrid>
                            <w:tr>
                              <w:trPr/>
                              <w:tc>
                                <w:tcPr>
                                  <w:tcW w:w="565" w:type="dxa"/>
                                  <w:tcBorders/>
                                  <w:vAlign w:val="center"/>
                                </w:tcPr>
                                <w:p>
                                  <w:pPr>
                                    <w:pStyle w:val="TableContents"/>
                                    <w:bidi w:val="0"/>
                                    <w:spacing w:before="0" w:after="283"/>
                                    <w:jc w:val="left"/>
                                    <w:rPr>
                                      <w:sz w:val="4"/>
                                      <w:szCs w:val="4"/>
                                    </w:rPr>
                                  </w:pPr>
                                  <w:r>
                                    <w:rPr>
                                      <w:sz w:val="4"/>
                                      <w:szCs w:val="4"/>
                                    </w:rPr>
                                  </w:r>
                                  <w:r>
                                    <w:br w:type="page"/>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ACTIVE/106239414.4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1769" w:type="dxa"/>
                        <w:jc w:val="left"/>
                        <w:tblInd w:w="0" w:type="dxa"/>
                        <w:tblLayout w:type="fixed"/>
                        <w:tblCellMar>
                          <w:top w:w="28" w:type="dxa"/>
                          <w:left w:w="28" w:type="dxa"/>
                          <w:bottom w:w="28" w:type="dxa"/>
                          <w:right w:w="28" w:type="dxa"/>
                        </w:tblCellMar>
                      </w:tblPr>
                      <w:tblGrid>
                        <w:gridCol w:w="565"/>
                        <w:gridCol w:w="497"/>
                        <w:gridCol w:w="707"/>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ACTIVE/106239414.4</w:t>
                            </w:r>
                          </w:p>
                        </w:tc>
                      </w:tr>
                    </w:tbl>
                    <w:p>
                      <w:pPr>
                        <w:pStyle w:val="TextBody"/>
                        <w:bidi w:val="0"/>
                        <w:spacing w:before="0" w:after="283"/>
                        <w:jc w:val="left"/>
                        <w:rPr/>
                      </w:pPr>
                      <w:r>
                        <w:rPr/>
                      </w:r>
                    </w:p>
                  </w:txbxContent>
                </v:textbox>
                <w10:wrap type="none"/>
              </v:rect>
            </w:pict>
          </mc:Fallback>
        </mc:AlternateContent>
      </w:r>
    </w:p>
    <w:tbl>
      <w:tblPr>
        <w:tblW w:w="794" w:type="dxa"/>
        <w:jc w:val="left"/>
        <w:tblInd w:w="0" w:type="dxa"/>
        <w:tblLayout w:type="fixed"/>
        <w:tblCellMar>
          <w:top w:w="28" w:type="dxa"/>
          <w:left w:w="28" w:type="dxa"/>
          <w:bottom w:w="28" w:type="dxa"/>
          <w:right w:w="28" w:type="dxa"/>
        </w:tblCellMar>
      </w:tblPr>
      <w:tblGrid>
        <w:gridCol w:w="254"/>
        <w:gridCol w:w="223"/>
        <w:gridCol w:w="317"/>
      </w:tblGrid>
      <w:tr>
        <w:trPr/>
        <w:tc>
          <w:tcPr>
            <w:tcW w:w="2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Page 2</w:t>
            </w:r>
          </w:p>
        </w:tc>
      </w:tr>
    </w:tbl>
    <w:p>
      <w:pPr>
        <w:pStyle w:val="TextBody"/>
        <w:bidi w:val="0"/>
        <w:spacing w:lineRule="auto" w:line="240" w:before="163" w:after="283"/>
        <w:ind w:left="0" w:right="0" w:firstLine="717"/>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Value</w:t>
      </w:r>
      <w:r>
        <w:rPr>
          <w:rFonts w:ascii="Times New Roman;sans-serif" w:hAnsi="Times New Roman;sans-serif"/>
          <w:b w:val="false"/>
          <w:color w:val="000000"/>
          <w:sz w:val="20"/>
        </w:rPr>
        <w:t>. For purposes of this Policy, “</w:t>
      </w:r>
      <w:r>
        <w:rPr>
          <w:rFonts w:ascii="Times New Roman;sans-serif" w:hAnsi="Times New Roman;sans-serif"/>
          <w:b w:val="false"/>
          <w:color w:val="000000"/>
          <w:sz w:val="20"/>
          <w:u w:val="single"/>
        </w:rPr>
        <w:t>Value</w:t>
      </w:r>
      <w:r>
        <w:rPr>
          <w:color w:val="000000"/>
        </w:rPr>
        <w:t xml:space="preserve">” </w:t>
      </w:r>
      <w:r>
        <w:rPr>
          <w:rFonts w:ascii="Times New Roman;sans-serif" w:hAnsi="Times New Roman;sans-serif"/>
          <w:b w:val="false"/>
          <w:color w:val="000000"/>
          <w:sz w:val="20"/>
        </w:rPr>
        <w:t>means with respect to (i) any award of stock options the grant date fair value of the option (i.e., Black-Scholes Value) determined in accordance with the reasonable assumptions and methodologies employed by the Company for calculating the fair value of options under ASC 718; and (ii) any award of restricted stock and restricted stock units the product of (A) the closing market price on The Nasdaq Global Market (or such other market on which the Company’s Common Stock is then principally listed) of one share of the Company’s Common Stock on the effective date of grant, or if no closing price is reported for such date, the closing price on the last date preceding such date for which a closing price is reported and (B) the aggregate number of shares pursuant to such award.</w:t>
      </w:r>
    </w:p>
    <w:p>
      <w:pPr>
        <w:pStyle w:val="TextBody"/>
        <w:bidi w:val="0"/>
        <w:spacing w:lineRule="auto" w:line="240" w:before="238" w:after="283"/>
        <w:ind w:left="0" w:right="0" w:firstLine="717"/>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Sale Event Acceleration</w:t>
      </w:r>
      <w:r>
        <w:rPr>
          <w:rFonts w:ascii="Times New Roman;sans-serif" w:hAnsi="Times New Roman;sans-serif"/>
          <w:b w:val="false"/>
          <w:color w:val="000000"/>
          <w:sz w:val="20"/>
        </w:rPr>
        <w:t>. In the event of a Sale Event (as defined in the Company’s 2020 Stock Option and Incentive Plan (the “</w:t>
      </w:r>
      <w:r>
        <w:rPr>
          <w:rFonts w:ascii="Times New Roman;sans-serif" w:hAnsi="Times New Roman;sans-serif"/>
          <w:b w:val="false"/>
          <w:color w:val="000000"/>
          <w:sz w:val="20"/>
          <w:u w:val="single"/>
        </w:rPr>
        <w:t>2020 Plan</w:t>
      </w:r>
      <w:r>
        <w:rPr>
          <w:color w:val="000000"/>
        </w:rPr>
        <w:t>”</w:t>
      </w:r>
      <w:r>
        <w:rPr>
          <w:rFonts w:ascii="Times New Roman;sans-serif" w:hAnsi="Times New Roman;sans-serif"/>
          <w:b w:val="false"/>
          <w:color w:val="000000"/>
          <w:sz w:val="20"/>
        </w:rPr>
        <w:t>)), the equity retainer awards granted to Outside Directors pursuant to this Policy shall become 100% vested and exercisable.</w:t>
      </w:r>
    </w:p>
    <w:p>
      <w:pPr>
        <w:pStyle w:val="TextBody"/>
        <w:bidi w:val="0"/>
        <w:spacing w:lineRule="auto" w:line="240" w:before="243" w:after="283"/>
        <w:ind w:left="0" w:right="0" w:firstLine="717"/>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Initial Grant</w:t>
      </w:r>
      <w:r>
        <w:rPr>
          <w:rFonts w:ascii="Times New Roman;sans-serif" w:hAnsi="Times New Roman;sans-serif"/>
          <w:b w:val="false"/>
          <w:color w:val="000000"/>
          <w:sz w:val="20"/>
        </w:rPr>
        <w:t>. Upon initial election or appointment to the Board of Directors, each new Outside Director will receive an initial, one-time grant of a non-statutory stock option to purchase shares of the Company’s Common Stock with a grant date Value of $500,000, based on the average closing market price calculated over a trailing 30 day period (the “</w:t>
      </w:r>
      <w:r>
        <w:rPr>
          <w:rFonts w:ascii="Times New Roman;sans-serif" w:hAnsi="Times New Roman;sans-serif"/>
          <w:b w:val="false"/>
          <w:color w:val="000000"/>
          <w:sz w:val="20"/>
          <w:u w:val="single"/>
        </w:rPr>
        <w:t>Initial Grant</w:t>
      </w:r>
      <w:r>
        <w:rPr>
          <w:color w:val="000000"/>
        </w:rPr>
        <w:t>”</w:t>
      </w:r>
      <w:r>
        <w:rPr>
          <w:rFonts w:ascii="Times New Roman;sans-serif" w:hAnsi="Times New Roman;sans-serif"/>
          <w:b w:val="false"/>
          <w:color w:val="000000"/>
          <w:sz w:val="20"/>
        </w:rPr>
        <w:t>) with an exercise price per share equal to the closing price of a share of the Company’s Common Stock on the date of grant and a term of ten years, that vests substantially equal monthly installments over three years beginning on the grant date; provided, however, that all vesting ceases if the director resigns from our Board of Directors or otherwise ceases to serve as a director, unless the Board of Directors determines that the circumstances warrant continuation of vesting. If any Initial Grant to an Outside Director is to become effective as of the date of the Company’s initial public offering, it shall have an exercise price per share equal to the per share “price to the public” (or equivalent) set forth on the cover page for the final prospectus relating to the Company’s initial public offering. This Initial Grant applies to Outside Directors who are first elected or appointed to, and who were not previously serving on, the Board of Directors effective as of or subsequent to the Company’s initial public offering.</w:t>
      </w:r>
    </w:p>
    <w:p>
      <w:pPr>
        <w:pStyle w:val="TextBody"/>
        <w:bidi w:val="0"/>
        <w:spacing w:lineRule="auto" w:line="240" w:before="241" w:after="283"/>
        <w:ind w:left="0" w:right="0" w:firstLine="717"/>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Annual Grant</w:t>
      </w:r>
      <w:r>
        <w:rPr>
          <w:rFonts w:ascii="Times New Roman;sans-serif" w:hAnsi="Times New Roman;sans-serif"/>
          <w:b w:val="false"/>
          <w:color w:val="000000"/>
          <w:sz w:val="20"/>
        </w:rPr>
        <w:t>. On the date of the Company’s Annual Meeting of Stockholders, each Outside Director who will continue as a member of the Board of Directors following such Annual Meeting of Stockholders will receive a grant of a non-statutory stock option to purchase shares of the Company’s Common Stock with a grant date Value of $250,000, based on the average closing market price calculated over a trailing 30 day period (the “</w:t>
      </w:r>
      <w:r>
        <w:rPr>
          <w:rFonts w:ascii="Times New Roman;sans-serif" w:hAnsi="Times New Roman;sans-serif"/>
          <w:b w:val="false"/>
          <w:color w:val="000000"/>
          <w:sz w:val="20"/>
          <w:u w:val="single"/>
        </w:rPr>
        <w:t>Annual Grant</w:t>
      </w:r>
      <w:r>
        <w:rPr>
          <w:color w:val="000000"/>
        </w:rPr>
        <w:t>”</w:t>
      </w:r>
      <w:r>
        <w:rPr>
          <w:rFonts w:ascii="Times New Roman;sans-serif" w:hAnsi="Times New Roman;sans-serif"/>
          <w:b w:val="false"/>
          <w:color w:val="000000"/>
          <w:sz w:val="20"/>
        </w:rPr>
        <w:t>) on the date of such Annual Meeting with an exercise price per share equal to the closing price of a share of the Company’s Common Stock on the date of grant and a term of ten years, with 25% of the Annual Grant vesting on the first day of each calendar quarter following the grant date for three calendar quarters and the remaining 25% of the Annual Grant vesting on the earlier of (i) the one-year anniversary of the grant date or (ii) the next Annual Meeting of Stockholders; provided, however, that all vesting ceases if the director resigns from our Board of Directors or otherwise ceases to serve as a director, unless the Board of Directors determines that the circumstances warrant continuation of vesting.</w:t>
      </w:r>
    </w:p>
    <w:p>
      <w:pPr>
        <w:pStyle w:val="TextBody"/>
        <w:bidi w:val="0"/>
        <w:spacing w:lineRule="auto" w:line="240" w:before="241" w:after="283"/>
        <w:ind w:left="0" w:right="0" w:hanging="722"/>
        <w:jc w:val="left"/>
        <w:rPr/>
      </w:pPr>
      <w:r>
        <w:rPr>
          <w:rFonts w:ascii="Times New Roman;sans-serif" w:hAnsi="Times New Roman;sans-serif"/>
          <w:b/>
          <w:color w:val="000000"/>
          <w:sz w:val="20"/>
        </w:rPr>
        <w:t>III.</w:t>
      </w:r>
      <w:r>
        <w:rPr>
          <w:rFonts w:ascii="Times New Roman;sans-serif" w:hAnsi="Times New Roman;sans-serif"/>
          <w:b/>
          <w:color w:val="000000"/>
          <w:sz w:val="20"/>
          <w:u w:val="single"/>
        </w:rPr>
        <w:t>Expenses</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will reimburse all reasonable out-of-pocket expenses incurred by Outside Directors in attending meetings of the Board of Directors or any Committee thereof.</w:t>
      </w:r>
    </w:p>
    <w:p>
      <w:pPr>
        <w:pStyle w:val="TextBody"/>
        <w:bidi w:val="0"/>
        <w:spacing w:before="0" w:after="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725170"/>
                <wp:effectExtent l="0" t="0" r="0" b="0"/>
                <wp:wrapNone/>
                <wp:docPr id="131" name="Frame122"/>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1769" w:type="dxa"/>
                              <w:jc w:val="left"/>
                              <w:tblInd w:w="0" w:type="dxa"/>
                              <w:tblLayout w:type="fixed"/>
                              <w:tblCellMar>
                                <w:top w:w="28" w:type="dxa"/>
                                <w:left w:w="28" w:type="dxa"/>
                                <w:bottom w:w="28" w:type="dxa"/>
                                <w:right w:w="28" w:type="dxa"/>
                              </w:tblCellMar>
                            </w:tblPr>
                            <w:tblGrid>
                              <w:gridCol w:w="565"/>
                              <w:gridCol w:w="497"/>
                              <w:gridCol w:w="707"/>
                            </w:tblGrid>
                            <w:tr>
                              <w:trPr/>
                              <w:tc>
                                <w:tcPr>
                                  <w:tcW w:w="565" w:type="dxa"/>
                                  <w:tcBorders/>
                                  <w:vAlign w:val="center"/>
                                </w:tcPr>
                                <w:p>
                                  <w:pPr>
                                    <w:pStyle w:val="TableContents"/>
                                    <w:bidi w:val="0"/>
                                    <w:spacing w:before="0" w:after="283"/>
                                    <w:jc w:val="left"/>
                                    <w:rPr>
                                      <w:sz w:val="4"/>
                                      <w:szCs w:val="4"/>
                                    </w:rPr>
                                  </w:pPr>
                                  <w:r>
                                    <w:rPr>
                                      <w:sz w:val="4"/>
                                      <w:szCs w:val="4"/>
                                    </w:rPr>
                                  </w:r>
                                  <w:r>
                                    <w:br w:type="page"/>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ACTIVE/106239414.4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0pt;mso-position-horizontal:left;mso-position-horizontal-relative:text">
                <v:textbox>
                  <w:txbxContent>
                    <w:tbl>
                      <w:tblPr>
                        <w:tblW w:w="1769" w:type="dxa"/>
                        <w:jc w:val="left"/>
                        <w:tblInd w:w="0" w:type="dxa"/>
                        <w:tblLayout w:type="fixed"/>
                        <w:tblCellMar>
                          <w:top w:w="28" w:type="dxa"/>
                          <w:left w:w="28" w:type="dxa"/>
                          <w:bottom w:w="28" w:type="dxa"/>
                          <w:right w:w="28" w:type="dxa"/>
                        </w:tblCellMar>
                      </w:tblPr>
                      <w:tblGrid>
                        <w:gridCol w:w="565"/>
                        <w:gridCol w:w="497"/>
                        <w:gridCol w:w="707"/>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ACTIVE/106239414.4</w:t>
                            </w:r>
                          </w:p>
                        </w:tc>
                      </w:tr>
                    </w:tbl>
                    <w:p>
                      <w:pPr>
                        <w:pStyle w:val="TextBody"/>
                        <w:bidi w:val="0"/>
                        <w:spacing w:before="0" w:after="283"/>
                        <w:jc w:val="left"/>
                        <w:rPr/>
                      </w:pPr>
                      <w:r>
                        <w:rPr/>
                      </w:r>
                    </w:p>
                  </w:txbxContent>
                </v:textbox>
                <w10:wrap type="none"/>
              </v:rect>
            </w:pict>
          </mc:Fallback>
        </mc:AlternateContent>
      </w:r>
    </w:p>
    <w:tbl>
      <w:tblPr>
        <w:tblW w:w="794" w:type="dxa"/>
        <w:jc w:val="left"/>
        <w:tblInd w:w="0" w:type="dxa"/>
        <w:tblLayout w:type="fixed"/>
        <w:tblCellMar>
          <w:top w:w="28" w:type="dxa"/>
          <w:left w:w="28" w:type="dxa"/>
          <w:bottom w:w="28" w:type="dxa"/>
          <w:right w:w="28" w:type="dxa"/>
        </w:tblCellMar>
      </w:tblPr>
      <w:tblGrid>
        <w:gridCol w:w="254"/>
        <w:gridCol w:w="223"/>
        <w:gridCol w:w="317"/>
      </w:tblGrid>
      <w:tr>
        <w:trPr/>
        <w:tc>
          <w:tcPr>
            <w:tcW w:w="2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Page 3</w:t>
            </w:r>
          </w:p>
        </w:tc>
      </w:tr>
    </w:tbl>
    <w:p>
      <w:pPr>
        <w:pStyle w:val="TextBody"/>
        <w:bidi w:val="0"/>
        <w:spacing w:before="0" w:after="0"/>
        <w:jc w:val="left"/>
        <w:rPr/>
      </w:pPr>
      <w:r>
        <w:rPr/>
      </w:r>
    </w:p>
    <w:p>
      <w:pPr>
        <w:pStyle w:val="TextBody"/>
        <w:bidi w:val="0"/>
        <w:spacing w:lineRule="auto" w:line="240" w:before="163" w:after="283"/>
        <w:ind w:left="0" w:right="0" w:hanging="722"/>
        <w:jc w:val="left"/>
        <w:rPr/>
      </w:pPr>
      <w:r>
        <w:rPr>
          <w:rFonts w:ascii="Times New Roman;sans-serif" w:hAnsi="Times New Roman;sans-serif"/>
          <w:b/>
          <w:color w:val="000000"/>
          <w:sz w:val="20"/>
        </w:rPr>
        <w:t>IV.</w:t>
      </w:r>
      <w:r>
        <w:rPr>
          <w:rFonts w:ascii="Times New Roman;sans-serif" w:hAnsi="Times New Roman;sans-serif"/>
          <w:b/>
          <w:color w:val="000000"/>
          <w:sz w:val="20"/>
          <w:u w:val="single"/>
        </w:rPr>
        <w:t>Maximum Annual Compensation</w:t>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amount of compensation, including both equity compensation and cash compensation, paid to any Outside Director in a calendar year period shall not exceed (i)</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$1,000,000 in the first calendar year an individual becomes an Outside Director and (ii) $750,000 in any other year (or in each case, such other limits as may be set forth in Section 3(b) of the 2020 Plan or any similar provision of a successor plan). For this purpose, the “amount” of equity compensation paid in a calendar year shall be determined based on the grant date fair value thereof, as determined in accordance with ASC 718 or its successor provision, but excluding the impact of estimated forfeitures related to service-based vesting conditions.</w:t>
      </w:r>
    </w:p>
    <w:p>
      <w:pPr>
        <w:pStyle w:val="TextBody"/>
        <w:bidi w:val="0"/>
        <w:spacing w:lineRule="auto" w:line="240" w:before="238" w:after="283"/>
        <w:jc w:val="both"/>
        <w:rPr/>
      </w:pPr>
      <w:r>
        <w:rPr>
          <w:rFonts w:ascii="Times New Roman;sans-serif" w:hAnsi="Times New Roman;sans-serif"/>
          <w:b/>
          <w:color w:val="000000"/>
          <w:sz w:val="20"/>
        </w:rPr>
        <w:t>Date Policy Approved</w:t>
      </w:r>
      <w:r>
        <w:rPr>
          <w:rFonts w:ascii="Times New Roman;sans-serif" w:hAnsi="Times New Roman;sans-serif"/>
          <w:b w:val="false"/>
          <w:color w:val="000000"/>
          <w:sz w:val="20"/>
        </w:rPr>
        <w:t>: December 4,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725170"/>
                <wp:effectExtent l="0" t="0" r="0" b="0"/>
                <wp:wrapNone/>
                <wp:docPr id="132" name="Frame123"/>
                <a:graphic xmlns:a="http://schemas.openxmlformats.org/drawingml/2006/main">
                  <a:graphicData uri="http://schemas.microsoft.com/office/word/2010/wordprocessingShape">
                    <wps:wsp>
                      <wps:cNvSpPr txBox="1"/>
                      <wps:spPr>
                        <a:xfrm>
                          <a:off x="0" y="0"/>
                          <a:ext cx="6480175" cy="725170"/>
                        </a:xfrm>
                        <a:prstGeom prst="rect"/>
                        <a:solidFill>
                          <a:srgbClr val="FFFFFF"/>
                        </a:solidFill>
                      </wps:spPr>
                      <wps:txbx>
                        <w:txbxContent>
                          <w:tbl>
                            <w:tblPr>
                              <w:tblW w:w="1769" w:type="dxa"/>
                              <w:jc w:val="left"/>
                              <w:tblInd w:w="0" w:type="dxa"/>
                              <w:tblLayout w:type="fixed"/>
                              <w:tblCellMar>
                                <w:top w:w="28" w:type="dxa"/>
                                <w:left w:w="28" w:type="dxa"/>
                                <w:bottom w:w="28" w:type="dxa"/>
                                <w:right w:w="28" w:type="dxa"/>
                              </w:tblCellMar>
                            </w:tblPr>
                            <w:tblGrid>
                              <w:gridCol w:w="565"/>
                              <w:gridCol w:w="497"/>
                              <w:gridCol w:w="707"/>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ACTIVE/106239414.4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1pt;mso-wrap-distance-left:0pt;mso-wrap-distance-right:0pt;mso-wrap-distance-top:0pt;mso-wrap-distance-bottom:0pt;margin-top:0pt;mso-position-vertical:top;mso-position-vertical-relative:text;margin-left:-481.35pt;mso-position-horizontal:left;mso-position-horizontal-relative:text">
                <v:textbox>
                  <w:txbxContent>
                    <w:tbl>
                      <w:tblPr>
                        <w:tblW w:w="1769" w:type="dxa"/>
                        <w:jc w:val="left"/>
                        <w:tblInd w:w="0" w:type="dxa"/>
                        <w:tblLayout w:type="fixed"/>
                        <w:tblCellMar>
                          <w:top w:w="28" w:type="dxa"/>
                          <w:left w:w="28" w:type="dxa"/>
                          <w:bottom w:w="28" w:type="dxa"/>
                          <w:right w:w="28" w:type="dxa"/>
                        </w:tblCellMar>
                      </w:tblPr>
                      <w:tblGrid>
                        <w:gridCol w:w="565"/>
                        <w:gridCol w:w="497"/>
                        <w:gridCol w:w="707"/>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ACTIVE/106239414.4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23.1</w:t>
      </w:r>
    </w:p>
    <w:p>
      <w:pPr>
        <w:pStyle w:val="TextBody"/>
        <w:bidi w:val="0"/>
        <w:spacing w:before="0" w:after="0"/>
        <w:jc w:val="left"/>
        <w:rPr/>
      </w:pPr>
      <w:r>
        <w:rPr/>
      </w:r>
    </w:p>
    <w:p>
      <w:pPr>
        <w:pStyle w:val="TextBody"/>
        <w:bidi w:val="0"/>
        <w:spacing w:lineRule="auto" w:line="333" w:before="240" w:after="283"/>
        <w:jc w:val="center"/>
        <w:rPr>
          <w:color w:val="000000"/>
        </w:rPr>
      </w:pPr>
      <w:r>
        <w:rPr>
          <w:color w:val="000000"/>
        </w:rPr>
        <w:t> </w:t>
      </w:r>
      <w:r>
        <w:rPr>
          <w:rFonts w:ascii="Times New Roman;sans-serif" w:hAnsi="Times New Roman;sans-serif"/>
          <w:b/>
          <w:color w:val="000000"/>
          <w:sz w:val="20"/>
        </w:rPr>
        <w:t xml:space="preserve">CONSENT OF INDEPENDENT REGISTERED PUBLIC ACCOUNTING FIRM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consent to the incorporation by reference in Registration Statement No.’s 333-238922, 333-254361, 333-263127 and 333-270428 on Form S-8, and Registration Statement No. 333-270862 on Form S-3 of our reports dated February 27, 2024, relating to the financial statements of Pliant Therapeutics, Inc. and the effectiveness of Pliant Therapeutics, Inc.’s internal control over financial reporting appearing in the Annual Report on Form 10-K of Pliant Therapeutics, Inc. for the year ended December 31, 2023.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 Deloitte &amp; Touche LLP</w:t>
      </w:r>
    </w:p>
    <w:p>
      <w:pPr>
        <w:pStyle w:val="TextBody"/>
        <w:bidi w:val="0"/>
        <w:spacing w:lineRule="auto" w:line="333"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San Francisco, California </w:t>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Bernard Coulie, certify that: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Pliant Therapeutics, Inc.;</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699"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936"/>
        <w:gridCol w:w="936"/>
        <w:gridCol w:w="1338"/>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2024</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Bernard Coulie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Bernard Coulie, M.D., Ph.D.</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Keith Cummings, certify that: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Pliant Therapeutics, Inc.;</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649" w:type="dxa"/>
        <w:jc w:val="left"/>
        <w:tblInd w:w="0" w:type="dxa"/>
        <w:tblLayout w:type="fixed"/>
        <w:tblCellMar>
          <w:top w:w="28" w:type="dxa"/>
          <w:left w:w="28" w:type="dxa"/>
          <w:bottom w:w="28" w:type="dxa"/>
          <w:right w:w="28" w:type="dxa"/>
        </w:tblCellMar>
      </w:tblPr>
      <w:tblGrid>
        <w:gridCol w:w="754"/>
        <w:gridCol w:w="664"/>
        <w:gridCol w:w="667"/>
        <w:gridCol w:w="749"/>
        <w:gridCol w:w="749"/>
        <w:gridCol w:w="1066"/>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2024</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Keith Cummings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Keith Cummings, M.D., MBA</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Pliant Therapeutics, Inc. (the “Company”) on Form 10-K for the period ending December 31, 2023, as filed with the Securities and Exchange Commission on the date hereof (the “Report”), I certify, pursuant to 18 U.S.C. § 1350, as adopted pursuant to § 906 of the Sarbanes-Oxley Act of 2002, that: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295" w:type="dxa"/>
        <w:jc w:val="left"/>
        <w:tblInd w:w="0" w:type="dxa"/>
        <w:tblLayout w:type="fixed"/>
        <w:tblCellMar>
          <w:top w:w="28" w:type="dxa"/>
          <w:left w:w="28" w:type="dxa"/>
          <w:bottom w:w="28" w:type="dxa"/>
          <w:right w:w="28" w:type="dxa"/>
        </w:tblCellMar>
      </w:tblPr>
      <w:tblGrid>
        <w:gridCol w:w="754"/>
        <w:gridCol w:w="664"/>
        <w:gridCol w:w="667"/>
        <w:gridCol w:w="936"/>
        <w:gridCol w:w="936"/>
        <w:gridCol w:w="1338"/>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2024</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Bernard Coulie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Bernard Coulie, M.D., Ph.D.</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Keith Cummings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Keith Cummings, M.D., MBA</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79" w:after="283"/>
        <w:jc w:val="center"/>
        <w:rPr>
          <w:rFonts w:ascii="Times New Roman;sans-serif" w:hAnsi="Times New Roman;sans-serif"/>
          <w:b/>
          <w:color w:val="000000"/>
          <w:sz w:val="22"/>
        </w:rPr>
      </w:pPr>
      <w:r>
        <w:rPr>
          <w:rFonts w:ascii="Times New Roman;sans-serif" w:hAnsi="Times New Roman;sans-serif"/>
          <w:b/>
          <w:color w:val="000000"/>
          <w:sz w:val="22"/>
        </w:rPr>
        <w:t>PLIANT THERAPEUTICS, INC.</w:t>
      </w:r>
    </w:p>
    <w:p>
      <w:pPr>
        <w:pStyle w:val="TextBody"/>
        <w:bidi w:val="0"/>
        <w:spacing w:lineRule="auto" w:line="240" w:before="251" w:after="283"/>
        <w:jc w:val="center"/>
        <w:rPr>
          <w:rFonts w:ascii="Times New Roman;sans-serif" w:hAnsi="Times New Roman;sans-serif"/>
          <w:b/>
          <w:color w:val="000000"/>
          <w:sz w:val="22"/>
        </w:rPr>
      </w:pPr>
      <w:r>
        <w:rPr>
          <w:rFonts w:ascii="Times New Roman;sans-serif" w:hAnsi="Times New Roman;sans-serif"/>
          <w:b/>
          <w:color w:val="000000"/>
          <w:sz w:val="22"/>
        </w:rPr>
        <w:t>POLICY ON RECOUPMENT AND FORFEITURE OF INCENTIVE COMPENSATION</w:t>
      </w:r>
    </w:p>
    <w:p>
      <w:pPr>
        <w:pStyle w:val="TextBody"/>
        <w:bidi w:val="0"/>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Adopted September 21, 2023</w:t>
      </w:r>
    </w:p>
    <w:p>
      <w:pPr>
        <w:pStyle w:val="TextBody"/>
        <w:bidi w:val="0"/>
        <w:spacing w:lineRule="auto" w:line="240" w:before="242"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Overview</w:t>
      </w:r>
    </w:p>
    <w:p>
      <w:pPr>
        <w:pStyle w:val="TextBody"/>
        <w:bidi w:val="0"/>
        <w:spacing w:lineRule="auto" w:line="240" w:before="241"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Compensation Committee (the “Committee”) of the Board of Directors (the “Board”) of Pliant Therapeutics, Inc. (the “Company”) believes it is prudent to create and maintain a culture that emphasizes integrity and accountability and that reinforces the Company’s pay-for-performance compensation philosophy. To that end, the Committee hereby adopts a comprehensive policy that allows the Company to recover Incentive Compensation (as defined below), in whole or in part, following certain events that adversely affects the Company. The Committee has adopted the Clawback Policy (the “Policy”) set forth below, effective with respect to Incentive Compensation granted or awarded on or after October 2, 2023 (the “Effective Date”). This Policy is intended to comply with the requirements of Securities and Exchange Commission (“SEC”) rules and Nasdaq Stock Market (“NASDAQ”) listing standards implementing Section 954 of the Dodd-Frank Wall Street Reform and Consumer Protection Act of 2010 (the “Dodd- Frank Act”).</w:t>
      </w:r>
    </w:p>
    <w:p>
      <w:pPr>
        <w:pStyle w:val="TextBody"/>
        <w:bidi w:val="0"/>
        <w:spacing w:lineRule="auto" w:line="240" w:before="251" w:after="283"/>
        <w:jc w:val="both"/>
        <w:rPr>
          <w:rFonts w:ascii="Times New Roman;sans-serif" w:hAnsi="Times New Roman;sans-serif"/>
          <w:b/>
          <w:color w:val="000000"/>
          <w:sz w:val="22"/>
          <w:u w:val="single"/>
        </w:rPr>
      </w:pPr>
      <w:r>
        <w:rPr>
          <w:rFonts w:ascii="Times New Roman;sans-serif" w:hAnsi="Times New Roman;sans-serif"/>
          <w:b/>
          <w:color w:val="000000"/>
          <w:sz w:val="22"/>
          <w:u w:val="single"/>
        </w:rPr>
        <w:t>Administration; Amendment</w:t>
      </w:r>
    </w:p>
    <w:p>
      <w:pPr>
        <w:pStyle w:val="TextBody"/>
        <w:bidi w:val="0"/>
        <w:spacing w:lineRule="auto" w:line="240" w:before="242"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Policy shall be administered by the Committee. Any determination by the Committee shall be made by votes taken pursuant to the Committee Charter and the Company’s Bylaws, as they may be amended from time to time. The Committee shall have full power, authority, and sole and exclusive discretion to construe, interpret, and administer this Policy, in all cases consistent with the Dodd-Frank Act. In addition, the Committee may delegate its authority hereunder to a committee of senior executive officers of the Company to make recommendations under this Policy, and such committee shall present its recommendations to the Committee.</w:t>
      </w:r>
    </w:p>
    <w:p>
      <w:pPr>
        <w:pStyle w:val="TextBody"/>
        <w:bidi w:val="0"/>
        <w:spacing w:lineRule="auto" w:line="240" w:before="238" w:after="283"/>
        <w:jc w:val="both"/>
        <w:rPr>
          <w:rFonts w:ascii="Times New Roman;sans-serif" w:hAnsi="Times New Roman;sans-serif"/>
          <w:b w:val="false"/>
          <w:color w:val="000000"/>
          <w:sz w:val="22"/>
        </w:rPr>
      </w:pPr>
      <w:r>
        <w:rPr>
          <w:rFonts w:ascii="Times New Roman;sans-serif" w:hAnsi="Times New Roman;sans-serif"/>
          <w:b w:val="false"/>
          <w:color w:val="000000"/>
          <w:sz w:val="22"/>
        </w:rPr>
        <w:t>Any action taken by, or inaction of, the Committee relating to or pursuant to this Policy shall be within the absolute discretion of the Committee. All such actions or inactions of the Committee shall be conclusive and binding on each person, directly or indirectly, affected by such action or inaction, including, but not limited to, the Covered Employees. Further, the exercise by the Committee of any rights pursuant to this Policy shall be without prejudice to any other rights that the Company or the Committee may have with respect to any Covered Employee subject to this Policy.</w:t>
      </w:r>
    </w:p>
    <w:p>
      <w:pPr>
        <w:pStyle w:val="TextBody"/>
        <w:bidi w:val="0"/>
        <w:spacing w:lineRule="auto" w:line="240" w:before="239"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Committee may amend or change the terms of this Policy at any time for any reason, including as required to comply with applicable law. The Committee shall review this Policy on at least an annual basis. This Policy may be amended by action of the Committee, with amendments reported by the Committee to the Board.</w:t>
      </w:r>
    </w:p>
    <w:p>
      <w:pPr>
        <w:pStyle w:val="TextBody"/>
        <w:bidi w:val="0"/>
        <w:spacing w:lineRule="auto" w:line="240" w:before="244" w:after="283"/>
        <w:jc w:val="both"/>
        <w:rPr>
          <w:rFonts w:ascii="Times New Roman;sans-serif" w:hAnsi="Times New Roman;sans-serif"/>
          <w:b/>
          <w:color w:val="000000"/>
          <w:sz w:val="22"/>
          <w:u w:val="single"/>
        </w:rPr>
      </w:pPr>
      <w:r>
        <w:rPr>
          <w:rFonts w:ascii="Times New Roman;sans-serif" w:hAnsi="Times New Roman;sans-serif"/>
          <w:b/>
          <w:color w:val="000000"/>
          <w:sz w:val="22"/>
          <w:u w:val="single"/>
        </w:rPr>
        <w:t>Covered Employees</w:t>
      </w:r>
    </w:p>
    <w:p>
      <w:pPr>
        <w:pStyle w:val="TextBody"/>
        <w:bidi w:val="0"/>
        <w:spacing w:lineRule="auto" w:line="240" w:before="239" w:after="283"/>
        <w:jc w:val="both"/>
        <w:rPr>
          <w:rFonts w:ascii="Times New Roman;sans-serif" w:hAnsi="Times New Roman;sans-serif"/>
          <w:b w:val="false"/>
          <w:color w:val="000000"/>
          <w:sz w:val="22"/>
        </w:rPr>
      </w:pPr>
      <w:r>
        <w:rPr>
          <w:rFonts w:ascii="Times New Roman;sans-serif" w:hAnsi="Times New Roman;sans-serif"/>
          <w:b w:val="false"/>
          <w:color w:val="000000"/>
          <w:sz w:val="22"/>
        </w:rPr>
        <w:t>Each employee who serves as an “officer” (as defined pursuant to Section 16 of the Securities Exchange Act of 1934, as amended, and the rules and regulations promulgated thereunder) employed by the Company or any of its affiliates during the Recovery Period, as defined below (collectively, the “Covered Employees”). Covered Employees who cease employment or service with the Company and its affiliates shall continue to be bound by the terms of the Policy with respect to Incentive Compensation subject to this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781050"/>
                <wp:effectExtent l="0" t="0" r="0" b="0"/>
                <wp:wrapNone/>
                <wp:docPr id="137" name="Frame12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9"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Definitions</w:t>
      </w:r>
    </w:p>
    <w:p>
      <w:pPr>
        <w:pStyle w:val="TextBody"/>
        <w:bidi w:val="0"/>
        <w:spacing w:lineRule="auto" w:line="240" w:before="240" w:after="283"/>
        <w:jc w:val="both"/>
        <w:rPr/>
      </w:pPr>
      <w:r>
        <w:rPr>
          <w:rFonts w:ascii="Times New Roman;sans-serif" w:hAnsi="Times New Roman;sans-serif"/>
          <w:b w:val="false"/>
          <w:color w:val="000000"/>
          <w:sz w:val="22"/>
          <w:u w:val="single"/>
        </w:rPr>
        <w:t>Incentive Compensation</w:t>
      </w:r>
      <w:r>
        <w:rPr>
          <w:rFonts w:ascii="Times New Roman;sans-serif" w:hAnsi="Times New Roman;sans-serif"/>
          <w:b w:val="false"/>
          <w:color w:val="000000"/>
          <w:sz w:val="22"/>
        </w:rPr>
        <w:t>: Incentive Compensation means compensation granted, earned or vested based wholly or in part upon the attainment of any measure determined and presented in accordance with the accounting principles used in preparing the Company’s financial statements, and any measure that is derived wholly or in part from such measures, whether or not presented within the Company’s financial statements or included in a filing with the SEC, including stock price and total shareholder return (“TSR”), including but not limited to performance-based cash, stock, options or other equity-based awards paid or granted to the Covered Employee. Compensation that is granted, vests or is earned based solely upon the occurrence of non-financial events, such as base salary, restricted stock or options with time-based vesting, or a bonus awarded solely at the discretion of the Board or Committee and not based on the attainment of any financial measure, is not subject to this Policy.</w:t>
      </w:r>
    </w:p>
    <w:p>
      <w:pPr>
        <w:pStyle w:val="TextBody"/>
        <w:bidi w:val="0"/>
        <w:spacing w:lineRule="auto" w:line="240" w:before="251" w:after="283"/>
        <w:jc w:val="both"/>
        <w:rPr/>
      </w:pPr>
      <w:r>
        <w:rPr>
          <w:rFonts w:ascii="Times New Roman;sans-serif" w:hAnsi="Times New Roman;sans-serif"/>
          <w:b w:val="false"/>
          <w:color w:val="000000"/>
          <w:sz w:val="22"/>
          <w:u w:val="single"/>
        </w:rPr>
        <w:t>Recovery Period</w:t>
      </w:r>
      <w:r>
        <w:rPr>
          <w:rFonts w:ascii="Times New Roman;sans-serif" w:hAnsi="Times New Roman;sans-serif"/>
          <w:b w:val="false"/>
          <w:color w:val="000000"/>
          <w:sz w:val="22"/>
        </w:rPr>
        <w:t>: Recovery Period means the three completed fiscal years immediately preceding the date on which the Company is required to prepare the Financial Restatement, as determined in accordance with the last sentence of this definition, or any transition period that results from a change in the Company’s fiscal year (as set forth in Section 5608(b)(i)(D) of the Nasdaq Listing Rules). The date on which the Company is required to prepare a Financial Restatement is the earlier to occur of (A) the date the Board or a Board committee (or authorized officers of the Company if Board action is not required) concludes, or reasonably should have concluded, that the Company is required to prepare a Financial Restatement or (B) the date a court, regulator, or other legally authorized body directs the Company to prepare a Financial Restatement.</w:t>
      </w:r>
    </w:p>
    <w:p>
      <w:pPr>
        <w:pStyle w:val="TextBody"/>
        <w:bidi w:val="0"/>
        <w:spacing w:before="82" w:after="283"/>
        <w:jc w:val="left"/>
        <w:rPr/>
      </w:pPr>
      <w:r>
        <w:rPr/>
      </w:r>
    </w:p>
    <w:p>
      <w:pPr>
        <w:pStyle w:val="TextBody"/>
        <w:bidi w:val="0"/>
        <w:spacing w:lineRule="auto" w:line="240"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Recoupment Upon Financial Restatement</w:t>
      </w:r>
    </w:p>
    <w:p>
      <w:pPr>
        <w:pStyle w:val="TextBody"/>
        <w:bidi w:val="0"/>
        <w:spacing w:before="89" w:after="283"/>
        <w:jc w:val="left"/>
        <w:rPr/>
      </w:pPr>
      <w:r>
        <w:rPr/>
      </w:r>
    </w:p>
    <w:p>
      <w:pPr>
        <w:pStyle w:val="TextBody"/>
        <w:bidi w:val="0"/>
        <w:spacing w:lineRule="auto" w:line="24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“Financial Restatement”), the Committee shall cause the Company to recoup from each Covered Employee, as promptly as reasonably possible, any erroneously awarded Incentive Compensation.</w:t>
      </w:r>
    </w:p>
    <w:p>
      <w:pPr>
        <w:pStyle w:val="TextBody"/>
        <w:bidi w:val="0"/>
        <w:spacing w:before="2" w:after="283"/>
        <w:jc w:val="left"/>
        <w:rPr/>
      </w:pPr>
      <w:r>
        <w:rPr/>
      </w:r>
    </w:p>
    <w:p>
      <w:pPr>
        <w:pStyle w:val="TextBody"/>
        <w:bidi w:val="0"/>
        <w:spacing w:lineRule="auto" w:line="240"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No-Fault Recovery</w:t>
      </w:r>
    </w:p>
    <w:p>
      <w:pPr>
        <w:pStyle w:val="TextBody"/>
        <w:bidi w:val="0"/>
        <w:spacing w:before="89"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Recoupment under this Policy shall be required regardless of whether the Covered Employee or any other person was at fault or responsible for accounting errors that contributed to the need for the Financial Restatement or engaged in any misconduct.</w:t>
      </w:r>
    </w:p>
    <w:p>
      <w:pPr>
        <w:pStyle w:val="TextBody"/>
        <w:bidi w:val="0"/>
        <w:spacing w:before="1" w:after="283"/>
        <w:jc w:val="left"/>
        <w:rPr/>
      </w:pPr>
      <w:r>
        <w:rPr/>
      </w:r>
    </w:p>
    <w:p>
      <w:pPr>
        <w:pStyle w:val="TextBody"/>
        <w:bidi w:val="0"/>
        <w:spacing w:lineRule="auto" w:line="240"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Compensation Subject to Recovery</w:t>
      </w:r>
    </w:p>
    <w:p>
      <w:pPr>
        <w:pStyle w:val="TextBody"/>
        <w:bidi w:val="0"/>
        <w:spacing w:before="92"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Committee shall make a reasonable determination of the amount of any Incentive Compensation subject to recovery under this Policy. In the event of a Financial Restatement, the amount to be recovered will be the excess of (i) the Incentive Compensation received by the Covered Employee during the Recovery Period, based on the erroneous data and calculated without regard to any taxes paid or withheld, over (ii) the Incentive Compensation that would have been received by the Covered Employee had it been calculated based on the restated financial information, as determined by the Committee. For this purpose, Incentive Compensation is considered to have been received by a Covered Employee in the fiscal year during which the applicable financial reporting measure was attained, even if the payment or grant of such Incentive Compensation occurs after the end of that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781050"/>
                <wp:effectExtent l="0" t="0" r="0" b="0"/>
                <wp:wrapNone/>
                <wp:docPr id="138" name="Frame12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9" w:after="283"/>
        <w:jc w:val="both"/>
        <w:rPr>
          <w:rFonts w:ascii="Times New Roman;sans-serif" w:hAnsi="Times New Roman;sans-serif"/>
          <w:b w:val="false"/>
          <w:color w:val="000000"/>
          <w:sz w:val="22"/>
        </w:rPr>
      </w:pPr>
      <w:r>
        <w:rPr>
          <w:rFonts w:ascii="Times New Roman;sans-serif" w:hAnsi="Times New Roman;sans-serif"/>
          <w:b w:val="false"/>
          <w:color w:val="000000"/>
          <w:sz w:val="22"/>
        </w:rPr>
        <w:t>For Incentive Compensation based on stock price or TSR or other circumstances where the amount of erroneously awarded compensation is not subject to mathematical recalculation directly from the information in the Financial Restatement, then the Committee shall determine the amount to be recovered based on a reasonable estimate of the effect of the Financial Restatement on the stock price or TSR upon which the Incentive Compensation was received and the Company shall document the determination of that estimate and provide it to NASDAQ.</w:t>
      </w:r>
    </w:p>
    <w:p>
      <w:pPr>
        <w:pStyle w:val="TextBody"/>
        <w:bidi w:val="0"/>
        <w:spacing w:lineRule="auto" w:line="240" w:before="148"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Enforcement</w:t>
      </w:r>
    </w:p>
    <w:p>
      <w:pPr>
        <w:pStyle w:val="TextBody"/>
        <w:bidi w:val="0"/>
        <w:spacing w:lineRule="auto" w:line="240" w:before="242"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may use any legal or equitable remedies that are available to the Company to recoup any erroneously awarded Incentive Based Compensation. The Committee may seek to recover any Incentive Compensation owed by a Covered Employee through one or more of the following methods, as selected by the Committee and subject to applicable law:</w:t>
      </w:r>
    </w:p>
    <w:p>
      <w:pPr>
        <w:pStyle w:val="TextBody"/>
        <w:bidi w:val="0"/>
        <w:spacing w:lineRule="auto" w:line="280" w:before="238"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1)reimbursement of the amount of an affected cash payment received as Incentive Compensation;</w:t>
      </w:r>
    </w:p>
    <w:p>
      <w:pPr>
        <w:pStyle w:val="TextBody"/>
        <w:bidi w:val="0"/>
        <w:spacing w:lineRule="auto" w:line="240" w:before="239"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2)recovery of shares issued in connection with, or proceeds realized on the settlement, sale, transfer, or other disposition of, any affected equity-based award received as Incentive Compensation;</w:t>
      </w:r>
    </w:p>
    <w:p>
      <w:pPr>
        <w:pStyle w:val="TextBody"/>
        <w:bidi w:val="0"/>
        <w:spacing w:lineRule="auto" w:line="240" w:before="237"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3)offset of the Incentive Compensation from any compensation otherwise owed to the Covered Employee by the Company or its affiliates;</w:t>
      </w:r>
    </w:p>
    <w:p>
      <w:pPr>
        <w:pStyle w:val="TextBody"/>
        <w:bidi w:val="0"/>
        <w:spacing w:lineRule="auto" w:line="240" w:before="242"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4)cancellation of an affected equity award received as Incentive Compensation, whether vested or unvested; or</w:t>
      </w:r>
    </w:p>
    <w:p>
      <w:pPr>
        <w:pStyle w:val="TextBody"/>
        <w:bidi w:val="0"/>
        <w:spacing w:lineRule="auto" w:line="240" w:before="238"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5)any other remedial and recovery action permitted by law, as determined by the Committee.</w:t>
      </w:r>
    </w:p>
    <w:p>
      <w:pPr>
        <w:pStyle w:val="TextBody"/>
        <w:bidi w:val="0"/>
        <w:spacing w:lineRule="auto" w:line="240" w:before="241" w:after="283"/>
        <w:jc w:val="both"/>
        <w:rPr>
          <w:rFonts w:ascii="Times New Roman;sans-serif" w:hAnsi="Times New Roman;sans-serif"/>
          <w:b w:val="false"/>
          <w:color w:val="000000"/>
          <w:sz w:val="22"/>
        </w:rPr>
      </w:pPr>
      <w:r>
        <w:rPr>
          <w:rFonts w:ascii="Times New Roman;sans-serif" w:hAnsi="Times New Roman;sans-serif"/>
          <w:b w:val="false"/>
          <w:color w:val="000000"/>
          <w:sz w:val="22"/>
        </w:rPr>
        <w:t>If the Committee determines to seek recovery of Incentive Compensation, it shall first make a written demand for repayment from the Covered Employee and, if the individual does not tender timely repayment in response to such demand, the Committee may pursue the other remedies contemplated by the Policy, including seeking a court order against the individual for such repayment.</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No Indemnification</w:t>
      </w:r>
    </w:p>
    <w:p>
      <w:pPr>
        <w:pStyle w:val="TextBody"/>
        <w:bidi w:val="0"/>
        <w:spacing w:before="0" w:after="0"/>
        <w:jc w:val="left"/>
        <w:rPr/>
      </w:pPr>
      <w:r>
        <w:rPr/>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shall not indemnify any Covered Employee against the loss of any Incentive Compensation effected pursuant to this Policy and any purported indemnification shall be null and void.</w:t>
      </w:r>
    </w:p>
    <w:p>
      <w:pPr>
        <w:pStyle w:val="TextBody"/>
        <w:bidi w:val="0"/>
        <w:spacing w:lineRule="auto" w:line="240" w:before="252"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Exceptions</w:t>
      </w:r>
    </w:p>
    <w:p>
      <w:pPr>
        <w:pStyle w:val="TextBody"/>
        <w:bidi w:val="0"/>
        <w:spacing w:before="0" w:after="0"/>
        <w:jc w:val="left"/>
        <w:rPr/>
      </w:pPr>
      <w:r>
        <w:rPr/>
      </w:r>
    </w:p>
    <w:p>
      <w:pPr>
        <w:pStyle w:val="TextBody"/>
        <w:bidi w:val="0"/>
        <w:spacing w:lineRule="auto" w:line="24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compensation recouped under this Policy shall not include Incentive Compensation received by a Covered Employee (i) prior to beginning service as a Covered Employee or (ii) if he or she did not serve as a Covered Employee at any time during the applicable Recovery Period. The Board may determine not to seek recovery from a Covered Employee in whole or part to the extent it determines in its sole discretion that such recovery would be impracticable because (A) the direct expense paid to a third party to assist in enforcing recovery would exceed the recoverable amount (after having made a reasonable attempt to recover the erroneously awarded Incentive Compensation and providing corresponding documentation of such attempt to NASDAQ), (B) recovery would violate the home country law that was adopted prior to November 28, 2022, as determined by an opinion of counsel licensed in the applicable jurisdiction that is acceptable to and provided to NASDAQ, or (C) recovery would likely cause the Company’s 401(k) plan or any other tax-qualified retirement plan to fail to meet the requirements of Section 401(a)(13) or Section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781050"/>
                <wp:effectExtent l="0" t="0" r="0" b="0"/>
                <wp:wrapNone/>
                <wp:docPr id="139" name="Frame13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9" w:after="283"/>
        <w:jc w:val="left"/>
        <w:rPr>
          <w:rFonts w:ascii="Times New Roman;sans-serif" w:hAnsi="Times New Roman;sans-serif"/>
          <w:b w:val="false"/>
          <w:color w:val="000000"/>
          <w:sz w:val="22"/>
        </w:rPr>
      </w:pPr>
      <w:r>
        <w:rPr>
          <w:rFonts w:ascii="Times New Roman;sans-serif" w:hAnsi="Times New Roman;sans-serif"/>
          <w:b w:val="false"/>
          <w:color w:val="000000"/>
          <w:sz w:val="22"/>
        </w:rPr>
        <w:t>411(a) of the Internal Revenue Code of 1986, as amended, and the regulations thereunder.</w:t>
      </w:r>
    </w:p>
    <w:p>
      <w:pPr>
        <w:pStyle w:val="TextBody"/>
        <w:bidi w:val="0"/>
        <w:spacing w:lineRule="auto" w:line="240" w:before="252"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Other Recoupment Rights</w:t>
      </w:r>
    </w:p>
    <w:p>
      <w:pPr>
        <w:pStyle w:val="TextBody"/>
        <w:bidi w:val="0"/>
        <w:spacing w:before="2"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Committee intends that this Policy will be applied to the fullest extent of the law. The Committee may require that any employment agreement, equity award agreement, or similar agreement entered into on or after the Effective Date expressly require a Covered Employee to abide by the terms of this Policy; however, the absence of any such express provision in any such agreement shall not prevent application of the Policy to Covered Employees. Any right of recovery under this Policy is in addition to, and not in lieu of, any other remedies or rights of recovery that may be available to the Company pursuant to the terms of any similar policy in any employment agreement, equity award agreement, or similar agreement or any other legal remedies available to the Company.</w:t>
      </w:r>
    </w:p>
    <w:p>
      <w:pPr>
        <w:pStyle w:val="TextBody"/>
        <w:bidi w:val="0"/>
        <w:spacing w:lineRule="auto" w:line="240" w:before="252" w:after="283"/>
        <w:jc w:val="both"/>
        <w:rPr>
          <w:rFonts w:ascii="Times New Roman;sans-serif" w:hAnsi="Times New Roman;sans-serif"/>
          <w:b/>
          <w:color w:val="000000"/>
          <w:sz w:val="22"/>
          <w:u w:val="single"/>
        </w:rPr>
      </w:pPr>
      <w:r>
        <w:rPr>
          <w:rFonts w:ascii="Times New Roman;sans-serif" w:hAnsi="Times New Roman;sans-serif"/>
          <w:b/>
          <w:color w:val="000000"/>
          <w:sz w:val="22"/>
          <w:u w:val="single"/>
        </w:rPr>
        <w:t>Non-Exclusivity of Remedies</w:t>
      </w:r>
    </w:p>
    <w:p>
      <w:pPr>
        <w:pStyle w:val="TextBody"/>
        <w:bidi w:val="0"/>
        <w:spacing w:before="1"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Application of the Policy does not preclude the Company from taking any other action to enforce a Covered Employee’s obligations to the Company, including termination of employment or institution of civil or criminal proceedings or any other remedies that may be available to the Company with respect to inappropriate conduct on the part of the Covered Employee.</w:t>
      </w:r>
    </w:p>
    <w:p>
      <w:pPr>
        <w:pStyle w:val="TextBody"/>
        <w:bidi w:val="0"/>
        <w:spacing w:lineRule="auto" w:line="240" w:before="253" w:after="283"/>
        <w:jc w:val="both"/>
        <w:rPr>
          <w:rFonts w:ascii="Times New Roman;sans-serif" w:hAnsi="Times New Roman;sans-serif"/>
          <w:b/>
          <w:color w:val="000000"/>
          <w:sz w:val="22"/>
          <w:u w:val="single"/>
        </w:rPr>
      </w:pPr>
      <w:r>
        <w:rPr>
          <w:rFonts w:ascii="Times New Roman;sans-serif" w:hAnsi="Times New Roman;sans-serif"/>
          <w:b/>
          <w:color w:val="000000"/>
          <w:sz w:val="22"/>
          <w:u w:val="single"/>
        </w:rPr>
        <w:t>Non-Exclusivity of Policy</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terms of this Policy are in addition to any recoupment required or permitted by contract or by law, including the Sarbanes-Oxley Act of 2002 and any other law or regulation that the Committee determines, in its discretion, is applicable.</w:t>
      </w:r>
    </w:p>
    <w:p>
      <w:pPr>
        <w:pStyle w:val="TextBody"/>
        <w:bidi w:val="0"/>
        <w:spacing w:lineRule="auto" w:line="240" w:before="240" w:after="283"/>
        <w:jc w:val="both"/>
        <w:rPr>
          <w:rFonts w:ascii="Times New Roman;sans-serif" w:hAnsi="Times New Roman;sans-serif"/>
          <w:b/>
          <w:color w:val="000000"/>
          <w:sz w:val="22"/>
          <w:u w:val="single"/>
        </w:rPr>
      </w:pPr>
      <w:r>
        <w:rPr>
          <w:rFonts w:ascii="Times New Roman;sans-serif" w:hAnsi="Times New Roman;sans-serif"/>
          <w:b/>
          <w:color w:val="000000"/>
          <w:sz w:val="22"/>
          <w:u w:val="single"/>
        </w:rPr>
        <w:t>No Additional Payments</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no event shall the Company be required to award Covered Employees an additional payment if an accounting restatement would have resulted in a higher Incentive Compensation payment to the Covered Employee.</w:t>
      </w:r>
    </w:p>
    <w:p>
      <w:pPr>
        <w:pStyle w:val="TextBody"/>
        <w:bidi w:val="0"/>
        <w:spacing w:lineRule="auto" w:line="240" w:before="81"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Successors</w:t>
      </w:r>
    </w:p>
    <w:p>
      <w:pPr>
        <w:pStyle w:val="TextBody"/>
        <w:bidi w:val="0"/>
        <w:spacing w:lineRule="auto" w:line="240" w:before="252"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Policy shall be binding and enforceable against all Covered Employees and their beneficiaries, executors, administrators, and other legal representatives.</w:t>
      </w:r>
    </w:p>
    <w:p>
      <w:pPr>
        <w:pStyle w:val="TextBody"/>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781050"/>
                <wp:effectExtent l="0" t="0" r="0" b="0"/>
                <wp:wrapNone/>
                <wp:docPr id="140" name="Frame13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gif"/><Relationship Id="rId11" Type="http://schemas.openxmlformats.org/officeDocument/2006/relationships/hyperlink" Target="https://www.sec.gov/ix?doc=/Archives/edgar/data/1746473/000174647323000008/plrx-20221231.htm" TargetMode="External"/><Relationship Id="rId12" Type="http://schemas.openxmlformats.org/officeDocument/2006/relationships/hyperlink" Target="https://www.sec.gov/Archives/edgar/data/1746473/000156459020039327/plrx-ex31_301.htm" TargetMode="External"/><Relationship Id="rId13" Type="http://schemas.openxmlformats.org/officeDocument/2006/relationships/hyperlink" Target="https://www.sec.gov/Archives/edgar/data/1746473/000156459020039327/plrx-ex31_301.htm" TargetMode="External"/><Relationship Id="rId14" Type="http://schemas.openxmlformats.org/officeDocument/2006/relationships/hyperlink" Target="https://www.sec.gov/Archives/edgar/data/1746473/000119312522246364/d400254dex31.htm" TargetMode="External"/><Relationship Id="rId15" Type="http://schemas.openxmlformats.org/officeDocument/2006/relationships/hyperlink" Target="https://www.sec.gov/Archives/edgar/data/1746473/000119312522246364/d400254dex31.htm" TargetMode="External"/><Relationship Id="rId16" Type="http://schemas.openxmlformats.org/officeDocument/2006/relationships/hyperlink" Target="https://www.sec.gov/Archives/edgar/data/1746473/000119312522246364/d400254dex31.htm" TargetMode="External"/><Relationship Id="rId17" Type="http://schemas.openxmlformats.org/officeDocument/2006/relationships/hyperlink" Target="https://www.sec.gov/Archives/edgar/data/1746473/000119312520150643/d729258dex41.htm" TargetMode="External"/><Relationship Id="rId18" Type="http://schemas.openxmlformats.org/officeDocument/2006/relationships/hyperlink" Target="https://www.sec.gov/Archives/edgar/data/1746473/000119312520150643/d729258dex41.htm" TargetMode="External"/><Relationship Id="rId19" Type="http://schemas.openxmlformats.org/officeDocument/2006/relationships/hyperlink" Target="https://www.sec.gov/Archives/edgar/data/1746473/000156459021013589/plrx-ex43_1583.htm" TargetMode="External"/><Relationship Id="rId20" Type="http://schemas.openxmlformats.org/officeDocument/2006/relationships/hyperlink" Target="https://www.sec.gov/Archives/edgar/data/1746473/000156459021013589/plrx-ex43_1583.htm" TargetMode="External"/><Relationship Id="rId21" Type="http://schemas.openxmlformats.org/officeDocument/2006/relationships/hyperlink" Target="https://www.sec.gov/Archives/edgar/data/1746473/000119312520150643/d729258dex102.htm" TargetMode="External"/><Relationship Id="rId22" Type="http://schemas.openxmlformats.org/officeDocument/2006/relationships/hyperlink" Target="https://www.sec.gov/Archives/edgar/data/1746473/000119312520150643/d729258dex102.htm" TargetMode="External"/><Relationship Id="rId23" Type="http://schemas.openxmlformats.org/officeDocument/2006/relationships/hyperlink" Target="https://www.sec.gov/Archives/edgar/data/1746473/000119312520137876/d729258dex101.htm" TargetMode="External"/><Relationship Id="rId24" Type="http://schemas.openxmlformats.org/officeDocument/2006/relationships/hyperlink" Target="https://www.sec.gov/Archives/edgar/data/1746473/000119312520137876/d729258dex101.htm" TargetMode="External"/><Relationship Id="rId25" Type="http://schemas.openxmlformats.org/officeDocument/2006/relationships/hyperlink" Target="https://www.sec.gov/Archives/edgar/data/1746473/000119312520150643/d729258dex103.htm" TargetMode="External"/><Relationship Id="rId26" Type="http://schemas.openxmlformats.org/officeDocument/2006/relationships/hyperlink" Target="https://www.sec.gov/Archives/edgar/data/1746473/000119312520150643/d729258dex103.htm" TargetMode="External"/><Relationship Id="rId27" Type="http://schemas.openxmlformats.org/officeDocument/2006/relationships/hyperlink" Target="https://www.sec.gov/Archives/edgar/data/1746473/000119312520137876/d729258dex104.htm" TargetMode="External"/><Relationship Id="rId28" Type="http://schemas.openxmlformats.org/officeDocument/2006/relationships/hyperlink" Target="https://www.sec.gov/Archives/edgar/data/1746473/000119312520137876/d729258dex104.htm" TargetMode="External"/><Relationship Id="rId29" Type="http://schemas.openxmlformats.org/officeDocument/2006/relationships/hyperlink" Target="https://www.sec.gov/Archives/edgar/data/1746473/000119312520150643/d729258dex106.htm" TargetMode="External"/><Relationship Id="rId30" Type="http://schemas.openxmlformats.org/officeDocument/2006/relationships/hyperlink" Target="https://www.sec.gov/Archives/edgar/data/1746473/000119312520150643/d729258dex106.htm" TargetMode="External"/><Relationship Id="rId31" Type="http://schemas.openxmlformats.org/officeDocument/2006/relationships/hyperlink" Target="https://www.sec.gov/Archives/edgar/data/1746473/000119312520137876/d729258dex107.htm" TargetMode="External"/><Relationship Id="rId32" Type="http://schemas.openxmlformats.org/officeDocument/2006/relationships/hyperlink" Target="https://www.sec.gov/Archives/edgar/data/1746473/000119312520137876/d729258dex107.htm" TargetMode="External"/><Relationship Id="rId33" Type="http://schemas.openxmlformats.org/officeDocument/2006/relationships/hyperlink" Target="https://www.sec.gov/Archives/edgar/data/1746473/000156459020052990/plrx-ex101_224.htm" TargetMode="External"/><Relationship Id="rId34" Type="http://schemas.openxmlformats.org/officeDocument/2006/relationships/hyperlink" Target="https://www.sec.gov/Archives/edgar/data/1746473/000156459020052990/plrx-ex101_224.htm" TargetMode="External"/><Relationship Id="rId35" Type="http://schemas.openxmlformats.org/officeDocument/2006/relationships/hyperlink" Target="https://www.sec.gov/Archives/edgar/data/1746473/000119312520137876/d729258dex1011.htm" TargetMode="External"/><Relationship Id="rId36" Type="http://schemas.openxmlformats.org/officeDocument/2006/relationships/hyperlink" Target="https://www.sec.gov/Archives/edgar/data/1746473/000119312520137876/d729258dex1011.htm" TargetMode="External"/><Relationship Id="rId37" Type="http://schemas.openxmlformats.org/officeDocument/2006/relationships/hyperlink" Target="https://www.sec.gov/Archives/edgar/data/1746473/000119312520137876/d729258dex1010.htm" TargetMode="External"/><Relationship Id="rId38" Type="http://schemas.openxmlformats.org/officeDocument/2006/relationships/hyperlink" Target="https://www.sec.gov/Archives/edgar/data/1746473/000119312520137876/d729258dex1010.htm" TargetMode="External"/><Relationship Id="rId39" Type="http://schemas.openxmlformats.org/officeDocument/2006/relationships/hyperlink" Target="https://www.sec.gov/Archives/edgar/data/1746473/000119312520137876/d729258dex109.htm" TargetMode="External"/><Relationship Id="rId40" Type="http://schemas.openxmlformats.org/officeDocument/2006/relationships/hyperlink" Target="https://www.sec.gov/Archives/edgar/data/1746473/000119312520137876/d729258dex109.htm" TargetMode="External"/><Relationship Id="rId41" Type="http://schemas.openxmlformats.org/officeDocument/2006/relationships/hyperlink" Target="https://www.sec.gov/Archives/edgar/data/1746473/000119312520137876/d729258dex108.htm" TargetMode="External"/><Relationship Id="rId42" Type="http://schemas.openxmlformats.org/officeDocument/2006/relationships/hyperlink" Target="https://www.sec.gov/Archives/edgar/data/1746473/000119312520137876/d729258dex108.htm" TargetMode="External"/><Relationship Id="rId43" Type="http://schemas.openxmlformats.org/officeDocument/2006/relationships/hyperlink" Target="https://www.sec.gov/Archives/edgar/data/1746473/000119312520137876/d729258dex1013.htm" TargetMode="External"/><Relationship Id="rId44" Type="http://schemas.openxmlformats.org/officeDocument/2006/relationships/hyperlink" Target="https://www.sec.gov/Archives/edgar/data/1746473/000119312520137876/d729258dex1013.htm" TargetMode="External"/><Relationship Id="rId45" Type="http://schemas.openxmlformats.org/officeDocument/2006/relationships/hyperlink" Target="https://www.sec.gov/Archives/edgar/data/1746473/000119312520137876/d729258dex1014.htm" TargetMode="External"/><Relationship Id="rId46" Type="http://schemas.openxmlformats.org/officeDocument/2006/relationships/hyperlink" Target="https://www.sec.gov/Archives/edgar/data/1746473/000119312520137876/d729258dex1014.htm" TargetMode="External"/><Relationship Id="rId47" Type="http://schemas.openxmlformats.org/officeDocument/2006/relationships/hyperlink" Target="https://www.sec.gov/Archives/edgar/data/1746473/000174647323000008/a2022inducementplan.htm" TargetMode="External"/><Relationship Id="rId48" Type="http://schemas.openxmlformats.org/officeDocument/2006/relationships/hyperlink" Target="https://www.sec.gov/Archives/edgar/data/1746473/000174647323000008/a2022inducementplan.htm" TargetMode="External"/><Relationship Id="rId49" Type="http://schemas.openxmlformats.org/officeDocument/2006/relationships/hyperlink" Target="https://www.sec.gov/Archives/edgar/data/1746473/000174647323000008/a2022inducementplan.htm" TargetMode="External"/><Relationship Id="rId50" Type="http://schemas.openxmlformats.org/officeDocument/2006/relationships/hyperlink" Target="https://www.sec.gov/Archives/edgar/data/1746473/000119312522142365/d323515dex101.htm" TargetMode="External"/><Relationship Id="rId51" Type="http://schemas.openxmlformats.org/officeDocument/2006/relationships/hyperlink" Target="https://www.sec.gov/Archives/edgar/data/1746473/000119312522142365/d323515dex101.htm" TargetMode="External"/><Relationship Id="rId52" Type="http://schemas.openxmlformats.org/officeDocument/2006/relationships/hyperlink" Target="https://www.sec.gov/Archives/edgar/data/1746473/000119312522142365/d323515dex101.htm" TargetMode="External"/><Relationship Id="rId53" Type="http://schemas.openxmlformats.org/officeDocument/2006/relationships/hyperlink" Target="https://www.sec.gov/Archives/edgar/data/1746473/000174647323000008/firstamendmenttoloanands.htm" TargetMode="External"/><Relationship Id="rId54" Type="http://schemas.openxmlformats.org/officeDocument/2006/relationships/hyperlink" Target="https://www.sec.gov/Archives/edgar/data/1746473/000174647323000008/firstamendmenttoloanands.htm" TargetMode="External"/><Relationship Id="rId55" Type="http://schemas.openxmlformats.org/officeDocument/2006/relationships/hyperlink" Target="https://www.sec.gov/Archives/edgar/data/1746473/000174647323000008/firstamendmenttoloanands.htm" TargetMode="External"/><Relationship Id="rId56" Type="http://schemas.openxmlformats.org/officeDocument/2006/relationships/hyperlink" Target="https://www.sec.gov/Archives/edgar/data/1746473/000174647323000008/offerletter-lilycheung.htm" TargetMode="External"/><Relationship Id="rId57" Type="http://schemas.openxmlformats.org/officeDocument/2006/relationships/hyperlink" Target="https://www.sec.gov/Archives/edgar/data/1746473/000174647323000008/offerletter-lilycheung.htm" TargetMode="External"/><Relationship Id="rId58" Type="http://schemas.openxmlformats.org/officeDocument/2006/relationships/hyperlink" Target="https://www.sec.gov/Archives/edgar/data/1746473/000174647323000008/offerletter-lilycheung.htm" TargetMode="External"/><Relationship Id="rId59" Type="http://schemas.openxmlformats.org/officeDocument/2006/relationships/hyperlink" Target="https://www.sec.gov/Archives/edgar/data/1746473/000174647323000008/offerletter-lilycheung.htm" TargetMode="External"/><Relationship Id="rId60" Type="http://schemas.openxmlformats.org/officeDocument/2006/relationships/hyperlink" Target="https://www.sec.gov/Archives/edgar/data/1746473/000174647323000008/offerletter-lilycheung.htm" TargetMode="External"/><Relationship Id="rId61" Type="http://schemas.openxmlformats.org/officeDocument/2006/relationships/hyperlink" Target="https://www.sec.gov/Archives/edgar/data/1746473/000174647323000062/lease-331oysterpoint.htm" TargetMode="External"/><Relationship Id="rId62" Type="http://schemas.openxmlformats.org/officeDocument/2006/relationships/hyperlink" Target="https://www.sec.gov/Archives/edgar/data/1746473/000174647323000062/lease-331oysterpoint.htm" TargetMode="External"/><Relationship Id="rId63" Type="http://schemas.openxmlformats.org/officeDocument/2006/relationships/hyperlink" Target="https://www.sec.gov/Archives/edgar/data/1746473/000174647323000062/lease-331oysterpoint.htm" TargetMode="External"/><Relationship Id="rId64" Type="http://schemas.openxmlformats.org/officeDocument/2006/relationships/hyperlink" Target="https://www.sec.gov/Archives/edgar/data/1746473/000174647323000062/terminationagreement-littl.htm" TargetMode="External"/><Relationship Id="rId65" Type="http://schemas.openxmlformats.org/officeDocument/2006/relationships/hyperlink" Target="https://www.sec.gov/Archives/edgar/data/1746473/000174647323000062/terminationagreement-littl.htm" TargetMode="External"/><Relationship Id="rId66" Type="http://schemas.openxmlformats.org/officeDocument/2006/relationships/hyperlink" Target="https://www.sec.gov/Archives/edgar/data/1746473/000174647323000062/terminationagreement-littl.htm" TargetMode="External"/><Relationship Id="rId67" Type="http://schemas.openxmlformats.org/officeDocument/2006/relationships/fontTable" Target="fontTable.xml"/><Relationship Id="rId6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82205</Words>
  <Characters>463067</Characters>
  <CharactersWithSpaces>542837</CharactersWithSpaces>
  <Paragraphs>3362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