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8"/>
          <w:szCs w:val="8"/>
          <w:color w:val="auto"/>
        </w:rPr>
        <w:t>_____________________________________________</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28" w:lineRule="exact"/>
        <w:rPr>
          <w:sz w:val="24"/>
          <w:szCs w:val="24"/>
          <w:color w:val="auto"/>
        </w:rPr>
      </w:pPr>
    </w:p>
    <w:p>
      <w:pPr>
        <w:ind w:left="320" w:hanging="301"/>
        <w:spacing w:after="0"/>
        <w:tabs>
          <w:tab w:leader="none" w:pos="320" w:val="left"/>
        </w:tabs>
        <w:numPr>
          <w:ilvl w:val="0"/>
          <w:numId w:val="1"/>
        </w:numPr>
        <w:rPr>
          <w:rFonts w:ascii="Wingdings" w:cs="Wingdings" w:eastAsia="Wingdings" w:hAnsi="Wingdings"/>
          <w:sz w:val="11"/>
          <w:szCs w:val="11"/>
          <w:b w:val="1"/>
          <w:bCs w:val="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1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ectPr>
          <w:pgSz w:w="11900" w:h="16838" w:orient="portrait"/>
          <w:cols w:equalWidth="0" w:num="1">
            <w:col w:w="11220"/>
          </w:cols>
          <w:pgMar w:left="300" w:top="210" w:right="379" w:bottom="1440" w:gutter="0" w:footer="0" w:header="0"/>
        </w:sectPr>
      </w:pPr>
    </w:p>
    <w:p>
      <w:pPr>
        <w:spacing w:after="0" w:line="109" w:lineRule="exact"/>
        <w:rPr>
          <w:sz w:val="24"/>
          <w:szCs w:val="24"/>
          <w:color w:val="auto"/>
        </w:rPr>
      </w:pPr>
    </w:p>
    <w:p>
      <w:pPr>
        <w:ind w:left="20"/>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 PERIOD FROM</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w:t>
      </w:r>
    </w:p>
    <w:p>
      <w:pPr>
        <w:spacing w:after="0" w:line="152" w:lineRule="exact"/>
        <w:rPr>
          <w:sz w:val="24"/>
          <w:szCs w:val="24"/>
          <w:color w:val="auto"/>
        </w:rPr>
      </w:pPr>
    </w:p>
    <w:p>
      <w:pPr>
        <w:sectPr>
          <w:pgSz w:w="11900" w:h="16838" w:orient="portrait"/>
          <w:cols w:equalWidth="0" w:num="3">
            <w:col w:w="120" w:space="220"/>
            <w:col w:w="7880" w:space="620"/>
            <w:col w:w="2380"/>
          </w:cols>
          <w:pgMar w:left="300" w:top="210"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2"/>
          <w:szCs w:val="12"/>
          <w:b w:val="1"/>
          <w:bCs w:val="1"/>
          <w:color w:val="auto"/>
        </w:rPr>
        <w:t>001-39303</w:t>
      </w:r>
    </w:p>
    <w:p>
      <w:pPr>
        <w:spacing w:after="0" w:line="2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8"/>
          <w:szCs w:val="8"/>
          <w:color w:val="auto"/>
        </w:rPr>
        <w:t>_____________________________________________</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PLIANT THERAPEUTICS, INC.</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8"/>
          <w:szCs w:val="8"/>
          <w:color w:val="auto"/>
        </w:rPr>
        <w:t>_____________________________________________</w:t>
      </w:r>
    </w:p>
    <w:p>
      <w:pPr>
        <w:sectPr>
          <w:pgSz w:w="11900" w:h="16838" w:orient="portrait"/>
          <w:cols w:equalWidth="0" w:num="1">
            <w:col w:w="11220"/>
          </w:cols>
          <w:pgMar w:left="300" w:top="210" w:right="379" w:bottom="1440" w:gutter="0" w:footer="0" w:header="0"/>
          <w:type w:val="continuous"/>
        </w:sectPr>
      </w:pPr>
    </w:p>
    <w:p>
      <w:pPr>
        <w:spacing w:after="0" w:line="105"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47-4272481</w:t>
      </w:r>
    </w:p>
    <w:p>
      <w:pPr>
        <w:spacing w:after="0" w:line="53" w:lineRule="exact"/>
        <w:rPr>
          <w:sz w:val="24"/>
          <w:szCs w:val="24"/>
          <w:color w:val="auto"/>
        </w:rPr>
      </w:pPr>
    </w:p>
    <w:p>
      <w:pPr>
        <w:sectPr>
          <w:pgSz w:w="11900" w:h="16838" w:orient="portrait"/>
          <w:cols w:equalWidth="0" w:num="2">
            <w:col w:w="7060" w:space="720"/>
            <w:col w:w="3440"/>
          </w:cols>
          <w:pgMar w:left="300" w:top="210" w:right="37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1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46" w:lineRule="exact"/>
        <w:rPr>
          <w:sz w:val="24"/>
          <w:szCs w:val="24"/>
          <w:color w:val="auto"/>
        </w:rPr>
      </w:pPr>
    </w:p>
    <w:p>
      <w:pPr>
        <w:sectPr>
          <w:pgSz w:w="11900" w:h="16838" w:orient="portrait"/>
          <w:cols w:equalWidth="0" w:num="2">
            <w:col w:w="7020" w:space="720"/>
            <w:col w:w="3480"/>
          </w:cols>
          <w:pgMar w:left="300" w:top="210" w:right="3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2"/>
          <w:szCs w:val="12"/>
          <w:b w:val="1"/>
          <w:bCs w:val="1"/>
          <w:color w:val="auto"/>
        </w:rPr>
        <w:t>331 Oyster Point Boulevard</w:t>
      </w:r>
    </w:p>
    <w:p>
      <w:pPr>
        <w:sectPr>
          <w:pgSz w:w="11900" w:h="16838" w:orient="portrait"/>
          <w:cols w:equalWidth="0" w:num="1">
            <w:col w:w="11220"/>
          </w:cols>
          <w:pgMar w:left="300" w:top="210" w:right="379" w:bottom="1440" w:gutter="0" w:footer="0" w:header="0"/>
          <w:type w:val="continuous"/>
        </w:sectPr>
      </w:pPr>
    </w:p>
    <w:p>
      <w:pPr>
        <w:spacing w:after="0" w:line="7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2"/>
          <w:szCs w:val="12"/>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94080</w:t>
      </w:r>
    </w:p>
    <w:p>
      <w:pPr>
        <w:spacing w:after="0" w:line="63" w:lineRule="exact"/>
        <w:rPr>
          <w:sz w:val="24"/>
          <w:szCs w:val="24"/>
          <w:color w:val="auto"/>
        </w:rPr>
      </w:pPr>
    </w:p>
    <w:p>
      <w:pPr>
        <w:sectPr>
          <w:pgSz w:w="11900" w:h="16838" w:orient="portrait"/>
          <w:cols w:equalWidth="0" w:num="2">
            <w:col w:w="7240" w:space="720"/>
            <w:col w:w="3260"/>
          </w:cols>
          <w:pgMar w:left="300" w:top="210" w:right="37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50" w:lineRule="exact"/>
        <w:rPr>
          <w:sz w:val="24"/>
          <w:szCs w:val="24"/>
          <w:color w:val="auto"/>
        </w:rPr>
      </w:pPr>
    </w:p>
    <w:p>
      <w:pPr>
        <w:sectPr>
          <w:pgSz w:w="11900" w:h="16838" w:orient="portrait"/>
          <w:cols w:equalWidth="0" w:num="2">
            <w:col w:w="7180" w:space="720"/>
            <w:col w:w="3320"/>
          </w:cols>
          <w:pgMar w:left="300" w:top="210" w:right="37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2"/>
          <w:szCs w:val="12"/>
          <w:b w:val="1"/>
          <w:bCs w:val="1"/>
          <w:color w:val="auto"/>
        </w:rPr>
        <w:t>(650) 481-6770</w:t>
      </w:r>
    </w:p>
    <w:p>
      <w:pPr>
        <w:spacing w:after="0" w:line="2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8"/>
          <w:szCs w:val="8"/>
          <w:color w:val="auto"/>
        </w:rPr>
        <w:t>_____________________________________________</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10" w:lineRule="exact"/>
        <w:rPr>
          <w:sz w:val="24"/>
          <w:szCs w:val="24"/>
          <w:color w:val="auto"/>
        </w:rPr>
      </w:pPr>
    </w:p>
    <w:tbl>
      <w:tblPr>
        <w:tblLayout w:type="fixed"/>
        <w:tblInd w:w="1080" w:type="dxa"/>
        <w:tblCellMar>
          <w:top w:w="0" w:type="dxa"/>
          <w:left w:w="0" w:type="dxa"/>
          <w:bottom w:w="0" w:type="dxa"/>
          <w:right w:w="0" w:type="dxa"/>
        </w:tblCellMar>
      </w:tblPr>
      <w:tr>
        <w:trPr>
          <w:trHeight w:val="149"/>
        </w:trPr>
        <w:tc>
          <w:tcPr>
            <w:tcW w:w="3420" w:type="dxa"/>
            <w:vAlign w:val="bottom"/>
          </w:tcPr>
          <w:p>
            <w:pPr>
              <w:jc w:val="center"/>
              <w:ind w:right="86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060" w:type="dxa"/>
            <w:vAlign w:val="bottom"/>
          </w:tcPr>
          <w:p>
            <w:pPr>
              <w:jc w:val="center"/>
              <w:ind w:left="82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0"/>
        </w:trPr>
        <w:tc>
          <w:tcPr>
            <w:tcW w:w="3420" w:type="dxa"/>
            <w:vAlign w:val="bottom"/>
          </w:tcPr>
          <w:p>
            <w:pPr>
              <w:jc w:val="center"/>
              <w:ind w:right="863"/>
              <w:spacing w:after="0"/>
              <w:rPr>
                <w:sz w:val="20"/>
                <w:szCs w:val="20"/>
                <w:color w:val="auto"/>
              </w:rPr>
            </w:pPr>
            <w:r>
              <w:rPr>
                <w:rFonts w:ascii="Times New Roman" w:cs="Times New Roman" w:eastAsia="Times New Roman" w:hAnsi="Times New Roman"/>
                <w:sz w:val="11"/>
                <w:szCs w:val="11"/>
                <w:color w:val="auto"/>
              </w:rPr>
              <w:t>Common Stock, par value $0.0001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PLRX</w:t>
            </w:r>
          </w:p>
        </w:tc>
        <w:tc>
          <w:tcPr>
            <w:tcW w:w="3060" w:type="dxa"/>
            <w:vAlign w:val="bottom"/>
          </w:tcPr>
          <w:p>
            <w:pPr>
              <w:jc w:val="center"/>
              <w:ind w:left="823"/>
              <w:spacing w:after="0"/>
              <w:rPr>
                <w:sz w:val="20"/>
                <w:szCs w:val="20"/>
                <w:color w:val="auto"/>
              </w:rPr>
            </w:pPr>
            <w:r>
              <w:rPr>
                <w:rFonts w:ascii="Times New Roman" w:cs="Times New Roman" w:eastAsia="Times New Roman" w:hAnsi="Times New Roman"/>
                <w:sz w:val="11"/>
                <w:szCs w:val="11"/>
                <w:color w:val="auto"/>
              </w:rPr>
              <w:t>The Nasdaq Stock Market LLC</w:t>
            </w:r>
          </w:p>
        </w:tc>
      </w:tr>
      <w:tr>
        <w:trPr>
          <w:trHeight w:val="170"/>
        </w:trPr>
        <w:tc>
          <w:tcPr>
            <w:tcW w:w="3420" w:type="dxa"/>
            <w:vAlign w:val="bottom"/>
          </w:tcPr>
          <w:p>
            <w:pPr>
              <w:jc w:val="center"/>
              <w:ind w:right="863"/>
              <w:spacing w:after="0"/>
              <w:rPr>
                <w:sz w:val="20"/>
                <w:szCs w:val="20"/>
                <w:color w:val="auto"/>
              </w:rPr>
            </w:pPr>
            <w:r>
              <w:rPr>
                <w:rFonts w:ascii="Times New Roman" w:cs="Times New Roman" w:eastAsia="Times New Roman" w:hAnsi="Times New Roman"/>
                <w:sz w:val="11"/>
                <w:szCs w:val="11"/>
                <w:color w:val="auto"/>
              </w:rPr>
              <w:t>Series A Junior Participating Preferred Purchase Rights</w:t>
            </w:r>
          </w:p>
        </w:tc>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3060" w:type="dxa"/>
            <w:vAlign w:val="bottom"/>
          </w:tcPr>
          <w:p>
            <w:pPr>
              <w:jc w:val="center"/>
              <w:ind w:left="823"/>
              <w:spacing w:after="0"/>
              <w:rPr>
                <w:sz w:val="20"/>
                <w:szCs w:val="20"/>
                <w:color w:val="auto"/>
              </w:rPr>
            </w:pPr>
            <w:r>
              <w:rPr>
                <w:rFonts w:ascii="Times New Roman" w:cs="Times New Roman" w:eastAsia="Times New Roman" w:hAnsi="Times New Roman"/>
                <w:sz w:val="11"/>
                <w:szCs w:val="11"/>
                <w:color w:val="auto"/>
              </w:rPr>
              <w:t>The Nasdaq Stock Market LLC</w:t>
            </w: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p>
      <w:pPr>
        <w:spacing w:after="0" w:line="40" w:lineRule="exact"/>
        <w:rPr>
          <w:sz w:val="24"/>
          <w:szCs w:val="24"/>
          <w:color w:val="auto"/>
        </w:rPr>
      </w:pPr>
    </w:p>
    <w:p>
      <w:pPr>
        <w:ind w:right="5240"/>
        <w:spacing w:after="0" w:line="191"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6" w:lineRule="exact"/>
        <w:rPr>
          <w:sz w:val="24"/>
          <w:szCs w:val="24"/>
          <w:color w:val="auto"/>
        </w:rPr>
      </w:pPr>
    </w:p>
    <w:p>
      <w:pPr>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right="6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right="10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191"/>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760" w:type="dxa"/>
            <w:vAlign w:val="bottom"/>
          </w:tcPr>
          <w:p>
            <w:pPr>
              <w:ind w:left="1460"/>
              <w:spacing w:after="0" w:line="111" w:lineRule="exact"/>
              <w:rPr>
                <w:sz w:val="20"/>
                <w:szCs w:val="20"/>
                <w:color w:val="auto"/>
              </w:rPr>
            </w:pPr>
            <w:r>
              <w:rPr>
                <w:rFonts w:ascii="MS PGothic" w:cs="MS PGothic" w:eastAsia="MS PGothic" w:hAnsi="MS PGothic"/>
                <w:sz w:val="11"/>
                <w:szCs w:val="11"/>
                <w:color w:val="auto"/>
              </w:rPr>
              <w:t>☐</w:t>
            </w:r>
          </w:p>
        </w:tc>
        <w:tc>
          <w:tcPr>
            <w:tcW w:w="396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Accelerated filer</w:t>
            </w:r>
          </w:p>
        </w:tc>
        <w:tc>
          <w:tcPr>
            <w:tcW w:w="1580" w:type="dxa"/>
            <w:vAlign w:val="bottom"/>
          </w:tcPr>
          <w:p>
            <w:pPr>
              <w:ind w:left="146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302"/>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760" w:type="dxa"/>
            <w:vAlign w:val="bottom"/>
          </w:tcPr>
          <w:p>
            <w:pPr>
              <w:ind w:left="1460"/>
              <w:spacing w:after="0"/>
              <w:rPr>
                <w:sz w:val="20"/>
                <w:szCs w:val="20"/>
                <w:color w:val="auto"/>
              </w:rPr>
            </w:pPr>
            <w:r>
              <w:rPr>
                <w:rFonts w:ascii="Wingdings" w:cs="Wingdings" w:eastAsia="Wingdings" w:hAnsi="Wingdings"/>
                <w:sz w:val="11"/>
                <w:szCs w:val="11"/>
                <w:b w:val="1"/>
                <w:bCs w:val="1"/>
                <w:color w:val="auto"/>
              </w:rPr>
              <w:t>x</w:t>
            </w:r>
          </w:p>
        </w:tc>
        <w:tc>
          <w:tcPr>
            <w:tcW w:w="396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580" w:type="dxa"/>
            <w:vAlign w:val="bottom"/>
          </w:tcPr>
          <w:p>
            <w:pPr>
              <w:ind w:left="1460"/>
              <w:spacing w:after="0"/>
              <w:rPr>
                <w:sz w:val="20"/>
                <w:szCs w:val="20"/>
                <w:color w:val="auto"/>
              </w:rPr>
            </w:pPr>
            <w:r>
              <w:rPr>
                <w:rFonts w:ascii="Wingdings" w:cs="Wingdings" w:eastAsia="Wingdings" w:hAnsi="Wingdings"/>
                <w:sz w:val="11"/>
                <w:szCs w:val="11"/>
                <w:b w:val="1"/>
                <w:bCs w:val="1"/>
                <w:color w:val="auto"/>
                <w:w w:val="85"/>
              </w:rPr>
              <w:t>x</w:t>
            </w:r>
          </w:p>
        </w:tc>
      </w:tr>
      <w:tr>
        <w:trPr>
          <w:trHeight w:val="345"/>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2760" w:type="dxa"/>
            <w:vAlign w:val="bottom"/>
          </w:tcPr>
          <w:p>
            <w:pPr>
              <w:ind w:left="1460"/>
              <w:spacing w:after="0" w:line="111" w:lineRule="exact"/>
              <w:rPr>
                <w:sz w:val="20"/>
                <w:szCs w:val="20"/>
                <w:color w:val="auto"/>
              </w:rPr>
            </w:pPr>
            <w:r>
              <w:rPr>
                <w:rFonts w:ascii="MS PGothic" w:cs="MS PGothic" w:eastAsia="MS PGothic" w:hAnsi="MS PGothic"/>
                <w:sz w:val="11"/>
                <w:szCs w:val="11"/>
                <w:color w:val="auto"/>
              </w:rPr>
              <w:t>☐</w:t>
            </w:r>
          </w:p>
        </w:tc>
        <w:tc>
          <w:tcPr>
            <w:tcW w:w="39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90" w:lineRule="exact"/>
        <w:rPr>
          <w:sz w:val="24"/>
          <w:szCs w:val="24"/>
          <w:color w:val="auto"/>
        </w:rPr>
      </w:pPr>
    </w:p>
    <w:p>
      <w:pPr>
        <w:ind w:right="20"/>
        <w:spacing w:after="0" w:line="15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5" w:lineRule="exact"/>
        <w:rPr>
          <w:sz w:val="24"/>
          <w:szCs w:val="24"/>
          <w:color w:val="auto"/>
        </w:rPr>
      </w:pPr>
    </w:p>
    <w:p>
      <w:pPr>
        <w:ind w:right="360"/>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5" w:lineRule="exact"/>
        <w:rPr>
          <w:sz w:val="24"/>
          <w:szCs w:val="24"/>
          <w:color w:val="auto"/>
        </w:rPr>
      </w:pPr>
    </w:p>
    <w:p>
      <w:pPr>
        <w:ind w:right="80"/>
        <w:spacing w:after="0" w:line="140"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based on the closing price of the shares of common stock on The NASDAQ Stock Market on June 30, 2025, was $69,542,244.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Registrant’s Common Stock outstanding as of March 5, 2026 was 61,914,664.</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54" w:lineRule="exact"/>
        <w:rPr>
          <w:sz w:val="24"/>
          <w:szCs w:val="24"/>
          <w:color w:val="auto"/>
        </w:rPr>
      </w:pPr>
    </w:p>
    <w:p>
      <w:pPr>
        <w:ind w:right="120"/>
        <w:spacing w:after="0" w:line="300"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the 2026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693420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210"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648"/>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040" w:type="dxa"/>
            <w:vAlign w:val="bottom"/>
          </w:tcPr>
          <w:p>
            <w:pPr>
              <w:spacing w:after="0"/>
              <w:rPr>
                <w:sz w:val="24"/>
                <w:szCs w:val="24"/>
                <w:color w:val="auto"/>
              </w:rPr>
            </w:pPr>
          </w:p>
        </w:tc>
      </w:tr>
      <w:tr>
        <w:trPr>
          <w:trHeight w:val="276"/>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5060" w:type="dxa"/>
            <w:vAlign w:val="bottom"/>
            <w:gridSpan w:val="9"/>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0"/>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Summary of Risks Associated With Our Business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88"/>
        </w:trPr>
        <w:tc>
          <w:tcPr>
            <w:tcW w:w="2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3"/>
              </w:rPr>
              <w:t>PART I</w:t>
            </w:r>
          </w:p>
        </w:tc>
        <w:tc>
          <w:tcPr>
            <w:tcW w:w="640" w:type="dxa"/>
            <w:vAlign w:val="bottom"/>
            <w:gridSpan w:val="5"/>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w:t>
            </w: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6"/>
              </w:rPr>
              <w:t>Business</w:t>
            </w:r>
          </w:p>
        </w:tc>
        <w:tc>
          <w:tcPr>
            <w:tcW w:w="7600" w:type="dxa"/>
            <w:vAlign w:val="bottom"/>
            <w:gridSpan w:val="22"/>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1A.</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1B.</w:t>
            </w:r>
          </w:p>
        </w:tc>
        <w:tc>
          <w:tcPr>
            <w:tcW w:w="1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Unresolved Staff Comments</w:t>
            </w:r>
          </w:p>
        </w:tc>
        <w:tc>
          <w:tcPr>
            <w:tcW w:w="6500" w:type="dxa"/>
            <w:vAlign w:val="bottom"/>
            <w:gridSpan w:val="14"/>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1C.</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2.</w:t>
            </w:r>
          </w:p>
        </w:tc>
        <w:tc>
          <w:tcPr>
            <w:tcW w:w="7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320" w:type="dxa"/>
            <w:vAlign w:val="bottom"/>
            <w:gridSpan w:val="19"/>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3.</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4.</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88"/>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580" w:type="dxa"/>
            <w:vAlign w:val="bottom"/>
            <w:gridSpan w:val="4"/>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5.</w:t>
            </w:r>
          </w:p>
        </w:tc>
        <w:tc>
          <w:tcPr>
            <w:tcW w:w="6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76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6.</w:t>
            </w: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Reserved</w:t>
            </w:r>
          </w:p>
        </w:tc>
        <w:tc>
          <w:tcPr>
            <w:tcW w:w="7540" w:type="dxa"/>
            <w:vAlign w:val="bottom"/>
            <w:gridSpan w:val="21"/>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7.</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7A.</w:t>
            </w:r>
          </w:p>
        </w:tc>
        <w:tc>
          <w:tcPr>
            <w:tcW w:w="34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3"/>
          </w:tcPr>
          <w:p>
            <w:pPr>
              <w:spacing w:after="0"/>
              <w:rPr>
                <w:sz w:val="13"/>
                <w:szCs w:val="13"/>
                <w:color w:val="auto"/>
              </w:rPr>
            </w:pPr>
          </w:p>
        </w:tc>
        <w:tc>
          <w:tcPr>
            <w:tcW w:w="3040" w:type="dxa"/>
            <w:vAlign w:val="bottom"/>
            <w:gridSpan w:val="4"/>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8.</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9.</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9A.</w:t>
            </w:r>
          </w:p>
        </w:tc>
        <w:tc>
          <w:tcPr>
            <w:tcW w:w="51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000" w:type="dxa"/>
            <w:vAlign w:val="bottom"/>
            <w:gridSpan w:val="3"/>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9B.</w:t>
            </w:r>
          </w:p>
        </w:tc>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6720" w:type="dxa"/>
            <w:vAlign w:val="bottom"/>
            <w:gridSpan w:val="16"/>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9C.</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88"/>
        </w:trPr>
        <w:tc>
          <w:tcPr>
            <w:tcW w:w="20" w:type="dxa"/>
            <w:vAlign w:val="bottom"/>
          </w:tcPr>
          <w:p>
            <w:pPr>
              <w:spacing w:after="0"/>
              <w:rPr>
                <w:sz w:val="24"/>
                <w:szCs w:val="24"/>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520" w:type="dxa"/>
            <w:vAlign w:val="bottom"/>
            <w:gridSpan w:val="2"/>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10.</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11.</w:t>
            </w:r>
          </w:p>
        </w:tc>
        <w:tc>
          <w:tcPr>
            <w:tcW w:w="32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900" w:type="dxa"/>
            <w:vAlign w:val="bottom"/>
            <w:gridSpan w:val="8"/>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12.</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13.</w:t>
            </w:r>
          </w:p>
        </w:tc>
        <w:tc>
          <w:tcPr>
            <w:tcW w:w="42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tcBorders>
              <w:top w:val="single" w:sz="8" w:color="0000FF"/>
            </w:tcBorders>
            <w:gridSpan w:val="3"/>
          </w:tcPr>
          <w:p>
            <w:pPr>
              <w:spacing w:after="0"/>
              <w:rPr>
                <w:sz w:val="13"/>
                <w:szCs w:val="13"/>
                <w:color w:val="auto"/>
              </w:rPr>
            </w:pPr>
          </w:p>
        </w:tc>
        <w:tc>
          <w:tcPr>
            <w:tcW w:w="2380" w:type="dxa"/>
            <w:vAlign w:val="bottom"/>
            <w:gridSpan w:val="2"/>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14.</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88"/>
        </w:trPr>
        <w:tc>
          <w:tcPr>
            <w:tcW w:w="20" w:type="dxa"/>
            <w:vAlign w:val="bottom"/>
          </w:tcPr>
          <w:p>
            <w:pPr>
              <w:spacing w:after="0"/>
              <w:rPr>
                <w:sz w:val="24"/>
                <w:szCs w:val="24"/>
                <w:color w:val="auto"/>
              </w:rPr>
            </w:pPr>
          </w:p>
        </w:tc>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540" w:type="dxa"/>
            <w:vAlign w:val="bottom"/>
            <w:gridSpan w:val="3"/>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15.</w:t>
            </w:r>
          </w:p>
        </w:tc>
        <w:tc>
          <w:tcPr>
            <w:tcW w:w="2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620" w:type="dxa"/>
            <w:vAlign w:val="bottom"/>
            <w:gridSpan w:val="12"/>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Item 16</w:t>
            </w:r>
          </w:p>
        </w:tc>
        <w:tc>
          <w:tcPr>
            <w:tcW w:w="81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This Annual Report on Form 10-K,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express or implied statements about:</w:t>
      </w:r>
    </w:p>
    <w:p>
      <w:pPr>
        <w:spacing w:after="0" w:line="61" w:lineRule="exact"/>
        <w:rPr>
          <w:sz w:val="20"/>
          <w:szCs w:val="20"/>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needs for additional financing;</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cost and timing of our product development activities, preclinical and clinical trials of our product candidates;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initiate, recruit and enroll patients in, and conduct our clinical trials at the pace that we project;</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strategy to obtain and maintain regulatory approvals of our product candidates;</w:t>
      </w:r>
    </w:p>
    <w:p>
      <w:pPr>
        <w:spacing w:after="0" w:line="93" w:lineRule="exact"/>
        <w:rPr>
          <w:rFonts w:ascii="Times New Roman" w:cs="Times New Roman" w:eastAsia="Times New Roman" w:hAnsi="Times New Roman"/>
          <w:sz w:val="14"/>
          <w:szCs w:val="14"/>
          <w:color w:val="auto"/>
        </w:rPr>
      </w:pPr>
    </w:p>
    <w:p>
      <w:pPr>
        <w:ind w:left="980" w:right="700" w:hanging="453"/>
        <w:spacing w:after="0" w:line="287" w:lineRule="auto"/>
        <w:tabs>
          <w:tab w:leader="none" w:pos="97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strategy to obtain funding for our operations, including funding necessary to complete further development and, upon successful development, if approved, commercialize any of our product candidates;</w:t>
      </w:r>
    </w:p>
    <w:p>
      <w:pPr>
        <w:spacing w:after="0" w:line="39"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and impact of new, existing and proposed laws and regulations;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 of orphan drug and Fast Track designations for our product candidates;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with companies currently marketing or engaged in the development of integrin-based therapeutics;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strategy regarding obtaining and maintaining intellectual property protection for our product candidates and the duration of such protection;</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strategy regarding the manufacture of our product candidates for clinical trials and for commercial use, if approved;</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successful new collaborations;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future collaborators for developing, obtaining regulatory approval for and commercializing product candidates in the collaboration;</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receipt and timing of any milestone payments or royalties under any future research collaboration or license agreements or arrangements;</w:t>
      </w:r>
    </w:p>
    <w:p>
      <w:pPr>
        <w:spacing w:after="0" w:line="93" w:lineRule="exact"/>
        <w:rPr>
          <w:rFonts w:ascii="Times New Roman" w:cs="Times New Roman" w:eastAsia="Times New Roman" w:hAnsi="Times New Roman"/>
          <w:sz w:val="14"/>
          <w:szCs w:val="14"/>
          <w:color w:val="auto"/>
        </w:rPr>
      </w:pPr>
    </w:p>
    <w:p>
      <w:pPr>
        <w:ind w:left="980" w:right="280" w:hanging="453"/>
        <w:spacing w:after="0" w:line="287" w:lineRule="auto"/>
        <w:tabs>
          <w:tab w:leader="none" w:pos="97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strategy regarding the commercialization of any products that are approved for marketing and our ability to establish adequate pricing in the U.S. and international markets;</w:t>
      </w:r>
    </w:p>
    <w:p>
      <w:pPr>
        <w:spacing w:after="0" w:line="39"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 either alone or in combination with others;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employees and key personnel;</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government and third-party payor coverage and reimbursement; and</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of obtaining a positive health technology assessment recommending our products.</w:t>
      </w:r>
    </w:p>
    <w:p>
      <w:pPr>
        <w:spacing w:after="0" w:line="94"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RISKS ASSOCIATED WITH OUR BUSINESS</w:t>
      </w:r>
    </w:p>
    <w:p>
      <w:pPr>
        <w:spacing w:after="0" w:line="9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Our business involves significant risks, some of which are summarized below. The summary risk factors listed below should be read together with the text of the full risk factors discussed in "Part 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Financial Position, Operations and Need for Additional Capital</w:t>
      </w:r>
    </w:p>
    <w:p>
      <w:pPr>
        <w:spacing w:after="0" w:line="96" w:lineRule="exact"/>
        <w:rPr>
          <w:sz w:val="20"/>
          <w:szCs w:val="20"/>
          <w:color w:val="auto"/>
        </w:rPr>
      </w:pPr>
    </w:p>
    <w:p>
      <w:pPr>
        <w:ind w:left="960" w:hanging="433"/>
        <w:spacing w:after="0"/>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net losses since inception, and we expect to continue to incur significant net losses for the foreseeable future.</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pursuit of internal and external opportunities may not deliver the benefits we expect or enhance shareholder value.</w:t>
      </w:r>
    </w:p>
    <w:p>
      <w:pPr>
        <w:spacing w:after="0" w:line="93" w:lineRule="exact"/>
        <w:rPr>
          <w:rFonts w:ascii="Times New Roman" w:cs="Times New Roman" w:eastAsia="Times New Roman" w:hAnsi="Times New Roman"/>
          <w:sz w:val="14"/>
          <w:szCs w:val="14"/>
          <w:color w:val="auto"/>
        </w:rPr>
      </w:pPr>
    </w:p>
    <w:p>
      <w:pPr>
        <w:ind w:left="980" w:right="60" w:hanging="453"/>
        <w:spacing w:after="0" w:line="287" w:lineRule="auto"/>
        <w:tabs>
          <w:tab w:leader="none" w:pos="9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Research and Development and the Biopharmaceutical Industry</w:t>
      </w:r>
    </w:p>
    <w:p>
      <w:pPr>
        <w:spacing w:after="0" w:line="96" w:lineRule="exact"/>
        <w:rPr>
          <w:sz w:val="20"/>
          <w:szCs w:val="20"/>
          <w:color w:val="auto"/>
        </w:rPr>
      </w:pPr>
    </w:p>
    <w:p>
      <w:pPr>
        <w:ind w:left="960" w:hanging="433"/>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which may make it difficult to evaluate our prospects and likelihood of success.</w:t>
      </w:r>
    </w:p>
    <w:p>
      <w:pPr>
        <w:spacing w:after="0" w:line="93" w:lineRule="exact"/>
        <w:rPr>
          <w:rFonts w:ascii="Times New Roman" w:cs="Times New Roman" w:eastAsia="Times New Roman" w:hAnsi="Times New Roman"/>
          <w:sz w:val="14"/>
          <w:szCs w:val="14"/>
          <w:color w:val="auto"/>
        </w:rPr>
      </w:pPr>
    </w:p>
    <w:p>
      <w:pPr>
        <w:ind w:left="980" w:right="320" w:hanging="453"/>
        <w:spacing w:after="0" w:line="287" w:lineRule="auto"/>
        <w:tabs>
          <w:tab w:leader="none" w:pos="97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highly dependent on the success of our lead product candidate, PLN-101095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39"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approach to drug discovery and development in the area of integrin-based therapeutics is unproven and may not result in marketable products.</w:t>
      </w:r>
    </w:p>
    <w:p>
      <w:pPr>
        <w:spacing w:after="0" w:line="93" w:lineRule="exact"/>
        <w:rPr>
          <w:rFonts w:ascii="Times New Roman" w:cs="Times New Roman" w:eastAsia="Times New Roman" w:hAnsi="Times New Roman"/>
          <w:sz w:val="14"/>
          <w:szCs w:val="14"/>
          <w:color w:val="auto"/>
        </w:rPr>
      </w:pPr>
    </w:p>
    <w:p>
      <w:pPr>
        <w:ind w:left="980" w:right="800" w:hanging="453"/>
        <w:spacing w:after="0" w:line="287" w:lineRule="auto"/>
        <w:tabs>
          <w:tab w:leader="none" w:pos="97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development involves a lengthy, complex, and expensive process, with an uncertain outcome to support either a marketing authorization or positive pricing and reimbursement decisions.</w:t>
      </w:r>
    </w:p>
    <w:p>
      <w:pPr>
        <w:spacing w:after="0" w:line="39"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additional costs or experience delays in completing, or ultimately be unable to complete, the development and commercialization of our product candidates.</w:t>
      </w:r>
    </w:p>
    <w:p>
      <w:pPr>
        <w:spacing w:after="0" w:line="93" w:lineRule="exact"/>
        <w:rPr>
          <w:rFonts w:ascii="Times New Roman" w:cs="Times New Roman" w:eastAsia="Times New Roman" w:hAnsi="Times New Roman"/>
          <w:sz w:val="14"/>
          <w:szCs w:val="14"/>
          <w:color w:val="auto"/>
        </w:rPr>
      </w:pPr>
    </w:p>
    <w:p>
      <w:pPr>
        <w:ind w:left="980" w:right="140" w:hanging="453"/>
        <w:spacing w:after="0" w:line="287" w:lineRule="auto"/>
        <w:tabs>
          <w:tab w:leader="none" w:pos="97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obtain and maintain certain regulatory exclusivities and orphan designations in some jurisdictions and therefore fail to secure orphan exclusivity or other exclusivity extensions in those jurisdictions.</w:t>
      </w:r>
    </w:p>
    <w:p>
      <w:pPr>
        <w:spacing w:after="0" w:line="39" w:lineRule="exact"/>
        <w:rPr>
          <w:rFonts w:ascii="Times New Roman" w:cs="Times New Roman" w:eastAsia="Times New Roman" w:hAnsi="Times New Roman"/>
          <w:sz w:val="14"/>
          <w:szCs w:val="14"/>
          <w:color w:val="auto"/>
        </w:rPr>
      </w:pPr>
    </w:p>
    <w:p>
      <w:pPr>
        <w:ind w:left="980" w:right="100" w:hanging="453"/>
        <w:spacing w:after="0" w:line="287" w:lineRule="auto"/>
        <w:tabs>
          <w:tab w:leader="none" w:pos="97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39"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encounter difficulties enrolling patients in our clinical trials, our clinical development activities could be delayed or otherwise adversely affected.</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substantial competition, which may result in others discovering, developing, or commercializing products before or more successfully than us.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secure an appropriate reimbursement price or a positive health technology assessment.</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Intellectual Property</w:t>
      </w:r>
    </w:p>
    <w:p>
      <w:pPr>
        <w:spacing w:after="0" w:line="96" w:lineRule="exact"/>
        <w:rPr>
          <w:sz w:val="20"/>
          <w:szCs w:val="20"/>
          <w:color w:val="auto"/>
        </w:rPr>
      </w:pPr>
    </w:p>
    <w:p>
      <w:pPr>
        <w:ind w:left="980" w:right="320" w:hanging="453"/>
        <w:spacing w:after="0" w:line="287" w:lineRule="auto"/>
        <w:tabs>
          <w:tab w:leader="none" w:pos="9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part on our ability to protect our intellectual property. It is difficult and costly to protect our proprietary rights and technology, and we may not be able to ensure their protection.</w:t>
      </w:r>
    </w:p>
    <w:p>
      <w:pPr>
        <w:spacing w:after="0" w:line="39" w:lineRule="exact"/>
        <w:rPr>
          <w:rFonts w:ascii="Times New Roman" w:cs="Times New Roman" w:eastAsia="Times New Roman" w:hAnsi="Times New Roman"/>
          <w:sz w:val="14"/>
          <w:szCs w:val="14"/>
          <w:color w:val="auto"/>
        </w:rPr>
      </w:pPr>
    </w:p>
    <w:p>
      <w:pPr>
        <w:ind w:left="980" w:right="220" w:hanging="453"/>
        <w:spacing w:after="0" w:line="287" w:lineRule="auto"/>
        <w:tabs>
          <w:tab w:leader="none" w:pos="9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collaborators may assert ownership or commercial rights to inventions they develop from research we support, or that we develop from our use of the tissue samples or other biological materials which they provide to us, or otherwise arising from such collaboration.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Reliance on Third Parties</w:t>
      </w:r>
    </w:p>
    <w:p>
      <w:pPr>
        <w:spacing w:after="0" w:line="96" w:lineRule="exact"/>
        <w:rPr>
          <w:sz w:val="20"/>
          <w:szCs w:val="20"/>
          <w:color w:val="auto"/>
        </w:rPr>
      </w:pPr>
    </w:p>
    <w:p>
      <w:pPr>
        <w:ind w:left="980" w:right="160" w:hanging="453"/>
        <w:spacing w:after="0" w:line="270" w:lineRule="auto"/>
        <w:tabs>
          <w:tab w:leader="none" w:pos="9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PLN-101005 or any other potential product candidates.</w:t>
      </w:r>
    </w:p>
    <w:p>
      <w:pPr>
        <w:spacing w:after="0" w:line="50" w:lineRule="exact"/>
        <w:rPr>
          <w:rFonts w:ascii="Times New Roman" w:cs="Times New Roman" w:eastAsia="Times New Roman" w:hAnsi="Times New Roman"/>
          <w:sz w:val="14"/>
          <w:szCs w:val="14"/>
          <w:color w:val="auto"/>
        </w:rPr>
      </w:pPr>
    </w:p>
    <w:p>
      <w:pPr>
        <w:ind w:left="980" w:right="120" w:hanging="453"/>
        <w:spacing w:after="0" w:line="287" w:lineRule="auto"/>
        <w:tabs>
          <w:tab w:leader="none" w:pos="9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rely on third-party manufacturing and supply vendors, including single-source vendors and vendors located in foreign jurisdictions, including China, our supply of research and development, preclinical and clinical development materials may become limited or interrupted or may not be of satisfactory quantity or quality.</w:t>
      </w:r>
    </w:p>
    <w:p>
      <w:pPr>
        <w:spacing w:after="0" w:line="39"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If we are unable to enter into new collaborations, or if these collaborations are not successful, our business could be adversely affected.</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Managing Our Business and Operations</w:t>
      </w:r>
    </w:p>
    <w:p>
      <w:pPr>
        <w:spacing w:after="0" w:line="96" w:lineRule="exact"/>
        <w:rPr>
          <w:sz w:val="20"/>
          <w:szCs w:val="20"/>
          <w:color w:val="auto"/>
        </w:rPr>
      </w:pPr>
    </w:p>
    <w:p>
      <w:pPr>
        <w:ind w:left="980" w:hanging="453"/>
        <w:spacing w:after="0" w:line="287" w:lineRule="auto"/>
        <w:tabs>
          <w:tab w:leader="none" w:pos="9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loss of key management personnel, or our failure to recruit additional highly skilled personnel, will impair our ability to develop PLN-101095 or other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125" w:right="5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5"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discovering and developing integrin-based therapeutics. Our lead program is focused on the development of treatments for solid tumors by inhibiting integrin-mediated activation of transforming growth factor-β (TGF-β). We have applied our deep understanding of integrin biology, along with our medicinal chemistry and translational medicine expertise to develop a proprietary drug discovery platform that we believe has broad applicability across multiple areas of disease.</w:t>
      </w:r>
    </w:p>
    <w:p>
      <w:pPr>
        <w:spacing w:after="0" w:line="59"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Our wholly owned lead product candidate, PLN-101095, is an oral, small molecule, dual selective inhibitor of αvβ8 and αvβ1 integrins in development for the treatment of solid tumors. In 2025, we announced positive data from a Phase 1 open-label dose-escalation trial of PLN-101095 as monotherapy and in combination with the immunotherapy pembrolizumab in patients with solid tumors that are resistant to immune checkpoint inhibitors. We also continue to explore the full potential of our drug discovery platform consisting of a proprietary library of over 15,000 integrin binding molecules, focusing on integrin-based target-mediated drug delivery.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4446270" cy="1691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46270" cy="169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Lead Candidate - PLN-101095 for Treatment of Solid Tumors That are Resistant to Immune Checkpoint Inhibitors</w:t>
      </w:r>
    </w:p>
    <w:p>
      <w:pPr>
        <w:spacing w:after="0" w:line="85"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231F20"/>
        </w:rPr>
        <w:t>Our lead wholly owned product candidate, PLN-101095, is an oral, small molecule dual inhibitor of αvß8 and αvß1 integrins for the treatment of solid tumors that are resistant to immune checkpoint inhibitors, or ICIs. As TGF-β biology has been elucidated, it has become increasingly understood in the scientific literature that TGF-β plays an important anti-inflammatory role in the tumor micro-environment, preventing T-cell infiltration and inhibiting release of various cytokines. This mechanism is becoming increasingly recognized as a potential cause of the resistance to checkpoint inhibitors such as anti-PD-1 therapies seen in many tumors. We are targeting the TGF-β activating integrins αvβ8 and αvβ1, which are upregulated in certain tumors, with the goal of sensitizing tumors to checkpoint inhibitors. In March 2025 and December 2025, we announced positive data from a Phase 1 open label dose-escalation trial of PLN-101095. In this trial PLN-101095 was administered as monotherapy for 14 days, followed by combination therapy with pembrolizumab in patients with solid tumors that are resistant to immune checkpoint inhibitors.</w:t>
      </w:r>
    </w:p>
    <w:p>
      <w:pPr>
        <w:spacing w:after="0" w:line="61"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4"/>
          <w:szCs w:val="14"/>
          <w:color w:val="231F20"/>
        </w:rPr>
        <w:t>In this heavily pretreated patient population, PLN-101095 demonstrated anti-tumor activity in combination with pembrolizumab. Across the three highest dose cohorts, there were four responders consisting of one confirmed complete response (CR) and three partial responses (PR) (two confirmed, one unconfirmed) out of the 10 secondary ICI refractory patients. Clinical responses were observed in patients with cholangiocarcinoma, melanoma, head and neck squamous cell carcinoma (HNSCC) and non-small cell lung cancer (NSCLC). The median time on treatment in these patients was 15 months as of November 30</w:t>
      </w:r>
      <w:r>
        <w:rPr>
          <w:rFonts w:ascii="Times New Roman" w:cs="Times New Roman" w:eastAsia="Times New Roman" w:hAnsi="Times New Roman"/>
          <w:sz w:val="18"/>
          <w:szCs w:val="18"/>
          <w:color w:val="231F20"/>
          <w:vertAlign w:val="superscript"/>
        </w:rPr>
        <w:t>th</w:t>
      </w:r>
      <w:r>
        <w:rPr>
          <w:rFonts w:ascii="Times New Roman" w:cs="Times New Roman" w:eastAsia="Times New Roman" w:hAnsi="Times New Roman"/>
          <w:sz w:val="14"/>
          <w:szCs w:val="14"/>
          <w:color w:val="231F20"/>
        </w:rPr>
        <w:t>, 2025. Sixty percent of secondary refractory patients demonstrated stable disease or tumor reduction.</w:t>
      </w:r>
    </w:p>
    <w:p>
      <w:pPr>
        <w:spacing w:after="0" w:line="2"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231F20"/>
        </w:rPr>
        <w:t>Sixteen patients with nine different tumor types were enrolled in five cohorts. Patients were treated for 14 days with PLN-101095 monotherapy administered orally at doses of 250 mg twice a day (BID) (n=1), 500 mg BID (n=2), 1000 mg</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231F20"/>
        </w:rPr>
        <w:t>BID (n=6), 1000 mg three times a day (TID) (n=4) or 2000 mg BID (n=3), followed by the addition of pembrolizumab at 200 mg administered intravenously every three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135890</wp:posOffset>
            </wp:positionV>
            <wp:extent cx="4244340" cy="3914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44340" cy="3914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134"/>
        <w:spacing w:after="0" w:line="270" w:lineRule="auto"/>
        <w:rPr>
          <w:sz w:val="20"/>
          <w:szCs w:val="20"/>
          <w:color w:val="auto"/>
        </w:rPr>
      </w:pPr>
      <w:r>
        <w:rPr>
          <w:rFonts w:ascii="Times New Roman" w:cs="Times New Roman" w:eastAsia="Times New Roman" w:hAnsi="Times New Roman"/>
          <w:sz w:val="14"/>
          <w:szCs w:val="14"/>
          <w:color w:val="auto"/>
        </w:rPr>
        <w:t>All responding patients showed large increases (4- to 13-fold vs. baseline) in plasma interferon gamma (IFN-γ) after a 14-day run-in period of monotherapy with PLN-101095. No non-responders showed meaningful increases in IFN- γ. PLN-101095 was generally well tolerated across all doses tested with few discontinuations (n=2) due to adverse events. PLN-101095 demonstrated a dose-dependent pharmacokinetic profile.</w:t>
      </w:r>
    </w:p>
    <w:p>
      <w:pPr>
        <w:spacing w:after="0" w:line="51"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Based on the response data, coupled with the supportive IFN- γ biomarker data, Pliant plans to accelerate the development of PLN-101095 with the initiation of a Phase 1b indication expansion trial assessing NSCLC and other tumor types with strong mechanistic rationale for integrin inhibition in 2026.</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Proprietary Platform Supports Early-Stage Programs</w:t>
      </w:r>
    </w:p>
    <w:p>
      <w:pPr>
        <w:spacing w:after="0" w:line="96"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231F20"/>
        </w:rPr>
        <w:t>Since our founding, we have built a drug discovery platform that today consists of a proprietary library of over 15,000 integrin binding molecules, utilizing a comprehensive screening assay system (binding, integrin confirmation, ligand-induced internalization) and an advanced live human tissue program. We believe our library holds tremendous potential to serve as the basis for integrin-based drug delivery by utilizing tissue-specific integrin receptors. Pliant has utilized the library to develop a platform capable of delivering drug payloads including siRNAs to selective cell types. Current programs are focused on delivering siRNAs to skeletal muscle cells, adipocytes, and renal cells. We believe this platform potentially has broad applicability across multiple disease areas utilizing a variety of drug payloads.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Bexotegrast Discontinued in the Development of IPF and PSC</w:t>
      </w: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61" w:right="419" w:bottom="1440" w:gutter="0" w:footer="0" w:header="0"/>
        </w:sectPr>
      </w:pPr>
    </w:p>
    <w:bookmarkStart w:id="7" w:name="page8"/>
    <w:bookmarkEnd w:id="7"/>
    <w:p>
      <w:pPr>
        <w:ind w:right="120" w:firstLine="509"/>
        <w:spacing w:after="0" w:line="287" w:lineRule="auto"/>
        <w:rPr>
          <w:sz w:val="20"/>
          <w:szCs w:val="20"/>
          <w:color w:val="auto"/>
        </w:rPr>
      </w:pPr>
      <w:r>
        <w:rPr>
          <w:rFonts w:ascii="Times New Roman" w:cs="Times New Roman" w:eastAsia="Times New Roman" w:hAnsi="Times New Roman"/>
          <w:sz w:val="14"/>
          <w:szCs w:val="14"/>
          <w:color w:val="231F20"/>
        </w:rPr>
        <w:t>Bexotegrast is an oral, small molecule, dual-selective inhibitor of αvß6 and αvß1 that was in development for the potential treatment of idiopathic pulmonary fibrosis (IPF) as part of the 52 week Phase 2b BEACON-IPF trial and the treatment of primary sclerosing cholangitis (PSC) as part of the 12 week Phase 2a INTEGRIS-PSC trial.</w:t>
      </w:r>
    </w:p>
    <w:p>
      <w:pPr>
        <w:spacing w:after="0" w:line="39"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On March 3, 2025, we announced that, following a prespecified data review and recommendation by the BEACON-IPF independent DSMB, as well as a secondary review and recommendation by an outside expert panel, Pliant has discontinued the Phase 2b trial. While an imbalance in unadjudicated IPF-related adverse events between the treatment and placebo groups led to the discontinuation of the trial, early evidence of efficacy on the forced vital capacity (FVC) endpoint was also observed.</w:t>
      </w:r>
    </w:p>
    <w:p>
      <w:pPr>
        <w:spacing w:after="0" w:line="51"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mean exposure duration in BEACON-IPF was approximately 17 weeks. Overall, the percentage of IPF-related adverse events in both dose groups was comparable (approximately 10%). The imbalance between active and placebo appears to have been driven by a low number (below 3%) of IPF-related adverse events in the placebo group. In comparison, the IPF-related adverse event rate in pooled placebo group of the INTEGRIS-IPF study was 10% with a comparable treatment duration to that of BEACON-IPF (mean exposure duration approximately 16 weeks). We have discontinued the development of bexotegrast in IPF.</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31F20"/>
        </w:rPr>
        <w:t>We conducted and have announced results from INTEGRIS-PSC with positive results disclosed in company press releases in 2023 and 2024.</w:t>
      </w:r>
    </w:p>
    <w:p>
      <w:pPr>
        <w:spacing w:after="0" w:line="94"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231F20"/>
        </w:rPr>
        <w:t>Following discussions with regulatory authorities, it is clear that a cost effective and efficient development path for Pliant in PSC is not available at this time; however, we continue to evaluate the best path forward for this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Our Team</w:t>
      </w:r>
    </w:p>
    <w:p>
      <w:pPr>
        <w:spacing w:after="0" w:line="96"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231F20"/>
        </w:rPr>
        <w:t>We have assembled an executive team with highly relevant experience in, small molecule drug discovery and clinical development. Bernard Coulie, M.D., Ph.D., our President and Chief Executive Officer, has over 20 years of experience in drug development, previously serving as Chief Executive Officer and Chief Medical Officer of ActoGeniX, as well as holding senior roles at Johnson &amp; Johnson. Minnie Kuo, our Chief Operating Officer, has over 20 years of multinational clinical development experience across various therapeutic areas including oncology as operational officer at Vir Biotechnology and multiple therapeutic areas while holding senior clinical roles at Gilead Sciences and Nektar Therapeutics.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6"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231F20"/>
        </w:rPr>
        <w:t>Our goal is to become a leading integrin-drug development company, developing and commercializing disease- modifying therapies across a spectrum of diseases. To achieve this, we are focused on the following key strategies:</w:t>
      </w:r>
    </w:p>
    <w:p>
      <w:pPr>
        <w:spacing w:after="0" w:line="37" w:lineRule="exact"/>
        <w:rPr>
          <w:sz w:val="20"/>
          <w:szCs w:val="20"/>
          <w:color w:val="auto"/>
        </w:rPr>
      </w:pPr>
    </w:p>
    <w:p>
      <w:pPr>
        <w:ind w:left="520" w:right="6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Efficiently advance PLN-101095 through early clinical development and determine potential future indications. </w:t>
      </w:r>
      <w:r>
        <w:rPr>
          <w:rFonts w:ascii="Times New Roman" w:cs="Times New Roman" w:eastAsia="Times New Roman" w:hAnsi="Times New Roman"/>
          <w:sz w:val="14"/>
          <w:szCs w:val="14"/>
          <w:color w:val="auto"/>
        </w:rPr>
        <w:t>We are developing our lead oral, small molecule inhibitor of αvß8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αvß1 as a novel therapy for patients with solid tumors resistant to ICIs, an area of high unmet medical need.</w:t>
      </w:r>
    </w:p>
    <w:p>
      <w:pPr>
        <w:spacing w:after="0" w:line="35" w:lineRule="exact"/>
        <w:rPr>
          <w:rFonts w:ascii="Times New Roman" w:cs="Times New Roman" w:eastAsia="Times New Roman" w:hAnsi="Times New Roman"/>
          <w:sz w:val="14"/>
          <w:szCs w:val="14"/>
          <w:color w:val="auto"/>
        </w:rPr>
      </w:pPr>
    </w:p>
    <w:p>
      <w:pPr>
        <w:ind w:left="520" w:hanging="260"/>
        <w:spacing w:after="0" w:line="265"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Selectively evaluate additional partnerships where we believe partners can add significant commercial and/or development capabilities. </w:t>
      </w:r>
      <w:r>
        <w:rPr>
          <w:rFonts w:ascii="Times New Roman" w:cs="Times New Roman" w:eastAsia="Times New Roman" w:hAnsi="Times New Roman"/>
          <w:sz w:val="14"/>
          <w:szCs w:val="14"/>
          <w:color w:val="auto"/>
        </w:rPr>
        <w:t>Oncology drug development has the potential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represent a broad set of specific tumor type disease indications to pursue. Our focus is to advance the program, assess the activity and determine what indication could best suited for commercialization by us and to selectively work with partners in larger indications and in geographies outside of North America. Furthermore, we will evaluate and potentially choose to partner our product candidates.</w:t>
      </w:r>
    </w:p>
    <w:p>
      <w:pPr>
        <w:spacing w:after="0" w:line="52" w:lineRule="exact"/>
        <w:rPr>
          <w:rFonts w:ascii="Times New Roman" w:cs="Times New Roman" w:eastAsia="Times New Roman" w:hAnsi="Times New Roman"/>
          <w:sz w:val="14"/>
          <w:szCs w:val="14"/>
          <w:color w:val="auto"/>
        </w:rPr>
      </w:pPr>
    </w:p>
    <w:p>
      <w:pPr>
        <w:ind w:left="520" w:right="14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Explore opportunities to expand our pipeline in the areas of immunology and inflammation and oncology. </w:t>
      </w:r>
      <w:r>
        <w:rPr>
          <w:rFonts w:ascii="Times New Roman" w:cs="Times New Roman" w:eastAsia="Times New Roman" w:hAnsi="Times New Roman"/>
          <w:sz w:val="14"/>
          <w:szCs w:val="14"/>
          <w:color w:val="auto"/>
        </w:rPr>
        <w:t>We evaluate external opportunities that leverage our expertise and enhance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portfolio with the goal of creating value for patients and shareholders.</w:t>
      </w:r>
    </w:p>
    <w:p>
      <w:pPr>
        <w:spacing w:after="0" w:line="35" w:lineRule="exact"/>
        <w:rPr>
          <w:rFonts w:ascii="Times New Roman" w:cs="Times New Roman" w:eastAsia="Times New Roman" w:hAnsi="Times New Roman"/>
          <w:sz w:val="14"/>
          <w:szCs w:val="14"/>
          <w:color w:val="auto"/>
        </w:rPr>
      </w:pPr>
    </w:p>
    <w:p>
      <w:pPr>
        <w:ind w:left="520" w:right="120" w:hanging="260"/>
        <w:spacing w:after="0" w:line="265"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Leverage our proprietary library, screening tools and capabilities to advance our mission of becoming a leading integrin drug development company. </w:t>
      </w:r>
      <w:r>
        <w:rPr>
          <w:rFonts w:ascii="Times New Roman" w:cs="Times New Roman" w:eastAsia="Times New Roman" w:hAnsi="Times New Roman"/>
          <w:sz w:val="14"/>
          <w:szCs w:val="14"/>
          <w:color w:val="auto"/>
        </w:rPr>
        <w:t>Since our founding, we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endeavored to advance the understanding of fibrosis biology, uncover new targets and advance novel product candidates. Currently, our proprietary capabilities include an expansive library of over 15,000 integrin binding molecules, </w:t>
      </w:r>
      <w:r>
        <w:rPr>
          <w:rFonts w:ascii="Times New Roman" w:cs="Times New Roman" w:eastAsia="Times New Roman" w:hAnsi="Times New Roman"/>
          <w:sz w:val="14"/>
          <w:szCs w:val="14"/>
          <w:color w:val="231F20"/>
        </w:rPr>
        <w:t>a comprehensive screening assay system (binding, integrin confirmation, ligand-induced internalization) and an advanced live human tissue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program. </w:t>
      </w:r>
      <w:r>
        <w:rPr>
          <w:rFonts w:ascii="Times New Roman" w:cs="Times New Roman" w:eastAsia="Times New Roman" w:hAnsi="Times New Roman"/>
          <w:sz w:val="14"/>
          <w:szCs w:val="14"/>
          <w:color w:val="000000"/>
        </w:rPr>
        <w:t>We continue to expand our integrin inhibitor library expand our pipeline with a mission to become a world- leading integrin drug development company.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231F20"/>
        </w:rPr>
        <w:t>The biotechnology and biopharmaceutical industries are characterized by rapidly advancing technologies, strong competition and an emphasis on proprietary products. While we believe that our technology, knowledge, experience and scientific personnel provide us with competitive advantages, we face substantial competition from multiple sources, including large and specialty pharmaceutical and biotechnology companies, academic research institutions and governmental agencies and public and private research institutions.</w:t>
      </w:r>
    </w:p>
    <w:p>
      <w:pPr>
        <w:spacing w:after="0" w:line="51"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231F20"/>
        </w:rPr>
        <w:t>Our competitors compete with us on the level of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oncology and, furthermore, within the treatment of solid tumors that have progressed on checkpoint inhibitors. We also face competition in recruiting and retaining qualified scientific and management personnel, establishing clinical trial sites and enrolling patients for clinical trials, and acquiring technologies complementary to, or necessary for, our programs.</w:t>
      </w:r>
    </w:p>
    <w:p>
      <w:pPr>
        <w:spacing w:after="0" w:line="61"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231F20"/>
        </w:rPr>
        <w:t>In addition to the current standard of care treatments for patients with solid tumors who have progressed on checkpoint inhibitors, numerous commercial and academic preclinical studies and clinical trials are being undertaken by a large number of parties to assess novel technologies, product candidates, and combinations.</w:t>
      </w:r>
    </w:p>
    <w:p>
      <w:pPr>
        <w:spacing w:after="0" w:line="39" w:lineRule="exact"/>
        <w:rPr>
          <w:sz w:val="20"/>
          <w:szCs w:val="20"/>
          <w:color w:val="auto"/>
        </w:rPr>
      </w:pPr>
    </w:p>
    <w:p>
      <w:pPr>
        <w:ind w:right="360" w:firstLine="318"/>
        <w:spacing w:after="0" w:line="270" w:lineRule="auto"/>
        <w:rPr>
          <w:sz w:val="20"/>
          <w:szCs w:val="20"/>
          <w:color w:val="auto"/>
        </w:rPr>
      </w:pPr>
      <w:r>
        <w:rPr>
          <w:rFonts w:ascii="Times New Roman" w:cs="Times New Roman" w:eastAsia="Times New Roman" w:hAnsi="Times New Roman"/>
          <w:sz w:val="14"/>
          <w:szCs w:val="14"/>
          <w:color w:val="231F20"/>
        </w:rPr>
        <w:t>Companies that compete with us directly on the level of commercialization or development of product candidates targeting various parts of the TGF-β pathway include companies with significant financial resources such as AbbVie Inc., Bicara Therapeutics, CatalyM, Corbus Pharmaceuticals, Incyte Corporation, IO Biotech, Keros Therapeutics, Oncotelic Therapeutics, Pfizer, Roche/Genetech, Scholar Rock, and Sirnaomics.</w:t>
      </w:r>
    </w:p>
    <w:p>
      <w:pPr>
        <w:spacing w:after="0" w:line="51"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231F20"/>
        </w:rPr>
        <w:t>We believe that the key competitive factors affecting the success of any of our products candidates will include efficacy, safety profile, convenience, method of administration, cost, level of promotional activity and intellectual property protection. If our product candidates do not offer sustainable advantages over other available products, we may not be able to successfully compete against current and future competitors. Our competitors also may obtain FDA or other regulatory approval for their products more rapidly, resulting in a stronger or dominant market position before we are able to enter the market. The key competitive factors affecting the success of all of our programs, if approved, are likely to be product safety, efficacy, convenience and treatment cost.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6"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integrin-based therapeutics that may be important for the development of our business. We additionally may rely on regulatory protection afforded through data exclusivity, market exclusivity, and patent term extensions, where available.</w:t>
      </w:r>
    </w:p>
    <w:p>
      <w:pPr>
        <w:spacing w:after="0" w:line="5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Company Owned IP</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As of March 1, 2026, we own or co-own over 300 pending patent applications worldwide in over 30 patent families, including United States and corresponding foreign patent applications. As of March 1, 2026, fourteen U.S. patents and forty-four foreign patents have been issued, granted or allowed. Our patents and any patents that may issue from our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 w:name="page10"/>
    <w:bookmarkEnd w:id="9"/>
    <w:p>
      <w:pPr>
        <w:ind w:right="100"/>
        <w:spacing w:after="0" w:line="259" w:lineRule="auto"/>
        <w:rPr>
          <w:sz w:val="20"/>
          <w:szCs w:val="20"/>
          <w:color w:val="auto"/>
        </w:rPr>
      </w:pPr>
      <w:r>
        <w:rPr>
          <w:rFonts w:ascii="Times New Roman" w:cs="Times New Roman" w:eastAsia="Times New Roman" w:hAnsi="Times New Roman"/>
          <w:sz w:val="14"/>
          <w:szCs w:val="14"/>
          <w:color w:val="auto"/>
        </w:rPr>
        <w:t>pending patent applications are generally expected to expire between the years 2037 to 2047, subject to possible patent term adjustment and/or extension. Our policy is to file patent applications to protect technology, inventions and improvements to inventions that are commercially important to the development of our business. We seek United States and foreign patent protection for a variety of technologies, including, research compounds and methods, candidate compounds and antibodies for modulating the activity of integrins, methods for treating diseases of interest, and methods for manufacturing our products.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spacing w:after="0" w:line="61"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We own multiple families of patent applications that are directed to small molecule compositions capable of modulating integrins and methods for treating or preventing diseases associated with integrins. Certain applications in these families relate to small molecule product candidates, backup compounds and structural analogs, various unit dosages, dosing regimens, and routes of administration. We are also pursuing innovative ways to modulate integrin function using antibodies. As of March 1, 2026, this antibody subset of our patent portfolio includes thirty-four pending patent applications in the United States and foreign jurisdictions. As of March 1, 2026, this antibody subset of our patent portfolio includes one U.S. patent and two foreign patents that have been issued, granted, or allowed. These antibody patents and patents that may issue from company owned antibody applications are generally expected to expire between the years 2040 to 2046 subject to possible patent term adjustment and/or extension.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Trademark Protection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have one registered U.S. trademark for use in connection with our products. We may pursue additional registrations for future products in markets of interest.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Secret Protection</w:t>
      </w:r>
    </w:p>
    <w:p>
      <w:pPr>
        <w:spacing w:after="0" w:line="96"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51" w:lineRule="exact"/>
        <w:rPr>
          <w:sz w:val="20"/>
          <w:szCs w:val="20"/>
          <w:color w:val="auto"/>
        </w:rPr>
      </w:pPr>
    </w:p>
    <w:p>
      <w:pPr>
        <w:jc w:val="both"/>
        <w:ind w:right="220" w:firstLine="318"/>
        <w:spacing w:after="0" w:line="270" w:lineRule="auto"/>
        <w:rPr>
          <w:sz w:val="20"/>
          <w:szCs w:val="20"/>
          <w:color w:val="auto"/>
        </w:rPr>
      </w:pPr>
      <w:r>
        <w:rPr>
          <w:rFonts w:ascii="Times New Roman" w:cs="Times New Roman" w:eastAsia="Times New Roman" w:hAnsi="Times New Roman"/>
          <w:sz w:val="14"/>
          <w:szCs w:val="14"/>
          <w:color w:val="auto"/>
        </w:rPr>
        <w:t>In addition to the above, we have established expertise and development capabilities focused in the areas of preclinical research and development, manufacturing and manufacturing process development, quality control, quality assurance, regulatory affairs, and clinical trial design and implementation. We believe that our focus and expertise will help us develop products based on our proprietary intellectual property.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96"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Our lead product candidate, PLN-101095, is an oral small molecule inhibitor amenable to standard formulation technologies. We have confirmed the utility of the synthetic process and manufactured multi-kilogram quantities sufficient to provide drug product for our clinical trials. The synthetic route is amenable to large-scale production and does not require unusual equipment or handling during the manufacturing process.</w:t>
      </w:r>
    </w:p>
    <w:p>
      <w:pPr>
        <w:spacing w:after="0" w:line="51" w:lineRule="exact"/>
        <w:rPr>
          <w:sz w:val="20"/>
          <w:szCs w:val="20"/>
          <w:color w:val="auto"/>
        </w:rPr>
      </w:pPr>
    </w:p>
    <w:p>
      <w:pPr>
        <w:ind w:right="280" w:firstLine="318"/>
        <w:spacing w:after="0" w:line="270" w:lineRule="auto"/>
        <w:rPr>
          <w:sz w:val="20"/>
          <w:szCs w:val="20"/>
          <w:color w:val="auto"/>
        </w:rPr>
      </w:pPr>
      <w:r>
        <w:rPr>
          <w:rFonts w:ascii="Times New Roman" w:cs="Times New Roman" w:eastAsia="Times New Roman" w:hAnsi="Times New Roman"/>
          <w:sz w:val="14"/>
          <w:szCs w:val="14"/>
          <w:color w:val="auto"/>
        </w:rPr>
        <w:t>We do not own or operate facilities for clinical drug manufacturing, storage, distribution, or quality testing. All of our clinical manufacturing is outsourced to third-party manufacturers. Our agreements with third-party manufacturers include confidentiality and intellectual property provisions as well as routine quality audits. We also rely on internal personnel with extensive cGMP manufacturing experience in order to ensure effective technology transfer and to manage the manufacturing and development processes conducted by third-party manufacturers.</w:t>
      </w:r>
    </w:p>
    <w:p>
      <w:pPr>
        <w:spacing w:after="0" w:line="51" w:lineRule="exact"/>
        <w:rPr>
          <w:sz w:val="20"/>
          <w:szCs w:val="20"/>
          <w:color w:val="auto"/>
        </w:rPr>
      </w:pPr>
    </w:p>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We are establishing an adequate supply of the drug substance for PLN-101095 from our Asian contract manufacturing organizations, or CMOs, to satisfy both our clinical and preclinical requirements.</w:t>
      </w:r>
    </w:p>
    <w:p>
      <w:pPr>
        <w:spacing w:after="0" w:line="39"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As our development programs expand and we build new process efficiencies, we expect to continually evaluate this strategy with the objective of satisfying demand for our clinical trials and, if approved, the manufacture, sale, and distribution of commercial products.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6"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The FDA, Centers for Medicare and Medicaid Services, or CMS, U.S. Department of Health and Human Services Office of the Inspector General, or HHS-OIG and comparable regulatory authorities in state and local jurisdictions and in other countries impose substantial and burdensome requirements upon companies involved in the clinical development, manufacture, marketing, sale and distribution of drugs, such as those we are developing. These agencies and other federal,</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0" w:name="page11"/>
    <w:bookmarkEnd w:id="10"/>
    <w:p>
      <w:pPr>
        <w:ind w:right="40"/>
        <w:spacing w:after="0" w:line="287" w:lineRule="auto"/>
        <w:rPr>
          <w:sz w:val="20"/>
          <w:szCs w:val="20"/>
          <w:color w:val="auto"/>
        </w:rPr>
      </w:pPr>
      <w:r>
        <w:rPr>
          <w:rFonts w:ascii="Times New Roman" w:cs="Times New Roman" w:eastAsia="Times New Roman" w:hAnsi="Times New Roman"/>
          <w:sz w:val="14"/>
          <w:szCs w:val="14"/>
          <w:color w:val="auto"/>
        </w:rPr>
        <w:t>state, and local entities regulate, among other things, the research and development, testing, manufacture, quality control, safety, effectiveness, labeling, storage, record keeping, approval, advertising and promotion, distribution, post-approval monitoring and reporting, sampling, coverage, reimbursement, pricing, and export and import of our product candidates.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government regulation of drug products</w:t>
      </w:r>
    </w:p>
    <w:p>
      <w:pPr>
        <w:spacing w:after="0" w:line="96"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4"/>
          <w:szCs w:val="14"/>
          <w:color w:val="auto"/>
        </w:rPr>
        <w:t>In the United States, the FDA regulates drugs under the Federal Food, Drug, and Cosmetic Act, or FDCA, and its implementing regulations. The FDA also regulates biological products under the FDCA and the Public Health Service Act, or PHSA. If we advance clinical development of a biological product candidate in the future, these development activities will be subject to additional regulatory requirements specific to biological products.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or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process required by the FDA before a drug may be marketed in the United States generally involves the following:</w:t>
      </w:r>
    </w:p>
    <w:p>
      <w:pPr>
        <w:spacing w:after="0" w:line="94" w:lineRule="exact"/>
        <w:rPr>
          <w:sz w:val="20"/>
          <w:szCs w:val="20"/>
          <w:color w:val="auto"/>
        </w:rPr>
      </w:pPr>
    </w:p>
    <w:p>
      <w:pPr>
        <w:ind w:left="960" w:hanging="433"/>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laboratory tests, animal studies and formulation studies in compliance with the FDA’s good laboratory practice, or GLP, regulations;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investigational new drug application, or IND, which must become effective before human clinical trials may begin;</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institutional review board, or IRB, at each clinical site before each trial may be initiated;</w:t>
      </w:r>
    </w:p>
    <w:p>
      <w:pPr>
        <w:spacing w:after="0" w:line="93" w:lineRule="exact"/>
        <w:rPr>
          <w:rFonts w:ascii="Times New Roman" w:cs="Times New Roman" w:eastAsia="Times New Roman" w:hAnsi="Times New Roman"/>
          <w:sz w:val="14"/>
          <w:szCs w:val="14"/>
          <w:color w:val="auto"/>
        </w:rPr>
      </w:pPr>
    </w:p>
    <w:p>
      <w:pPr>
        <w:ind w:left="980" w:hanging="453"/>
        <w:spacing w:after="0" w:line="287" w:lineRule="auto"/>
        <w:tabs>
          <w:tab w:leader="none" w:pos="9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good clinical practice, or GCP, requirements to establish the safety and efficacy of the proposed drug product for each indication;</w:t>
      </w:r>
    </w:p>
    <w:p>
      <w:pPr>
        <w:spacing w:after="0" w:line="39"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NDA;</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advisory committee review, if applicable;</w:t>
      </w:r>
    </w:p>
    <w:p>
      <w:pPr>
        <w:spacing w:after="0" w:line="93" w:lineRule="exact"/>
        <w:rPr>
          <w:rFonts w:ascii="Times New Roman" w:cs="Times New Roman" w:eastAsia="Times New Roman" w:hAnsi="Times New Roman"/>
          <w:sz w:val="14"/>
          <w:szCs w:val="14"/>
          <w:color w:val="auto"/>
        </w:rPr>
      </w:pPr>
    </w:p>
    <w:p>
      <w:pPr>
        <w:ind w:left="980" w:right="360" w:hanging="453"/>
        <w:spacing w:after="0" w:line="287" w:lineRule="auto"/>
        <w:tabs>
          <w:tab w:leader="none" w:pos="9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w:t>
      </w:r>
    </w:p>
    <w:p>
      <w:pPr>
        <w:spacing w:after="0" w:line="39"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FDA audits of clinical trial sites to assure compliance with GCPs and the integrity of the clinical data;</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user fees and securing FDA approval of the NDA; and</w:t>
      </w:r>
    </w:p>
    <w:p>
      <w:pPr>
        <w:spacing w:after="0" w:line="93" w:lineRule="exact"/>
        <w:rPr>
          <w:rFonts w:ascii="Times New Roman" w:cs="Times New Roman" w:eastAsia="Times New Roman" w:hAnsi="Times New Roman"/>
          <w:sz w:val="14"/>
          <w:szCs w:val="14"/>
          <w:color w:val="auto"/>
        </w:rPr>
      </w:pPr>
    </w:p>
    <w:p>
      <w:pPr>
        <w:ind w:left="980" w:right="620" w:hanging="453"/>
        <w:spacing w:after="0" w:line="287" w:lineRule="auto"/>
        <w:tabs>
          <w:tab w:leader="none" w:pos="9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any post-approval requirements, including the potential requirement to implement a Risk Evaluation and Mitigation Strategy, or REMS, and the potential requirement to conduct post-approval studies.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Preclinical studies</w:t>
      </w:r>
    </w:p>
    <w:p>
      <w:pPr>
        <w:spacing w:after="0" w:line="96"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trials</w:t>
      </w:r>
    </w:p>
    <w:p>
      <w:pPr>
        <w:spacing w:after="0" w:line="9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initiates at that institution. Information about certain clinical trials must be submitted within specific timeframes to the National Institutes of Health, or NIH, for public dissemination on their www.clinicaltrials.gov website.</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 which may overlap or be combined:</w:t>
      </w:r>
    </w:p>
    <w:p>
      <w:pPr>
        <w:spacing w:after="0" w:line="94" w:lineRule="exact"/>
        <w:rPr>
          <w:sz w:val="20"/>
          <w:szCs w:val="20"/>
          <w:color w:val="auto"/>
        </w:rPr>
      </w:pPr>
    </w:p>
    <w:p>
      <w:pPr>
        <w:ind w:left="980" w:right="160" w:hanging="453"/>
        <w:spacing w:after="0" w:line="287" w:lineRule="auto"/>
        <w:tabs>
          <w:tab w:leader="none" w:pos="9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39" w:lineRule="exact"/>
        <w:rPr>
          <w:rFonts w:ascii="Times New Roman" w:cs="Times New Roman" w:eastAsia="Times New Roman" w:hAnsi="Times New Roman"/>
          <w:sz w:val="14"/>
          <w:szCs w:val="14"/>
          <w:color w:val="auto"/>
        </w:rPr>
      </w:pPr>
    </w:p>
    <w:p>
      <w:pPr>
        <w:ind w:left="980" w:right="80" w:hanging="453"/>
        <w:spacing w:after="0" w:line="287" w:lineRule="auto"/>
        <w:tabs>
          <w:tab w:leader="none" w:pos="9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39" w:lineRule="exact"/>
        <w:rPr>
          <w:rFonts w:ascii="Times New Roman" w:cs="Times New Roman" w:eastAsia="Times New Roman" w:hAnsi="Times New Roman"/>
          <w:sz w:val="14"/>
          <w:szCs w:val="14"/>
          <w:color w:val="auto"/>
        </w:rPr>
      </w:pPr>
    </w:p>
    <w:p>
      <w:pPr>
        <w:ind w:left="980" w:right="20" w:hanging="453"/>
        <w:spacing w:after="0" w:line="270" w:lineRule="auto"/>
        <w:tabs>
          <w:tab w:leader="none" w:pos="9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51"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Progress reports detailing the results of the clinical trials must be submitted at least annually to the FDA and more frequently if serious adverse events occur. Phase 1, Phase 2 and Phase 3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Marketing approval</w:t>
      </w:r>
    </w:p>
    <w:p>
      <w:pPr>
        <w:spacing w:after="0" w:line="96"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58"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An Agreed Initial Pediatric Study Plan requesting a waiver from the requirement to conduct clinical studies has been submitted to the FDA.</w:t>
      </w:r>
    </w:p>
    <w:p>
      <w:pPr>
        <w:spacing w:after="0" w:line="58"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39"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2" w:name="page13"/>
    <w:bookmarkEnd w:id="12"/>
    <w:p>
      <w:pPr>
        <w:spacing w:after="0" w:line="287" w:lineRule="auto"/>
        <w:rPr>
          <w:sz w:val="20"/>
          <w:szCs w:val="20"/>
          <w:color w:val="auto"/>
        </w:rPr>
      </w:pPr>
      <w:r>
        <w:rPr>
          <w:rFonts w:ascii="Times New Roman" w:cs="Times New Roman" w:eastAsia="Times New Roman" w:hAnsi="Times New Roman"/>
          <w:sz w:val="14"/>
          <w:szCs w:val="14"/>
          <w:color w:val="auto"/>
        </w:rPr>
        <w:t>among other things, whether the drug is safe and effective and whether the facility in which it is manufactured, processed, packaged or held meets standards designed to assure the product’s continued safety, quality and purity.</w:t>
      </w:r>
    </w:p>
    <w:p>
      <w:pPr>
        <w:spacing w:after="0" w:line="39" w:lineRule="exact"/>
        <w:rPr>
          <w:sz w:val="20"/>
          <w:szCs w:val="20"/>
          <w:color w:val="auto"/>
        </w:rPr>
      </w:pPr>
    </w:p>
    <w:p>
      <w:pPr>
        <w:ind w:right="140" w:firstLine="318"/>
        <w:spacing w:after="0" w:line="270" w:lineRule="auto"/>
        <w:rPr>
          <w:sz w:val="20"/>
          <w:szCs w:val="20"/>
          <w:color w:val="auto"/>
        </w:rPr>
      </w:pPr>
      <w:r>
        <w:rPr>
          <w:rFonts w:ascii="Times New Roman" w:cs="Times New Roman" w:eastAsia="Times New Roman" w:hAnsi="Times New Roman"/>
          <w:sz w:val="14"/>
          <w:szCs w:val="14"/>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51" w:lineRule="exact"/>
        <w:rPr>
          <w:sz w:val="20"/>
          <w:szCs w:val="20"/>
          <w:color w:val="auto"/>
        </w:rPr>
      </w:pPr>
    </w:p>
    <w:p>
      <w:pPr>
        <w:jc w:val="both"/>
        <w:ind w:right="300" w:firstLine="318"/>
        <w:spacing w:after="0" w:line="270" w:lineRule="auto"/>
        <w:rPr>
          <w:sz w:val="20"/>
          <w:szCs w:val="20"/>
          <w:color w:val="auto"/>
        </w:rPr>
      </w:pPr>
      <w:r>
        <w:rPr>
          <w:rFonts w:ascii="Times New Roman" w:cs="Times New Roman" w:eastAsia="Times New Roman" w:hAnsi="Times New Roman"/>
          <w:sz w:val="14"/>
          <w:szCs w:val="14"/>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51"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58"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Fast Track designation</w:t>
      </w:r>
    </w:p>
    <w:p>
      <w:pPr>
        <w:spacing w:after="0" w:line="96" w:lineRule="exact"/>
        <w:rPr>
          <w:sz w:val="20"/>
          <w:szCs w:val="20"/>
          <w:color w:val="auto"/>
        </w:rPr>
      </w:pPr>
    </w:p>
    <w:p>
      <w:pPr>
        <w:ind w:right="180" w:firstLine="318"/>
        <w:spacing w:after="0" w:line="270" w:lineRule="auto"/>
        <w:rPr>
          <w:sz w:val="20"/>
          <w:szCs w:val="20"/>
          <w:color w:val="auto"/>
        </w:rPr>
      </w:pPr>
      <w:r>
        <w:rPr>
          <w:rFonts w:ascii="Times New Roman" w:cs="Times New Roman" w:eastAsia="Times New Roman" w:hAnsi="Times New Roman"/>
          <w:sz w:val="14"/>
          <w:szCs w:val="14"/>
          <w:color w:val="auto"/>
        </w:rPr>
        <w:t>The FDA is authorized to designate certain products for expedited review if they are intended to address an unmet medical need in the treatment of a serious or life-threatening disease or condition. Among these programs is Fast Track designation. The FDA published guidance on the FDA programs that are intended to facilitate and expedite development and review of new drug or biological product candidates as well as threshold criteria generally applicable to concluding that a product candidate is a candidate for these expedited development and review programs.</w:t>
      </w:r>
    </w:p>
    <w:p>
      <w:pPr>
        <w:spacing w:after="0" w:line="51"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The FDA may designate a product for Fast Track review if it is intended, whether alone or in combination with one or more other products, for the treatment of a serious or life-threatening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Orphan drug designation and exclusivity</w:t>
      </w:r>
    </w:p>
    <w:p>
      <w:pPr>
        <w:spacing w:after="0" w:line="96" w:lineRule="exact"/>
        <w:rPr>
          <w:sz w:val="20"/>
          <w:szCs w:val="20"/>
          <w:color w:val="auto"/>
        </w:rPr>
      </w:pPr>
    </w:p>
    <w:p>
      <w:pPr>
        <w:jc w:val="both"/>
        <w:ind w:right="60" w:firstLine="318"/>
        <w:spacing w:after="0" w:line="264" w:lineRule="auto"/>
        <w:rPr>
          <w:sz w:val="20"/>
          <w:szCs w:val="20"/>
          <w:color w:val="auto"/>
        </w:rPr>
      </w:pPr>
      <w:r>
        <w:rPr>
          <w:rFonts w:ascii="Times New Roman" w:cs="Times New Roman" w:eastAsia="Times New Roman" w:hAnsi="Times New Roman"/>
          <w:sz w:val="14"/>
          <w:szCs w:val="14"/>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3" w:name="page14"/>
    <w:bookmarkEnd w:id="13"/>
    <w:p>
      <w:pPr>
        <w:ind w:right="60" w:firstLine="318"/>
        <w:spacing w:after="0" w:line="257" w:lineRule="auto"/>
        <w:rPr>
          <w:sz w:val="20"/>
          <w:szCs w:val="20"/>
          <w:color w:val="auto"/>
        </w:rPr>
      </w:pPr>
      <w:r>
        <w:rPr>
          <w:rFonts w:ascii="Times New Roman" w:cs="Times New Roman" w:eastAsia="Times New Roman" w:hAnsi="Times New Roman"/>
          <w:sz w:val="14"/>
          <w:szCs w:val="14"/>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The first active moiety to be approved to treat a disease with FDA's Orphan Drug designation is entitled to a seven-year period of marketing exclusivity in the United States for that product indication,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marketing exclusivity</w:t>
      </w:r>
    </w:p>
    <w:p>
      <w:pPr>
        <w:spacing w:after="0" w:line="96"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4"/>
          <w:szCs w:val="14"/>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the original non-modified version of the drug.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65"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96"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 and the establishments where such products are manufactured, as well as new application fees for supplemental applications with clinical data.</w:t>
      </w:r>
    </w:p>
    <w:p>
      <w:pPr>
        <w:spacing w:after="0" w:line="56"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39"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8"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6" w:right="379" w:bottom="1440" w:gutter="0" w:footer="0" w:header="0"/>
        </w:sectPr>
      </w:pPr>
    </w:p>
    <w:bookmarkStart w:id="14" w:name="page15"/>
    <w:bookmarkEnd w:id="14"/>
    <w:p>
      <w:pPr>
        <w:ind w:right="220"/>
        <w:spacing w:after="0" w:line="287" w:lineRule="auto"/>
        <w:rPr>
          <w:sz w:val="20"/>
          <w:szCs w:val="20"/>
          <w:color w:val="auto"/>
        </w:rPr>
      </w:pPr>
      <w:r>
        <w:rPr>
          <w:rFonts w:ascii="Times New Roman" w:cs="Times New Roman" w:eastAsia="Times New Roman" w:hAnsi="Times New Roman"/>
          <w:sz w:val="14"/>
          <w:szCs w:val="14"/>
          <w:color w:val="auto"/>
        </w:rPr>
        <w:t>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39" w:lineRule="exact"/>
        <w:rPr>
          <w:sz w:val="20"/>
          <w:szCs w:val="20"/>
          <w:color w:val="auto"/>
        </w:rPr>
      </w:pPr>
    </w:p>
    <w:p>
      <w:pPr>
        <w:ind w:left="960" w:hanging="433"/>
        <w:spacing w:after="0"/>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 complete withdrawal of the product from the market or product recalls;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post-approval clinical trials;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NDAs or supplements to approved NDAs, or suspension or revocation of product approvals;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products; and</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9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and privacy laws</w:t>
      </w:r>
    </w:p>
    <w:p>
      <w:pPr>
        <w:spacing w:after="0" w:line="9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Healthcare providers, physicians, and third party payors play a primary role in the recommendation and prescription of drug products for which we obtain marketing approval. Arrangements with third party payors, healthcare providers and physicians, in connection with the clinical research, sales, marketing and promotion of products, once approved, and related activities, may expose a pharmaceutical manufacturer to broadly applicable fraud and abuse and other healthcare laws and regulations. In the United States, these laws include, without limitation, state and federal anti-kickback, false claims, physician payment transparency, price transparency, and patient data privacy and security laws and regulations, including but not limited to those described below:</w:t>
      </w:r>
    </w:p>
    <w:p>
      <w:pPr>
        <w:spacing w:after="0" w:line="56" w:lineRule="exact"/>
        <w:rPr>
          <w:sz w:val="20"/>
          <w:szCs w:val="20"/>
          <w:color w:val="auto"/>
        </w:rPr>
      </w:pPr>
    </w:p>
    <w:p>
      <w:pPr>
        <w:ind w:left="980" w:right="100" w:hanging="453"/>
        <w:spacing w:after="0" w:line="259" w:lineRule="auto"/>
        <w:tabs>
          <w:tab w:leader="none" w:pos="9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or AKS, which makes it illegal for any person,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 order or prescription of a particular drug for which payment may be made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FCA. Violations of the federal Anti-Kickback Statute are punishable by imprisonment for up to ten years and</w:t>
      </w:r>
    </w:p>
    <w:p>
      <w:pPr>
        <w:spacing w:after="0" w:line="7" w:lineRule="exact"/>
        <w:rPr>
          <w:rFonts w:ascii="Times New Roman" w:cs="Times New Roman" w:eastAsia="Times New Roman" w:hAnsi="Times New Roman"/>
          <w:sz w:val="14"/>
          <w:szCs w:val="14"/>
          <w:color w:val="auto"/>
        </w:rPr>
      </w:pPr>
    </w:p>
    <w:p>
      <w:pPr>
        <w:ind w:left="980" w:right="40"/>
        <w:spacing w:after="0" w:line="27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fines of up to $100,000. Additional criminal fines can be imposed under federal U.S. criminal procedure laws. Civil penalties include statutory amounts of up to $100,000 (adjusted for inflation) per violation, assessments of up to three times the total payments between the parties to the arrangement, and exclusion from participation in the federal healthcare programs or suspension from future participation in Medicare and Medicaid. Further, violation of the federal Anti-Kickback Statute can also form the basis for False</w:t>
      </w:r>
    </w:p>
    <w:p>
      <w:pPr>
        <w:ind w:left="98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Act liability (discussed below).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may be subject to scrutiny if they do not fit squarely within an exception or safe harbor;</w:t>
      </w:r>
    </w:p>
    <w:p>
      <w:pPr>
        <w:spacing w:after="0" w:line="50" w:lineRule="exact"/>
        <w:rPr>
          <w:rFonts w:ascii="Times New Roman" w:cs="Times New Roman" w:eastAsia="Times New Roman" w:hAnsi="Times New Roman"/>
          <w:sz w:val="14"/>
          <w:szCs w:val="14"/>
          <w:color w:val="auto"/>
        </w:rPr>
      </w:pPr>
    </w:p>
    <w:p>
      <w:pPr>
        <w:ind w:left="980" w:right="160" w:hanging="453"/>
        <w:spacing w:after="0" w:line="261" w:lineRule="auto"/>
        <w:tabs>
          <w:tab w:leader="none" w:pos="9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and criminal false claims laws, including the FCA, which can be enforced through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or transmit money or property to the federal government; or knowingly concealing or knowingly and improperly avoiding or decreasing such an obligation. A person</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46" w:right="419" w:bottom="1440" w:gutter="0" w:footer="0" w:header="0"/>
        </w:sectPr>
      </w:pPr>
    </w:p>
    <w:bookmarkStart w:id="15" w:name="page16"/>
    <w:bookmarkEnd w:id="15"/>
    <w:p>
      <w:pPr>
        <w:ind w:left="980" w:right="160"/>
        <w:spacing w:after="0" w:line="270" w:lineRule="auto"/>
        <w:rPr>
          <w:sz w:val="20"/>
          <w:szCs w:val="20"/>
          <w:color w:val="auto"/>
        </w:rPr>
      </w:pPr>
      <w:r>
        <w:rPr>
          <w:rFonts w:ascii="Times New Roman" w:cs="Times New Roman" w:eastAsia="Times New Roman" w:hAnsi="Times New Roman"/>
          <w:sz w:val="14"/>
          <w:szCs w:val="14"/>
          <w:color w:val="auto"/>
        </w:rPr>
        <w:t>or entity does not need to have actual knowledge of these statutes or specific intent to violate them in order to have committed a violation. Violations of the False Claims Act can result in civil penalties of up to more than $25,000 per false claim or statement (an amount adjusted annually for inflation) plus three times the amount of damages sustained by the government;</w:t>
      </w:r>
    </w:p>
    <w:p>
      <w:pPr>
        <w:spacing w:after="0" w:line="51" w:lineRule="exact"/>
        <w:rPr>
          <w:sz w:val="20"/>
          <w:szCs w:val="20"/>
          <w:color w:val="auto"/>
        </w:rPr>
      </w:pPr>
    </w:p>
    <w:p>
      <w:pPr>
        <w:ind w:left="980" w:hanging="453"/>
        <w:spacing w:after="0" w:line="261" w:lineRule="auto"/>
        <w:tabs>
          <w:tab w:leader="none" w:pos="9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58" w:lineRule="exact"/>
        <w:rPr>
          <w:rFonts w:ascii="Times New Roman" w:cs="Times New Roman" w:eastAsia="Times New Roman" w:hAnsi="Times New Roman"/>
          <w:sz w:val="14"/>
          <w:szCs w:val="14"/>
          <w:color w:val="auto"/>
        </w:rPr>
      </w:pPr>
    </w:p>
    <w:p>
      <w:pPr>
        <w:ind w:left="980" w:right="20" w:hanging="453"/>
        <w:spacing w:after="0" w:line="264" w:lineRule="auto"/>
        <w:tabs>
          <w:tab w:leader="none" w:pos="9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creation, use, receipt, maintenance or disclosure of individually identifiable health information, relating to the privacy, security and transmission of individually identifiable health information;</w:t>
      </w:r>
    </w:p>
    <w:p>
      <w:pPr>
        <w:spacing w:after="0" w:line="55" w:lineRule="exact"/>
        <w:rPr>
          <w:rFonts w:ascii="Times New Roman" w:cs="Times New Roman" w:eastAsia="Times New Roman" w:hAnsi="Times New Roman"/>
          <w:sz w:val="14"/>
          <w:szCs w:val="14"/>
          <w:color w:val="auto"/>
        </w:rPr>
      </w:pPr>
    </w:p>
    <w:p>
      <w:pPr>
        <w:ind w:left="980" w:right="100" w:hanging="453"/>
        <w:spacing w:after="0" w:line="259" w:lineRule="auto"/>
        <w:tabs>
          <w:tab w:leader="none" w:pos="9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created under Patient Protection and Affordable Care Act, as amended by the Health Care and Education Reconciliation Act of 2010, or collectively, the ACA, and its implementing regulations, which require certain manufacturers of drugs, devices, biological products and medical supplies for which payment is available under Medicare, Medicaid or the Children’s Health Insurance Program to report annually to CMS, under the Open Payments Program, information related to payments or other transfers of value made to physicians (defined to include doctors, dentists, optometrists, podiatrists and chiropractors) , nurse practitioners, clinical nurse specialists, certified registered nurse anesthetists, anesthesiologist assistants, certified nurse-midwives, and teaching hospitals, as well as ownership and investment interests held by physicians and their immediate family members; and</w:t>
      </w:r>
    </w:p>
    <w:p>
      <w:pPr>
        <w:spacing w:after="0" w:line="61" w:lineRule="exact"/>
        <w:rPr>
          <w:rFonts w:ascii="Times New Roman" w:cs="Times New Roman" w:eastAsia="Times New Roman" w:hAnsi="Times New Roman"/>
          <w:sz w:val="14"/>
          <w:szCs w:val="14"/>
          <w:color w:val="auto"/>
        </w:rPr>
      </w:pPr>
    </w:p>
    <w:p>
      <w:pPr>
        <w:ind w:left="980" w:right="20" w:hanging="453"/>
        <w:spacing w:after="0" w:line="257" w:lineRule="auto"/>
        <w:tabs>
          <w:tab w:leader="none" w:pos="9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and foreign anti-kickback, false claims, consumer protection, transparency and disclosure laws,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in some states, the reporting of drug wholesale acquisition costs or average manufacturer prices, information related to new drug launches, and drug price increases above certain statutory thresholds;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61" w:lineRule="exact"/>
        <w:rPr>
          <w:sz w:val="20"/>
          <w:szCs w:val="20"/>
          <w:color w:val="auto"/>
        </w:rPr>
      </w:pPr>
    </w:p>
    <w:p>
      <w:pPr>
        <w:ind w:right="160" w:firstLine="318"/>
        <w:spacing w:after="0" w:line="257" w:lineRule="auto"/>
        <w:rPr>
          <w:sz w:val="20"/>
          <w:szCs w:val="20"/>
          <w:color w:val="auto"/>
        </w:rPr>
      </w:pPr>
      <w:r>
        <w:rPr>
          <w:rFonts w:ascii="Times New Roman" w:cs="Times New Roman" w:eastAsia="Times New Roman" w:hAnsi="Times New Roman"/>
          <w:sz w:val="14"/>
          <w:szCs w:val="14"/>
          <w:color w:val="auto"/>
        </w:rPr>
        <w:t>Because of the breadth of these laws,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imprisonment, monetary fines, possible exclusion from participation in Medicare, Medicaid and other federal healthcare programs, reporting obligations and oversight if a pharmaceutical manufacturer becomes subject to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In addition,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commercialization of any drug product outside the United States will also likely be subject to foreign equivalents of the healthcare laws mentioned above, among other foreign laws.</w:t>
      </w:r>
    </w:p>
    <w:p>
      <w:pPr>
        <w:spacing w:after="0" w:line="94" w:lineRule="exact"/>
        <w:rPr>
          <w:sz w:val="20"/>
          <w:szCs w:val="20"/>
          <w:color w:val="auto"/>
        </w:rPr>
      </w:pPr>
    </w:p>
    <w:p>
      <w:pPr>
        <w:ind w:right="20" w:firstLine="318"/>
        <w:spacing w:after="0" w:line="257" w:lineRule="auto"/>
        <w:rPr>
          <w:sz w:val="20"/>
          <w:szCs w:val="20"/>
          <w:color w:val="auto"/>
        </w:rPr>
      </w:pPr>
      <w:r>
        <w:rPr>
          <w:rFonts w:ascii="Times New Roman" w:cs="Times New Roman" w:eastAsia="Times New Roman" w:hAnsi="Times New Roman"/>
          <w:sz w:val="14"/>
          <w:szCs w:val="14"/>
          <w:color w:val="auto"/>
        </w:rPr>
        <w:t>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California Consumer Privacy Act of 2018, or the CCPA, which came into effect on January 1, 2020 and provides data privacy rights for consumers and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impacts certain of our business activities. Many states have followed California in implementing comprehensive state privacy laws, and the various compliance requirements affiliated with these laws could increase our potential liability and adversely affect our business.</w:t>
      </w:r>
    </w:p>
    <w:p>
      <w:pPr>
        <w:spacing w:after="0" w:line="64"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In the event we decide to conduct clinical trials or continue to enroll subjects in our ongoing or future clinical trials, we may be subject to additional privacy restrictions. In the European Union, the collection, use, storage, disclosure, transfer, or other processing of personal data including special categories of personal data such as health data, is subject to the EU General Data Protection Regulation, or EU GDPR. The U.K. has implemented the EU GDPR as the U.K. GDPR (together with the EU GDPR, the GDPR) which sits alongside the U.K. Data Protection Act 2018 (as amended by the U.K. Data (Use and Access) Act 2025).</w:t>
      </w:r>
    </w:p>
    <w:p>
      <w:pPr>
        <w:spacing w:after="0" w:line="5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The GDPR is wide-ranging in scope and imposes numerous requirements on controllers (and in more limited cases, processors) that process personal data (i.e., data relating to identified or identifiable individuals), including requirements around (among others): (i) accountability and transparency, (ii) processing personal data lawfully, including, for example, specific requirements for obtaining valid consent where consent is the legal basis for processing, (iii) responding to individuals’ requests to exercise their rights in respect of their personal data, (iv) implementing safeguards to protect the security and confidentiality of personal data and to provide notification of personal data breaches to data protection authorities and affected individuals in certain circumstances, (v) having data processing agreements with third parties who process personal data on our behalf, and undertaking due diligence in relation to such third-party processors, and (vi) considering data protection when any new products or services are developed and designed, as well as obligations for data protection impact assessments.</w:t>
      </w:r>
    </w:p>
    <w:p>
      <w:pPr>
        <w:spacing w:after="0" w:line="61"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The EU GDPR also prohibits the international transfer of personal data from the EEA to the United States and other countries that are not recognized as having “adequate” data protection laws by the European Commission unless the parties to the transfer have implemented specific safeguards to protect the transferred personal data or a derogation under the EU GDPR can be relied upon. One of the primary safeguards allowing U.S. companies to import personal data from the EEA are standard contractual clauses (EU SCCs) including, a requirement for companies to carry out a transfer privacy impact assessment, or a TIA. A TIA, among other things, assesses laws governing access to personal data in the recipient country and considers whether supplementary measures that provide privacy protections additional to those provided under the EU SCCs will need to be implemented to ensure an “essentially equivalent” level of data protection to that afforded in the EEA. A further potential safeguard is the EU-US Data Privacy Framework (DPF) which facilitates transfers of personal data from the EU to entities in the US which are self-certified to the DPF. Underpinning the DPF is an “adequacy decision” from the European Commission which can be relied on also by entities making transfers under the EU SCCs to the U.S. as support for their TIA regarding the equivalence of U.S. national security safeguards and redress.</w:t>
      </w:r>
    </w:p>
    <w:p>
      <w:pPr>
        <w:spacing w:after="0" w:line="64"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4"/>
          <w:szCs w:val="14"/>
          <w:color w:val="auto"/>
        </w:rPr>
        <w:t>The U.K. GDPR also prohibits the transfer of personal data from the U.K. to countries that the U.K. Government does not recognize as having “adequate” data protection laws, including the U.S., in a similar manner to the EU. In addition, the U.K. Government has published its own form of EU SCCs, known as the International Data Transfer Agreement and an International Data Transfer Addendum to the new EU SCCs. The U.K. Information Commissioner’s Office, or the ICO, has also published its own version of the TIA although companies may choose to either use the EU-style or U.K.-style TIA. Further, on September 21, 2023, the U.K. Secretary of State for Science, Innovation and Technology established a U.K.-U.S. data bridge (i.e., a U.K. equivalent of the Adequacy Decision) and adopted U.K. regulations to implement the U.K.-U.S. data bridge. Personal data may now be transferred from the U.K. under the U.K.-U.S. data bridge through the U.K. extension to the DPF to organizations self-certified under the U.K. extension to DPF.</w:t>
      </w:r>
    </w:p>
    <w:p>
      <w:pPr>
        <w:spacing w:after="0" w:line="61"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The GDPR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 w:name="page18"/>
    <w:bookmarkEnd w:id="17"/>
    <w:p>
      <w:pPr>
        <w:ind w:right="160"/>
        <w:spacing w:after="0" w:line="264" w:lineRule="auto"/>
        <w:rPr>
          <w:sz w:val="20"/>
          <w:szCs w:val="20"/>
          <w:color w:val="auto"/>
        </w:rPr>
      </w:pPr>
      <w:r>
        <w:rPr>
          <w:rFonts w:ascii="Times New Roman" w:cs="Times New Roman" w:eastAsia="Times New Roman" w:hAnsi="Times New Roman"/>
          <w:sz w:val="14"/>
          <w:szCs w:val="14"/>
          <w:color w:val="auto"/>
        </w:rPr>
        <w:t>GDPR.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in the EEA or the UK or required in connection with our clinical trials. Compliance with the GDPR is a rigorous and time-intensive process that increases our cost of doing business and increases risk that we may be subject to fines and penalties, litigation, and reputational harm in connection with our European and UK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and future healthcare reform legislation</w:t>
      </w:r>
    </w:p>
    <w:p>
      <w:pPr>
        <w:spacing w:after="0" w:line="96"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4"/>
          <w:szCs w:val="14"/>
          <w:color w:val="auto"/>
        </w:rPr>
        <w:t>In both the United States and certain foreign jurisdictions, there have been a number of legislative and regulatory changes to the health care system. For example, in the United States, in March 2010, the Patient Protection and Affordable Care Act, as amended by the Health Care and Education Reconciliation Act, collectively known as the ACA, was enacted, which substantially changed the way healthcare is financed by both governmental and private payors, and significantly affected the 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There have been numerous historic judicial, administrative, executive, and legislative challenges and amendments (including recent amendments that aimed at expanding access to care and reforming prescription drug pricing) to certain aspects of the ACA and other healthcare laws. In June 2021, the Supreme Court dismissed a lawsuit challenging the constitutionality of certain aspects of the ACA, without ruling on the meris of the constitutionality arguments. In the future, there may be additional legislative, regulatory, executive, or judicial actions that result in healthcare reform. It remains to be seen precisely what any new reforms will provide, when or if they will be enacted, and what impact they will have on the availability and cost of healthcare items and services, including drug products.</w:t>
      </w:r>
    </w:p>
    <w:p>
      <w:pPr>
        <w:spacing w:after="0" w:line="65"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Other legislative and regulatory changes have been proposed or adopted in the United States since the ACA was enacted, including several legislative and regulatory changes that are focused on capping or reducing healthcare costs, as well as measures that would address healthcare fraud and abuse, value-based care, drug pricing and other reforms. For example, in August 2022, President Biden signed into law the IRA, which implements substantial changes to the Medicare program, including drug pricing reforms and changes to the Medicare Part D benefit design. Among other reforms, the IRA imposes inflation rebates on drug manufacturers for products reimbursed under Medicare Parts B and D if the prices of those products increase faster than inflation; implements changes to the Medicare Part D benefit that, beginning in 2025, capped benefit annual out-of-pocket spending at $2,000, while imposing new discount obligations for pharmaceutical manufacturers (requiring manufacturers to pay 10% of the negotiated price of brands, biologics and biosimilar products when Medicare Part D beneficiaries are in the initial coverage phase, and 20% of the negotiated price during the catastrophic phase of Medicare Part D coverage); and establishes a “maximum fair price” for a fixed number of high spend pharmaceutical and biological products covered under Medicare Parts B and D following a price negotiation process with the CMS. Under the current statute, for a drug product to be considered a qualifying single source drug that may be selected by CMS for price negotiation under the "maximum fair price" program, at least seven years must have elapsed since the biological product was licensed by the FDA. However, the current administration has expressed interest in working with Congress to align the treatment of small molecule prescription drugs with that of biological products.</w:t>
      </w:r>
    </w:p>
    <w:p>
      <w:pPr>
        <w:spacing w:after="0" w:line="65" w:lineRule="exact"/>
        <w:rPr>
          <w:sz w:val="20"/>
          <w:szCs w:val="20"/>
          <w:color w:val="auto"/>
        </w:rPr>
      </w:pPr>
    </w:p>
    <w:p>
      <w:pPr>
        <w:jc w:val="both"/>
        <w:ind w:right="120" w:firstLine="318"/>
        <w:spacing w:after="0" w:line="270" w:lineRule="auto"/>
        <w:rPr>
          <w:sz w:val="20"/>
          <w:szCs w:val="20"/>
          <w:color w:val="auto"/>
        </w:rPr>
      </w:pPr>
      <w:r>
        <w:rPr>
          <w:rFonts w:ascii="Times New Roman" w:cs="Times New Roman" w:eastAsia="Times New Roman" w:hAnsi="Times New Roman"/>
          <w:sz w:val="14"/>
          <w:szCs w:val="14"/>
          <w:color w:val="auto"/>
        </w:rPr>
        <w:t>When originally enacted, the IRA explicitly excluded from price negotiations orphan drugs designed for only one rare disease or condition and for which the only active approved indication is for such disease or condition. However, the One Big Beautiful Bill Act, signed into law on July 4, 2025, amended the applicable statute to broaden the orphan drug exclusion such that products with more than one orphan designation and more than one approved indication will remain exempt from price negotiations, so long as each approved indication is for a rare disease or condition.</w:t>
      </w:r>
    </w:p>
    <w:p>
      <w:pPr>
        <w:spacing w:after="0" w:line="51"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4"/>
          <w:szCs w:val="14"/>
          <w:color w:val="auto"/>
        </w:rPr>
        <w:t>Since its enactment, CMS has taken a number of steps to implement various drug pricing provisions of the IRA, including negotiating and publishing "maximum fair prices" for drugs selected under the IRA's price negotiation framework. It remains to be seen how the maximum fair prices or other drug pricing provisions imposed by the IRA will affect orphan drug and small molecule development or the broader pharmaceutical industry. Several pharmaceutical manufacturers and other industry stakeholders have challenged the law, including through lawsuits brought against the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 w:name="page19"/>
    <w:bookmarkEnd w:id="18"/>
    <w:p>
      <w:pPr>
        <w:ind w:firstLine="318"/>
        <w:spacing w:after="0" w:line="261" w:lineRule="auto"/>
        <w:rPr>
          <w:sz w:val="20"/>
          <w:szCs w:val="20"/>
          <w:color w:val="auto"/>
        </w:rPr>
      </w:pPr>
      <w:r>
        <w:rPr>
          <w:rFonts w:ascii="Times New Roman" w:cs="Times New Roman" w:eastAsia="Times New Roman" w:hAnsi="Times New Roman"/>
          <w:sz w:val="14"/>
          <w:szCs w:val="14"/>
          <w:color w:val="auto"/>
        </w:rPr>
        <w:t>The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regulatory and enforcement interest in the United States with respect to specialty drug pricing practices. For example,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5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On June 28, 2024, the U.S. Supreme Court issued an opinion holding that courts reviewing agency action pursuant to the Administrative Procedure Act, or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CMS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may be subject to increased litigation and judicial scrutiny. Any resulting changes in regulation may result in unexpected delays, increased costs, or other negative impacts on our business that are difficult to predict.</w:t>
      </w:r>
    </w:p>
    <w:p>
      <w:pPr>
        <w:spacing w:after="0" w:line="61"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marketing cost disclosure and other transparency measures, and, in some cases, legislation, regulation or other guidance designed to encourage or facilitate importation from other countries and bulk purchasing. Some states have also established prescription drug affordability boards tasked with identifying certain high-cost prescription products that may pose affordability challenges for consumers and payors, conducting cost reviews on such products, and, in some circumstances, imposing upper payment limits on such products.</w:t>
      </w:r>
    </w:p>
    <w:p>
      <w:pPr>
        <w:spacing w:after="0" w:line="58" w:lineRule="exact"/>
        <w:rPr>
          <w:sz w:val="20"/>
          <w:szCs w:val="20"/>
          <w:color w:val="auto"/>
        </w:rPr>
      </w:pPr>
    </w:p>
    <w:p>
      <w:pPr>
        <w:ind w:right="120" w:firstLine="318"/>
        <w:spacing w:after="0" w:line="261" w:lineRule="auto"/>
        <w:rPr>
          <w:sz w:val="20"/>
          <w:szCs w:val="20"/>
          <w:color w:val="auto"/>
        </w:rPr>
      </w:pPr>
      <w:r>
        <w:rPr>
          <w:rFonts w:ascii="Times New Roman" w:cs="Times New Roman" w:eastAsia="Times New Roman" w:hAnsi="Times New Roman"/>
          <w:sz w:val="14"/>
          <w:szCs w:val="14"/>
          <w:color w:val="auto"/>
        </w:rPr>
        <w:t>These laws, regulations, and actions, and any state or federal healthcare reform measures that may be adopted in the future, could reduce coverage or reimbursement from Medicare and other government programs, may result in a similar reduction in coverage or payment from private payors, and may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and regulatory changes.</w:t>
      </w:r>
    </w:p>
    <w:p>
      <w:pPr>
        <w:spacing w:after="0" w:line="58" w:lineRule="exact"/>
        <w:rPr>
          <w:sz w:val="20"/>
          <w:szCs w:val="20"/>
          <w:color w:val="auto"/>
        </w:rPr>
      </w:pPr>
    </w:p>
    <w:p>
      <w:pPr>
        <w:ind w:right="60" w:firstLine="318"/>
        <w:spacing w:after="0" w:line="419" w:lineRule="auto"/>
        <w:rPr>
          <w:sz w:val="20"/>
          <w:szCs w:val="20"/>
          <w:color w:val="auto"/>
        </w:rPr>
      </w:pPr>
      <w:r>
        <w:rPr>
          <w:rFonts w:ascii="Times New Roman" w:cs="Times New Roman" w:eastAsia="Times New Roman" w:hAnsi="Times New Roman"/>
          <w:sz w:val="14"/>
          <w:szCs w:val="14"/>
          <w:color w:val="auto"/>
        </w:rPr>
        <w:t xml:space="preserve">Legislative and regulatory proposals, and enactment of laws, at the foreign, federal, and state levels, directed at containing or lowering the cost of healthcare, will likely continue into the future. </w:t>
      </w:r>
      <w:r>
        <w:rPr>
          <w:rFonts w:ascii="Times New Roman" w:cs="Times New Roman" w:eastAsia="Times New Roman" w:hAnsi="Times New Roman"/>
          <w:sz w:val="14"/>
          <w:szCs w:val="14"/>
          <w:b w:val="1"/>
          <w:bCs w:val="1"/>
          <w:i w:val="1"/>
          <w:iCs w:val="1"/>
          <w:color w:val="auto"/>
        </w:rPr>
        <w:t>Rest of World Regulation</w:t>
      </w: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For other countries outside of the European Union and the United States, such as countries in Eastern Europe, Latin America or Asia, the requirements governing product development, the conduct of clinical trials, manufacturing, distribution, marketing approval, product licensing, pricing and reimbursement vary from country to country. Additionally, clinical trials must be conducted in accordance with GCP requirements and the applicable regulatory requirements and the ethical principles that have their origin in the Declaration of Helsinki.</w:t>
      </w:r>
    </w:p>
    <w:p>
      <w:pPr>
        <w:spacing w:after="0" w:line="51"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39" w:lineRule="exact"/>
        <w:rPr>
          <w:sz w:val="20"/>
          <w:szCs w:val="20"/>
          <w:color w:val="auto"/>
        </w:rPr>
      </w:pPr>
    </w:p>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Additionally, to the extent that any of our product candidates, once approved, are sold in a foreign country, we may be subject to applicable post-marketing requirements, including safety surveillance, anti-fraud and abuse laws and implementation of corporate compliance programs and reporting of payments or other transfers of value to healthcare professionals.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clinical trials regulation and clinical data sharing</w:t>
      </w:r>
    </w:p>
    <w:p>
      <w:pPr>
        <w:spacing w:after="0" w:line="96"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In the EU, a Clinical Trial Application, or CTA, must be submitted for each clinical trial to each country’s national competent authority, or NCA, and at least one independent Ethics Committee, or EC, much like the FDA and an IRB, respectively. Once the CTA is approved in accordance with a country’s requirements, the corresponding clinical trial may proceed. Under the current regime (the EU Clinical Trials Regulation 536/2014, which has been in effect since January 31, 2022 replacing the EU Clinical Trials Directive 2001/20/EC) all suspected unexpected serious adverse reactions to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investigated drug that occur during the clinical trial have to be reported to the NCA and ECs of the Member State where they occurred.</w:t>
      </w:r>
    </w:p>
    <w:p>
      <w:pPr>
        <w:spacing w:after="0" w:line="94"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4"/>
          <w:szCs w:val="14"/>
          <w:color w:val="auto"/>
        </w:rPr>
        <w:t>In addition to data privacy requirements, many jurisdictions have mandatory clinical trial information obligations on sponsors. In the EU this is under the Transparency Regulation No 1049/ 2001, EMA Policy 0043, EMA Policy 0070, as well as the Clinical Trials Regulation No 536/2014, all of which impose on sponsors the obligation to make publicly available certain information stemming from clinical studies, either proactively or in response to third party requests. In the EU, the transparency framework provides for a wide right for (EU-based at the moment) interested parties to submit an access to documents request to the EMA for information included in the marketing authorization application dossier for approved medicinal products. Only very limited information is exempted from disclosure, i.e. commercially confidential information (which is construed increasingly narrowly) and protected personal data. It is possible for competitors to access and use this data in their own research and development programs anywhere in the world, once this data is in the public domain.</w:t>
      </w:r>
    </w:p>
    <w:p>
      <w:pPr>
        <w:spacing w:after="0" w:line="61"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European Health Data Space Regulations (the "EHDS Regulations") came into force on March 26, 2025. The aims of the EHDS Regulations are to provide individuals with more control over their electronic health data, enable cross-border sharing of European Health Data ("EHD") between national EU healthcare systems and facilitate the sharing of EHD for secondary research purposes. The EHDS Regulations impose new obligations, but also create opportunities for companies engaged in health-related research to share and access health data on a large scale. Although the EHDS Regulations have come into force, key obligations will not apply until March 2029.</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drug review and approval</w:t>
      </w:r>
    </w:p>
    <w:p>
      <w:pPr>
        <w:spacing w:after="0" w:line="96" w:lineRule="exact"/>
        <w:rPr>
          <w:sz w:val="20"/>
          <w:szCs w:val="20"/>
          <w:color w:val="auto"/>
        </w:rPr>
      </w:pPr>
    </w:p>
    <w:p>
      <w:pPr>
        <w:ind w:firstLine="318"/>
        <w:spacing w:after="0" w:line="254" w:lineRule="auto"/>
        <w:rPr>
          <w:sz w:val="20"/>
          <w:szCs w:val="20"/>
          <w:color w:val="auto"/>
        </w:rPr>
      </w:pPr>
      <w:r>
        <w:rPr>
          <w:rFonts w:ascii="Times New Roman" w:cs="Times New Roman" w:eastAsia="Times New Roman" w:hAnsi="Times New Roman"/>
          <w:sz w:val="14"/>
          <w:szCs w:val="14"/>
          <w:color w:val="auto"/>
        </w:rPr>
        <w:t>To obtain a marketing authorization in the EEA (comprising the EU Member States, plus Norway, Iceland, and Liechtenstein), a company may submit marketing authorization applications either under a centralized procedure administered by the EMA or one of the procedures administered by competent authorities in the EEA Member States (decentralized procedure, national procedure, or mutual recognition procedure). The centralized procedure is compulsory for certain medicines, including those produced by biotechnology, products designated as orphan medicinal products,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The centralized procedure is optional for those medicines which contain a new active substance, or which are a significant therapeutic, scientific, or technical innovation or whose authorization would be in the interest of public health. The centralized procedure provides for the grant of a single marketing authorization that is valid throughout the EEA.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EMA's Committee for Medicinal Products for Human Use, or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positive opinion. On April 26, 2023, the European Commission adopted a proposal for a new Regulation set to replace Regulation (EC) No 726/2004 and a new Directive replacing Directive 2001/83 on the Community Code relating to medicinal products for human use. On December 11, 2025, the European Council and Parliament reached a provisional agreement on the proposal. The provisional agreement is now subject to formal approval by the European Parliament and the Council before being formally adopted and entering into force upon publication in the EU's Official Journal. If made into law, the proposals will revise and replace the existing general pharmaceutical legislation and make it more difficult to obtain orphan designation in the EEA. If made into law, this proposal will revise the existing general pharmaceutical legislation. This reform would provide for a simplified regulatory framework with faster authorizations of new medicines. For instance, for its assessment, EMA will have 180 days instead of 210 days. For the authorization, the Commission will have 46 days instead of 67 days. Furthermore, the scope of the centralized procedure, would be extended to include priority antimicrobial medicinal products and products seeking a pediatric use marketing authorization.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it is no longer appropriate to conduct an accelerated assessment. As far as pediatric marketing authorization applications are concerned, all applications for marketing authorization for new medicines have to include the results of studies as described in an agreed Pediatric Investigation Plan (PIP), unless the medicine is exempt because of a deferral or waiver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0" w:name="page21"/>
    <w:bookmarkEnd w:id="20"/>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Through the decentralized procedure, a medicinal product that has not yet been authorized in the EEA can be simultaneously authorized in several EEA Member States. The mutual recognition procedure provides for mutual recognition of national approval decisions. Under this procedure, the holder of a national marketing authorization may submit an application to other EEA Member States. Within 90 days of receiving the applications and assessment reports, each Member State involved must decide whether to recognize the approval. If a Member State does not recognize the marketing authorization, the disputed points are eventually referred to the European Commission, whose decision is binding.</w:t>
      </w:r>
    </w:p>
    <w:p>
      <w:pPr>
        <w:spacing w:after="0" w:line="56"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4"/>
          <w:szCs w:val="14"/>
          <w:color w:val="auto"/>
        </w:rPr>
        <w:t>To obtain a marketing authorization in Switzerland, a company must submit a marketing authorization application to Swissmedic, Switzerland’s national authorization and supervisory authority for medicinal products and medical devices. There are no international agreements on mutual recognition of authorizations in relation to medicinal products. However, marketing authorization dossiers can be submitted to Swissmedic with clinical data, irrespective of the location where a clinical trial was conducted, that were collected in accordance with globally applicable international standards such as the Good Clinical Practice (GCP) guidelines of the International Council for Harmonization of Technical Requirements for Pharmaceuticals for Human Use (ICH) which are based on the Declaration of Helsinki. Furthermore, where a medicinal product or procedure is already authorized in a country having equivalent medicinal product control, the results of tests carried out for this purpose shall be taken into account. According to Swissmedic's practice, this includes the authorization procedures of the following countries: Australia, the member states of the EU, the EFTA states in the EEA (Liechtenstein, Norway and Iceland), Japan, Canada, New Zealand, Singapore, the United Kingdom and the United States.</w:t>
      </w:r>
    </w:p>
    <w:p>
      <w:pPr>
        <w:spacing w:after="0" w:line="62"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Since the U.K. (which comprises Great Britain and Northern Ireland) left the EU, Great Britain is no longer covered by centralized marketing authorizations, but they continued to be recognized in Northern Ireland under the Northern Irish Protocol. However, this has changed since January 1, 2025, when new measures implemented by the Windsor Framework came into effect in the U.K. The new measures include, among others, the removal of EU licensing processes in relation to Northern Ireland for novel medicines (i.e. those that were authorized under the EU centralized procedure). This means that marketing authorizations granted by the European Commission are no longer valid in Northern Ireland. Companies therefore no longer need to apply for separate licenses for Great Britain and Northern Ireland to market the same novel medicines across the whole U.K. All medicinal products with an existing centralized marketing authorization were automatically converted to Great Britain marketing authorizations on January 1, 2021. The MHRA has ceased to participate in the assessment of any centralized procedures since January 1, 2021. Since then, the MHRA has launched the Innovative Licensing and Access Pathway, or ILAP, a new accelerated assessment procedure for marketing authorization applications facilitating the interaction with pricing authorities and HTA bodies and aiming to enable companies to enter the U.K. market faster. On January 1, 2024, the MHRA launched a new International Recognition Procedure for Great Britain (England, Scotland and Wales) marketing authorization applications whereby the MHRA will, when considering such applications, recognize the approval of medicines by Australia, Canada, Switzerland, Singapore, Japan, United States and the EU following its own abbreviated assessment.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orphan drug designation and exclusivity</w:t>
      </w:r>
    </w:p>
    <w:p>
      <w:pPr>
        <w:spacing w:after="0" w:line="9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4"/>
          <w:szCs w:val="14"/>
          <w:color w:val="auto"/>
        </w:rPr>
        <w:t>As in the U.S., we may apply for designation of a product candidate as an orphan drug for the treatment of a specific indication in the EEA before the application for marketing authorization is made. The criteria for designating an “orphan medicinal product” in the EEA are similar in principle to those in the United States. Under Article 3 of Regulation (EC) 141/2000, a medicinal product may be designated as an orphan medicinal product if it meets the following criteria: (1) is intended for the diagnosis, prevention or treatment of a life-threatening or chronically debilitating condition; and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Sponsors of orphan drugs can enjoy economic and marketing benefits, including a reduction of fees or fee waivers and up to ten years of market exclusivity for the approved indication which can be further extended by two years under certain circumstances; namely when the pediatric studies have been conducted in accordance with an agreed PIP and other requirements are satisfied. During such period of market exclusivity, marketing authorization applications for “similar medicinal products” will not be accepted, unless another applicant can show that its product is safer, more effective or otherwise clinically superior to the orphan-designated product, the marketing authorization holder consents to the second orphan medicinal product application, or where the marketing authorization holder cannot supply enough orphan medicinal product. In the EEA, a “similar medicinal product” is a medicinal product containing a similar active substance or substances as contained in a currently authorized orphan medicinal product, and which is intended for the same therapeutic indication. The ten-year market exclusivity may be reduced to six years if, at the end of the fifth year, it is established that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the product no longer meets the criteria for orphan designation, for example, if the product is sufficiently profitable not to justify the maintenance of market exclusivity.</w:t>
      </w:r>
    </w:p>
    <w:p>
      <w:pPr>
        <w:spacing w:after="0" w:line="94"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The general pharmaceutical legislative framework, as well as the framework applicable to orphan and pediatric medicinal products in the EU, is under review. On April 26, 2023, the European Commission adopted a proposal for a new Regulation set to replace Regulation (EC) No 726/2004 and a new Directive replacing Directive 2001/83 on the Community Code relating to medicinal products for human use. If made into law, this proposal will revise the existing general pharmaceutical legislation and may reduce applicable regulatory exclusivities which will significantly affect all medicinal products that will be authorized after the legislative changes have taken effect.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Brexit and the regulatory framework in the United Kingdom</w:t>
      </w:r>
    </w:p>
    <w:p>
      <w:pPr>
        <w:spacing w:after="0" w:line="9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The U.K. officially left the EU on January 31, 2020. A transition period began on February 1, 2020, during which EU pharmaceutical law remained applicable to the U.K. This transition period ended on December 31, 2020. Since the regulatory framework in the U.K. covering the quality, safety and efficacy of pharmaceutical products, clinical trials, marketing authorization, commercial sales and distribution of pharmaceutical products is derived from EU Directives and Regulations, it continues to apply presently as “Retained EU Law”. However, as U.K. legislation now has the potential to diverge from EU legislation, the future regulatory regime which applies to products and the approval of product candidates in the U.K. may change. It remains to be seen how Brexit will impact regulatory requirements for product candidates and products in the U.K. in the long-term. The MHRA published detailed guidance for industry and organizations to follow which will be updated as the U.K.’s regulatory position on medicinal products evolves over time.</w:t>
      </w:r>
    </w:p>
    <w:p>
      <w:pPr>
        <w:spacing w:after="0" w:line="61"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‘Retained EU Law,’ generally has prevented substantial divergence to the regulation of medicines. However, some changes to the U.K. legislation have been necessary, including the implementation of the Northern Ireland Protocol (NIP), pursuant to which the EU pharmaceutical legal framework continued to apply in Northern Ireland (subject to periodic consent of the Northern Ireland Legislative Assembly), and only products compliant with EU law could be placed in the Northern Ireland market. This dynamic added an extra layer of regulatory complexity for companies wanting to commercialize medicinal products in Great Britain (namely, England, Wales and Scotland, as EU law continues to apply in Northern Ireland), as such companies now need to comply with separate U.K. regulatory legal framework. In 2023, the U.K. enacted the Retained EU Law (Revocation and Reform) Act 2023 which allows for the revocation of Retained EU Law. In particular, this Act:</w:t>
      </w:r>
    </w:p>
    <w:p>
      <w:pPr>
        <w:spacing w:after="0" w:line="81" w:lineRule="exact"/>
        <w:rPr>
          <w:sz w:val="20"/>
          <w:szCs w:val="20"/>
          <w:color w:val="auto"/>
        </w:rPr>
      </w:pPr>
    </w:p>
    <w:p>
      <w:pPr>
        <w:ind w:left="960" w:hanging="433"/>
        <w:spacing w:after="0"/>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revokes a long list of specific EU-derived subordinate legislation and retained direct EU legislation,</w:t>
      </w:r>
    </w:p>
    <w:p>
      <w:pPr>
        <w:spacing w:after="0" w:line="90" w:lineRule="exact"/>
        <w:rPr>
          <w:rFonts w:ascii="Times New Roman" w:cs="Times New Roman" w:eastAsia="Times New Roman" w:hAnsi="Times New Roman"/>
          <w:sz w:val="17"/>
          <w:szCs w:val="17"/>
          <w:color w:val="auto"/>
        </w:rPr>
      </w:pPr>
    </w:p>
    <w:p>
      <w:pPr>
        <w:ind w:left="960" w:hanging="433"/>
        <w:spacing w:after="0"/>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renames any continuing Retained EU Law as ‘assimilated law’,</w:t>
      </w:r>
    </w:p>
    <w:p>
      <w:pPr>
        <w:spacing w:after="0" w:line="102" w:lineRule="exact"/>
        <w:rPr>
          <w:rFonts w:ascii="Times New Roman" w:cs="Times New Roman" w:eastAsia="Times New Roman" w:hAnsi="Times New Roman"/>
          <w:sz w:val="17"/>
          <w:szCs w:val="17"/>
          <w:color w:val="auto"/>
        </w:rPr>
      </w:pPr>
    </w:p>
    <w:p>
      <w:pPr>
        <w:ind w:left="980" w:right="120" w:hanging="453"/>
        <w:spacing w:after="0" w:line="251" w:lineRule="auto"/>
        <w:tabs>
          <w:tab w:leader="none" w:pos="9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changes the way in which assimilated law is interpreted by removing the general principles of EU law as an aid to interpretation and ceasing the application of the supremacy of EU law from 1 January 2024, and</w:t>
      </w:r>
    </w:p>
    <w:p>
      <w:pPr>
        <w:spacing w:after="0" w:line="82" w:lineRule="exact"/>
        <w:rPr>
          <w:rFonts w:ascii="Times New Roman" w:cs="Times New Roman" w:eastAsia="Times New Roman" w:hAnsi="Times New Roman"/>
          <w:sz w:val="17"/>
          <w:szCs w:val="17"/>
          <w:color w:val="auto"/>
        </w:rPr>
      </w:pPr>
    </w:p>
    <w:p>
      <w:pPr>
        <w:ind w:left="960" w:hanging="433"/>
        <w:spacing w:after="0"/>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provides ministers with wide-ranging powers to restate, revoke or replace assimilated law.</w:t>
      </w:r>
    </w:p>
    <w:p>
      <w:pPr>
        <w:spacing w:after="0" w:line="71"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U.K. Government and the European Union recently adopted a new agreement, the “Windsor Framework,” which modifies the Northern Ireland Protocol. According to the Windsor Framework, medicinal products intended for the U.K. market, including Northern Ireland, are now authorized by the MHRA and must bear a “U.K. only” label. These new measures became effective January 1, 2025. The Trade and Cooperation Agreement signed between the U.K. and the EU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96"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4"/>
          <w:szCs w:val="14"/>
          <w:color w:val="auto"/>
        </w:rPr>
        <w:t>Successful commercialization of new drug products depends in part on the extent to which coverage and reimbursement, as applicable, for those drug products will be available from government health administration authorities, private health insurers, and other organizations. Government authorities and third-party payors, such as private health insurers and health maintenance organizations, decide which drug products they will cover and pay for and establish reimbursement levels. The availability and extent of coverage and reimbursement by governmental and private payors is essential for most patients to be able to afford a drug product. Sales of drug products depend substantially, both domestically and abroad, on the extent to which drugs are covered and the costs of drugs products are paid for by health maintenance, managed care, pharmacy benefit and similar healthcare management organizations, or covered and reimbursed by government health administration authorities, private health coverage insurers and other third-party payors.</w:t>
      </w:r>
    </w:p>
    <w:p>
      <w:pPr>
        <w:spacing w:after="0" w:line="61"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Government authorities and third-party payors have attempted to control costs by limiting coverage and the amount of reimbursement for particular drug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2" w:name="page23"/>
    <w:bookmarkEnd w:id="22"/>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reimbursement for drug products may be reduced compared with the United States.</w:t>
      </w:r>
    </w:p>
    <w:p>
      <w:pPr>
        <w:spacing w:after="0" w:line="51"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In the United States, the decisions about Medicare reimbursement for new drug products are typically made by CMS, an agency within the U.S. Department of Health and Human Services, or HHS. CMS decides whether and to what extent a new drug product will be covered and reimbursed under Medicare, and private payors tend to follow CMS coverage guidelines. However, no uniform policy of coverage and reimbursement for drug products exists among third-party payors and coverage and reimbursement levels for drug products can differ significantly from payor to payor.</w:t>
      </w:r>
    </w:p>
    <w:p>
      <w:pPr>
        <w:spacing w:after="0" w:line="56"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Part D prescription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and with some exceptions for certain classes of drugs.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Additionally, since 2025, manufacturers have been obligated to pay additional discounts for products covered under Medicare Part D as a result of the IRA. Moreover, while the MMA Part D plan policies applies only to drug benefits for Medicare beneficiaries, private payors often follow Medicare coverage policies and payment limitations in setting their own payment rates and coverage guidelines. Any reduction in payment restrictions in Part D coverage that results from the MMA may result in a similar reduction in payment restrictions from non-governmental payors.</w:t>
      </w:r>
    </w:p>
    <w:p>
      <w:pPr>
        <w:spacing w:after="0" w:line="65"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For a drug product to receive federal reimbursement under the Medicaid or Medicare Part B programs or to be sold directly to U.S. government agencies, the manufacturer must participate in certain other Federal health care programs and also extend discounts to entities eligible to participate in the 340B drug pricing program. The required 340B discount on a given product is calculated based on the average manufacturer price, or AMP, and Medicaid rebate amounts reported by the manufacturer. As of 2010,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any revisions to the Medicaid rebate formula or AMP definition could cause the required 340B discount to increase. The 340B drug pricing program may be subject to future changes in light of ongoing litigation and attempts to reform the program, including legislative proposals to reform the 340B program. It is unclear how any such changes could affect our obligation to offer 340B pricing to certain entities.</w:t>
      </w:r>
    </w:p>
    <w:p>
      <w:pPr>
        <w:spacing w:after="0" w:line="62"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39"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Outside of the United States, the pricing of pharmaceutical products and medical devices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or HTA, in order to obtain reimbursement or pricing approval. The outcome of HTA assessments is decided on a national basis and some payors may not reimburse the use of assessed products or may reduce the rate of reimbursement for such products. In December 2021, the EU adopted a new Regulation on Health Technology Assessment. The Regulation creates collaborative structures and procedures that allow Member States to carry out joint clinical assessments, effect joint clinical consultations and identify jointly emerging health technologies and came into effect on January 12, 2025.</w:t>
      </w:r>
    </w:p>
    <w:p>
      <w:pPr>
        <w:spacing w:after="0" w:line="61"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3" w:name="page24"/>
    <w:bookmarkEnd w:id="23"/>
    <w:p>
      <w:pPr>
        <w:ind w:right="80" w:firstLine="318"/>
        <w:spacing w:after="0" w:line="258" w:lineRule="auto"/>
        <w:rPr>
          <w:sz w:val="20"/>
          <w:szCs w:val="20"/>
          <w:color w:val="auto"/>
        </w:rPr>
      </w:pPr>
      <w:r>
        <w:rPr>
          <w:rFonts w:ascii="Times New Roman" w:cs="Times New Roman" w:eastAsia="Times New Roman" w:hAnsi="Times New Roman"/>
          <w:sz w:val="14"/>
          <w:szCs w:val="14"/>
          <w:color w:val="auto"/>
        </w:rPr>
        <w:t>Moreover, in May 2025, the Trump Administration issued an executive order titled "Delivering Most-Favored-Nation Prescription Drug Pricing to American Patients" Executive Order, which may have unpredictable consequences on the pricing of medicinal products in European countries. The Executive Order required federal agencies to seek parity between U.S. drug prices and the lowest prices in peer nations and empowers the Secretary of HHS to establish and communicate most-favored-nation price targets to manufacturers, including through rulemaking if voluntary efforts by manufacturers prove inadequate. In accordance with this Executive Order, CMS has taken action to implement "most-favored-nation" pricing, including by announcing a new voluntary payment model where drug manufacturers may offer supplemental rebates to participating state Medicaid programs to provide such Medicaid programs with a "most favored nation" price for participating manufacturers' products, as well proposing mandatory payment models where, if finalized, manufacturers of certain Medicare Part B and Medicare Part D drugs would be assessed rebates if the prices for such product exceed those paid in economically comparable countries. It remains to be seen how these drug pricing initiatives will affect the broader pharmaceutical industry.</w:t>
      </w:r>
    </w:p>
    <w:p>
      <w:pPr>
        <w:spacing w:after="0" w:line="62"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Additionally, the Executive Order instructs the Department of Commerce and the U.S. Trade Representative to take action against foreign countries that engage in practices suppressing drug prices below fair market value, which could lead to additional pricing pressure or prompt regulatory changes in foreign markets. These measures may have unpredictable consequences on pricing of medicinal products in European countries.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96"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2025, we had 49 full-time employees, including 19 with Ph.D. or M.D. degrees. Of our employees, 30 were engaged in research and development activities, and 19 were engaged in general and administrative activities. None of our employees are represented by labor unions or covered by collective bargaining agreements, and we have experienced no work stoppages. We consider our relationship with our employees to be good.</w:t>
      </w:r>
    </w:p>
    <w:p>
      <w:pPr>
        <w:spacing w:after="0" w:line="51"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We rely on skilled, experienced, and innovative employees to conduct the operations of our company and we continue to face intense competition for our personnel from our competitors and other companies throughout our industry. The biotechnology industry is very competitive and recruiting and retaining such employees is important to the continued success of our business. We are committed to building an outstanding, committed team and fostering a rewarding work environment and a culture that values scientific innovation, inclusion, collaboration, and equity. We believe that each employee brings unique perspectives and strengths, and by embracing these strengths, we can do our best work for patients. We focus on recruiting, retaining, and developing employees from a wide range of backgrounds to conduct our research, development, and clinical activities.</w:t>
      </w:r>
    </w:p>
    <w:p>
      <w:pPr>
        <w:spacing w:after="0" w:line="58"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As part of our measures to attract and retain a highly skilled workforce, we offer a competitive suite of benefits to our full-time employees to help support their health and financial well-being, including medical, dental and vision insurance, life insurance, 401k retirement program with a company match, flexible spending accounts, paid holiday and vacation time, and flexible work arrangements. We provide our employees with competitive salaries and bonuses, opportunities for equity ownership, development opportunities that enable continued learning and growth and a robust recognition program that recognizes and celebrates their accomplishments.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and Available Information</w:t>
      </w:r>
    </w:p>
    <w:p>
      <w:pPr>
        <w:spacing w:after="0" w:line="96"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in June 2015. Our principal executive office is located at 331 Oyster Point Boulevard, South San Francisco, California 94080, and our telephone number is (650) 481-6770. Our website address is https://pliantrx.com.</w:t>
      </w:r>
    </w:p>
    <w:p>
      <w:pPr>
        <w:spacing w:after="0" w:line="39"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We file or furnish electronically with the SEC annual reports on Form 10-K, quarterly reports on Form 10-Q, current reports on Form 8-K and amendments to those reports filed or furnished pursuant to Section 13(a) or 15(d) of the Exchange Act. We make copies of these reports available free of charge through our investor relations website as soon as reasonably practicable after we file or furnish them with the SEC. The SEC maintains an Internet site that contains reports, proxy and information statements and other information regarding our filings at www.sec.gov.</w:t>
      </w:r>
    </w:p>
    <w:p>
      <w:pPr>
        <w:spacing w:after="0" w:line="51"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ind w:right="80"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Report. The risks and uncertainties described below are not the only ones facing us. There may be additional risks faced by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color w:val="auto"/>
        </w:rPr>
        <w:t>our business. Other events that we do not currently anticipate or that we currently deem immaterial also may adversely affect our financial condition or results of operations.</w:t>
      </w:r>
    </w:p>
    <w:p>
      <w:pPr>
        <w:spacing w:after="0" w:line="9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Operations and Need for Additional Capital</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net losses since inception and we expect to continue to incur significant net losses for the foreseeable future.</w:t>
      </w:r>
    </w:p>
    <w:p>
      <w:pPr>
        <w:spacing w:after="0" w:line="9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We have incurred significant net losses since our inception and have financed our operations principally through equity and debt financing and our prior collaboration with Novartis Institute for Biomedical Research, Inc. ("Novartis"). We continue to incur significant research and development and other expenses related to our ongoing operations. Our net loss was $149.3 million and $210.3 million for the twelve months ended December 31, 2025 and 2024, respectively. As of December 31, 2025, we had an accumulated deficit of $859.4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expect to continue to incur significant losses for the foreseeable future as we:</w:t>
      </w:r>
    </w:p>
    <w:p>
      <w:pPr>
        <w:spacing w:after="0" w:line="94" w:lineRule="exact"/>
        <w:rPr>
          <w:sz w:val="20"/>
          <w:szCs w:val="20"/>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product candidates through clinical development, and, if successful, later-stage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discover and develop new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preclinical development programs into clinical development;</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 manufacturing processes and manufacture our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line="287" w:lineRule="auto"/>
        <w:tabs>
          <w:tab w:leader="none" w:pos="10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delays or interruptions to preclinical studies, clinical trials, our receipt of services from our third-party service providers on whom we rely, or our supply chain due to the effects of health epidemics and pandemics, such as COVID-19, or geopolitical events, such as recent military actions against Iran;</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product candidates that successfully complete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commercialize PLN-101095 and any other future product candidates, if approved;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amount of research and development activities to identify and develop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development, quality control, scientific and management personnel;</w:t>
      </w:r>
    </w:p>
    <w:p>
      <w:pPr>
        <w:spacing w:after="0" w:line="93" w:lineRule="exact"/>
        <w:rPr>
          <w:rFonts w:ascii="Times New Roman" w:cs="Times New Roman" w:eastAsia="Times New Roman" w:hAnsi="Times New Roman"/>
          <w:sz w:val="14"/>
          <w:szCs w:val="14"/>
          <w:color w:val="auto"/>
        </w:rPr>
      </w:pPr>
    </w:p>
    <w:p>
      <w:pPr>
        <w:ind w:left="1020" w:right="20" w:hanging="442"/>
        <w:spacing w:after="0" w:line="287" w:lineRule="auto"/>
        <w:tabs>
          <w:tab w:leader="none" w:pos="1016" w:val="left"/>
        </w:tabs>
        <w:numPr>
          <w:ilvl w:val="0"/>
          <w:numId w:val="15"/>
        </w:numPr>
        <w:rPr>
          <w:rFonts w:ascii="Times New Roman" w:cs="Times New Roman" w:eastAsia="Times New Roman" w:hAnsi="Times New Roman"/>
          <w:sz w:val="14"/>
          <w:szCs w:val="14"/>
          <w:color w:val="auto"/>
          <w:strike w:val="1"/>
        </w:rPr>
      </w:pPr>
      <w:r>
        <w:rPr>
          <w:rFonts w:ascii="Times New Roman" w:cs="Times New Roman" w:eastAsia="Times New Roman" w:hAnsi="Times New Roman"/>
          <w:sz w:val="14"/>
          <w:szCs w:val="14"/>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39" w:lineRule="exact"/>
        <w:rPr>
          <w:rFonts w:ascii="Times New Roman" w:cs="Times New Roman" w:eastAsia="Times New Roman" w:hAnsi="Times New Roman"/>
          <w:sz w:val="14"/>
          <w:szCs w:val="14"/>
          <w:color w:val="auto"/>
          <w:strike w:val="1"/>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or in-license other technologies or product candidates;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build out our organization to engage in such activities.</w:t>
      </w:r>
    </w:p>
    <w:p>
      <w:pPr>
        <w:spacing w:after="0" w:line="94"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pursuit of internal and external opportunities may not deliver the benefits we expect or enhance shareholder value.</w:t>
      </w:r>
    </w:p>
    <w:p>
      <w:pPr>
        <w:spacing w:after="0" w:line="96" w:lineRule="exact"/>
        <w:rPr>
          <w:sz w:val="20"/>
          <w:szCs w:val="20"/>
          <w:color w:val="auto"/>
        </w:rPr>
      </w:pPr>
    </w:p>
    <w:p>
      <w:pPr>
        <w:jc w:val="both"/>
        <w:ind w:right="80" w:firstLine="318"/>
        <w:spacing w:after="0" w:line="270" w:lineRule="auto"/>
        <w:rPr>
          <w:sz w:val="20"/>
          <w:szCs w:val="20"/>
          <w:color w:val="auto"/>
        </w:rPr>
      </w:pPr>
      <w:r>
        <w:rPr>
          <w:rFonts w:ascii="Times New Roman" w:cs="Times New Roman" w:eastAsia="Times New Roman" w:hAnsi="Times New Roman"/>
          <w:sz w:val="14"/>
          <w:szCs w:val="14"/>
          <w:color w:val="auto"/>
        </w:rPr>
        <w:t>Following the discontinuation of the BEACON-IPF Phase 2b trial, we have evaluated and are continuing to evaluate a broad range of opportunities designed to create stockholder value. There can be no assurance regarding the results or outcome of any opportunities we may pursue. It is possible that we may not identify or pursue opportunities, that such opportunities pursued may not be attractive, or that such opportunities may not ultimately be consummated. Further, any</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4"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strategic transaction or other opportunity that is consummated ultimately may not deliver the benefits we expect or enhance stockholder value.</w:t>
      </w:r>
    </w:p>
    <w:p>
      <w:pPr>
        <w:spacing w:after="0" w:line="92"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37"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to incur significant expenses in connection with our ongoing activities, particularly as we conduct clinical trials of PLN-101095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and such funding may be more difficult to obtain given the early states of our current programs as well as financial, economic and market conditions and other factors, over which we may have limited or no control. If we are unable to raise capital when needed or on acceptable terms, we may be forced to delay, reduce, or eliminate one or more of our research and drug development programs or future commercialization efforts.</w:t>
      </w:r>
    </w:p>
    <w:p>
      <w:pPr>
        <w:spacing w:after="0" w:line="61"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4"/>
          <w:szCs w:val="14"/>
          <w:color w:val="auto"/>
        </w:rPr>
        <w:t>As of December 31, 2025, we had approximately $192.4 million in cash, cash equivalents, restricted cash and short-term investments. Based on our current operating plan, we believe that our existing cash, cash equivalents and short-term investments will be sufficient to fund our anticipated operating expenses and capital expenditure requirements for the next 12 months and beyond. However, our future capital requirements and the period for which our existing resources will support our operations may vary significantly from what we expect, and we will in any event require additional capital in order to complete clinical development of PLN-101095 and any other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61" w:lineRule="exact"/>
        <w:rPr>
          <w:sz w:val="20"/>
          <w:szCs w:val="20"/>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costs and results of preclinical studies and clinical trials for our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development plans we establish for product candidates;</w:t>
      </w:r>
    </w:p>
    <w:p>
      <w:pPr>
        <w:spacing w:after="0" w:line="93" w:lineRule="exact"/>
        <w:rPr>
          <w:rFonts w:ascii="Times New Roman" w:cs="Times New Roman" w:eastAsia="Times New Roman" w:hAnsi="Times New Roman"/>
          <w:sz w:val="14"/>
          <w:szCs w:val="14"/>
          <w:color w:val="auto"/>
        </w:rPr>
      </w:pPr>
    </w:p>
    <w:p>
      <w:pPr>
        <w:ind w:left="1020" w:right="40" w:hanging="442"/>
        <w:spacing w:after="0" w:line="287" w:lineRule="auto"/>
        <w:tabs>
          <w:tab w:leader="none" w:pos="10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timelines of our clinical trials and the overall costs to conduct and complete the clinical trials, including any increased costs due to disruptions caused by marketplace conditions, including the effects of health epidemics and pandemics, such as COVID-19, or other geopolitical conditions, such as recent military actions against Iran;</w:t>
      </w:r>
    </w:p>
    <w:p>
      <w:pPr>
        <w:spacing w:after="0" w:line="39" w:lineRule="exact"/>
        <w:rPr>
          <w:rFonts w:ascii="Times New Roman" w:cs="Times New Roman" w:eastAsia="Times New Roman" w:hAnsi="Times New Roman"/>
          <w:sz w:val="14"/>
          <w:szCs w:val="14"/>
          <w:color w:val="auto"/>
        </w:rPr>
      </w:pPr>
    </w:p>
    <w:p>
      <w:pPr>
        <w:ind w:left="1020" w:right="80" w:hanging="442"/>
        <w:spacing w:after="0" w:line="287" w:lineRule="auto"/>
        <w:tabs>
          <w:tab w:leader="none" w:pos="10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capital commitments required for developing manufacturing processes for our product candidates and manufacturing our product candidates at clinical and commercial scales;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develop;</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meeting regulatory requirements established by the FDA and other comparable foreign regulatory authorities;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able to enter into future collaboration agreements and the terms of any such agreements;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and timing of achieving a favorable pricing and reimbursement decision by the pricing authorities in the markets of interest;</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secure a position recommendation following the health technology assessment by the health technology bodies in the relevant market;</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our patent claims and other intellectual property rights;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defending intellectual property disputes, including patent infringement actions brought by third parties against us or our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completion of commercial-scale outsourced manufacturing activities; and</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6" w:name="page27"/>
    <w:bookmarkEnd w:id="26"/>
    <w:p>
      <w:pPr>
        <w:ind w:left="1020" w:right="460" w:hanging="442"/>
        <w:spacing w:after="0" w:line="287" w:lineRule="auto"/>
        <w:tabs>
          <w:tab w:leader="none" w:pos="10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for any product candidates for which we may receive regulatory approval in regions where we choose to commercialize our products on our own.</w:t>
      </w:r>
    </w:p>
    <w:p>
      <w:pPr>
        <w:spacing w:after="0" w:line="29" w:lineRule="exact"/>
        <w:rPr>
          <w:sz w:val="20"/>
          <w:szCs w:val="20"/>
          <w:color w:val="auto"/>
        </w:rPr>
      </w:pPr>
    </w:p>
    <w:p>
      <w:pPr>
        <w:ind w:right="20" w:firstLine="318"/>
        <w:spacing w:after="0" w:line="238" w:lineRule="auto"/>
        <w:rPr>
          <w:sz w:val="20"/>
          <w:szCs w:val="20"/>
          <w:color w:val="auto"/>
        </w:rPr>
      </w:pPr>
      <w:r>
        <w:rPr>
          <w:rFonts w:ascii="Times New Roman" w:cs="Times New Roman" w:eastAsia="Times New Roman" w:hAnsi="Times New Roman"/>
          <w:sz w:val="14"/>
          <w:szCs w:val="14"/>
          <w:color w:val="auto"/>
        </w:rPr>
        <w:t>We have previously borrowed and in the future may borrow additional capital from institutional and commercial banking sources to fund future growth or potentially pursuant to new arrangements with different lenders. In addition, we have sought and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our product candidates or other research and development initiatives. Any of the above events could significantly harm our business, prospects, financial condition and results of operations and cause the price of our common stock to decline.</w:t>
      </w:r>
    </w:p>
    <w:p>
      <w:pPr>
        <w:spacing w:after="0" w:line="75"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37"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in the future due to a variety of factors, many of which are outside of our control and may be difficult to predict, including the following:</w:t>
      </w:r>
    </w:p>
    <w:p>
      <w:pPr>
        <w:spacing w:after="0" w:line="39" w:lineRule="exact"/>
        <w:rPr>
          <w:sz w:val="20"/>
          <w:szCs w:val="20"/>
          <w:color w:val="auto"/>
        </w:rPr>
      </w:pPr>
    </w:p>
    <w:p>
      <w:pPr>
        <w:ind w:left="1020" w:right="360" w:hanging="442"/>
        <w:spacing w:after="0" w:line="287" w:lineRule="auto"/>
        <w:tabs>
          <w:tab w:leader="none" w:pos="10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recruit and retain subjects for clinical trials, and any delays caused by difficulties in such efforts;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marketing approval for our product candidates, and the timing and scope of any such approvals we may receive;</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and development activities relating to our product candidates, which may change from time to time;</w:t>
      </w:r>
    </w:p>
    <w:p>
      <w:pPr>
        <w:spacing w:after="0" w:line="93" w:lineRule="exact"/>
        <w:rPr>
          <w:rFonts w:ascii="Times New Roman" w:cs="Times New Roman" w:eastAsia="Times New Roman" w:hAnsi="Times New Roman"/>
          <w:sz w:val="14"/>
          <w:szCs w:val="14"/>
          <w:color w:val="auto"/>
        </w:rPr>
      </w:pPr>
    </w:p>
    <w:p>
      <w:pPr>
        <w:ind w:left="1020" w:right="560" w:hanging="442"/>
        <w:spacing w:after="0" w:line="287" w:lineRule="auto"/>
        <w:tabs>
          <w:tab w:leader="none" w:pos="10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which may vary depending on the difficulty of manufacture, quantity of production and the terms of our agreements with manufacturers;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hire and retain qualified personnel;</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will or may incur to develop our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our product candidates should they receive approval, which may vary significantly;</w:t>
      </w:r>
    </w:p>
    <w:p>
      <w:pPr>
        <w:spacing w:after="0" w:line="93" w:lineRule="exact"/>
        <w:rPr>
          <w:rFonts w:ascii="Times New Roman" w:cs="Times New Roman" w:eastAsia="Times New Roman" w:hAnsi="Times New Roman"/>
          <w:sz w:val="14"/>
          <w:szCs w:val="14"/>
          <w:color w:val="auto"/>
        </w:rPr>
      </w:pPr>
    </w:p>
    <w:p>
      <w:pPr>
        <w:ind w:left="1020" w:right="300" w:hanging="442"/>
        <w:spacing w:after="0" w:line="284" w:lineRule="auto"/>
        <w:tabs>
          <w:tab w:leader="none" w:pos="10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risk/benefit profile, cost and reimbursement policies with respect to our product candidates, if approved, and existing and potential future therapeutics that compete with our product candidates;</w:t>
      </w:r>
    </w:p>
    <w:p>
      <w:pPr>
        <w:ind w:left="1020" w:right="200" w:hanging="442"/>
        <w:spacing w:after="0" w:line="287" w:lineRule="auto"/>
        <w:tabs>
          <w:tab w:leader="none" w:pos="10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or extraordinary external events, such as recessions, inflationary and labor market pressures, changes in domestic policies, volatility and uncertainty, as well as potential volatility in the global trade markets or interest rates;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changing and volatile U.S. and global economic and political environments; and</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7" w:name="page28"/>
    <w:bookmarkEnd w:id="27"/>
    <w:p>
      <w:pPr>
        <w:ind w:left="1020" w:hanging="442"/>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94"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Risks Related to Research and Development and the Biopharmaceutical Industry</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which may make it difficult to evaluate our prospects and likelihood of success.</w:t>
      </w:r>
    </w:p>
    <w:p>
      <w:pPr>
        <w:spacing w:after="0" w:line="96"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4"/>
          <w:szCs w:val="14"/>
          <w:color w:val="auto"/>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integrin-based therapeutics.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spacing w:after="0" w:line="63"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highly dependent on the success of the product candidates that we advance into the clinic. PLN-101095, our lead program, and our other product candidates will require significant additional development before we may be able to seek regulatory approval for and launch a product commercially.</w:t>
      </w:r>
    </w:p>
    <w:p>
      <w:pPr>
        <w:spacing w:after="0" w:line="37"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We a</w:t>
      </w:r>
      <w:r>
        <w:rPr>
          <w:rFonts w:ascii="Times New Roman" w:cs="Times New Roman" w:eastAsia="Times New Roman" w:hAnsi="Times New Roman"/>
          <w:sz w:val="14"/>
          <w:szCs w:val="14"/>
          <w:color w:val="242424"/>
        </w:rPr>
        <w:t>re currently conducting a Phase 1 clinical trial of PLN-101095 in solid tumors</w:t>
      </w:r>
      <w:r>
        <w:rPr>
          <w:rFonts w:ascii="Times New Roman" w:cs="Times New Roman" w:eastAsia="Times New Roman" w:hAnsi="Times New Roman"/>
          <w:sz w:val="14"/>
          <w:szCs w:val="14"/>
          <w:color w:val="auto"/>
        </w:rPr>
        <w:t>. We have no products that are approved for commercial sale and may never be able to develop marketable products. If PLN-101095 or any of our other product candidates encounter safety or efficacy problems, development delays, regulatory issues or other problems, our development plans and business would be significantly harmed. For example, in March 2025, we announced that we were discontinuing the BEACON-IPF Phase 2b trial following a prespecified data review and recommendation by the trial’s independent DSMB, as well as a secondary review and recommendation by an outside expert panel. Subsequently, in June 2025, we announced we were discontinuing the development of bexotegrast in IPF.</w:t>
      </w:r>
    </w:p>
    <w:p>
      <w:pPr>
        <w:spacing w:after="0" w:line="58"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Before we can generate any revenue from sales of PLN-101095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PLN-101095 or any of our other product candidates.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may experience setbacks that could delay or prevent regulatory approval of, or the extent of regulatory protection or our ability to commercialize, our product candidates, including:</w:t>
      </w:r>
    </w:p>
    <w:p>
      <w:pPr>
        <w:spacing w:after="0" w:line="94" w:lineRule="exact"/>
        <w:rPr>
          <w:sz w:val="20"/>
          <w:szCs w:val="20"/>
          <w:color w:val="auto"/>
        </w:rPr>
      </w:pPr>
    </w:p>
    <w:p>
      <w:pPr>
        <w:ind w:left="1020" w:right="40" w:hanging="442"/>
        <w:spacing w:after="0" w:line="287" w:lineRule="auto"/>
        <w:tabs>
          <w:tab w:leader="none" w:pos="10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product-related side effects experienced by subjects in our clinical trials or by individuals using drugs or therapeutics similar to our product candidates;</w:t>
      </w:r>
    </w:p>
    <w:p>
      <w:pPr>
        <w:spacing w:after="0" w:line="93" w:lineRule="exact"/>
        <w:rPr>
          <w:rFonts w:ascii="Times New Roman" w:cs="Times New Roman" w:eastAsia="Times New Roman" w:hAnsi="Times New Roman"/>
          <w:sz w:val="14"/>
          <w:szCs w:val="14"/>
          <w:color w:val="auto"/>
        </w:rPr>
      </w:pPr>
    </w:p>
    <w:p>
      <w:pPr>
        <w:ind w:left="1020" w:right="320" w:hanging="442"/>
        <w:spacing w:after="0" w:line="287" w:lineRule="auto"/>
        <w:tabs>
          <w:tab w:leader="none" w:pos="10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submitting investigational new drug (IND) applications or comparable foreign applications or delays or failure in obtaining the necessary approvals from regulators to commence a clinical trial, or a suspension or termination of a clinical trial once commenced;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8" w:name="page29"/>
    <w:bookmarkEnd w:id="28"/>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imposed by the FDA or comparable foreign authorities regarding the scope or design of our clinical trials;</w:t>
      </w:r>
    </w:p>
    <w:p>
      <w:pPr>
        <w:spacing w:after="0" w:line="93" w:lineRule="exact"/>
        <w:rPr>
          <w:rFonts w:ascii="Times New Roman" w:cs="Times New Roman" w:eastAsia="Times New Roman" w:hAnsi="Times New Roman"/>
          <w:sz w:val="14"/>
          <w:szCs w:val="14"/>
          <w:color w:val="auto"/>
        </w:rPr>
      </w:pPr>
    </w:p>
    <w:p>
      <w:pPr>
        <w:ind w:left="1020" w:right="60" w:hanging="442"/>
        <w:spacing w:after="0" w:line="287" w:lineRule="auto"/>
        <w:tabs>
          <w:tab w:leader="none" w:pos="10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enrolling subjects in clinical trials, including due to operational challenges, competition with other clinical trials or the effects of health epidemics and pandemics, such as the COVID-19 pandemic, or due to geopolitical events, such as recent military action against Iran;</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drop-out rates or screening failures of subjects from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supply or quality of product candidates or other materials necessary for the conduct of our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manufacturing our product candidates to regulatory requirements in a cost effective manner;</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than anticipated clinical trial costs;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compete with other therapies;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secure or maintain orphan designation in some jurisdictions;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efficacy of our product candidates during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FDA or other regulatory agency inspection and review of a clinical trial site;</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contractors or investigators to comply with regulatory requirements or otherwise meet their contractual obligations in a timely manner, or at all;</w:t>
      </w:r>
    </w:p>
    <w:p>
      <w:pPr>
        <w:spacing w:after="0" w:line="93" w:lineRule="exact"/>
        <w:rPr>
          <w:rFonts w:ascii="Times New Roman" w:cs="Times New Roman" w:eastAsia="Times New Roman" w:hAnsi="Times New Roman"/>
          <w:sz w:val="14"/>
          <w:szCs w:val="14"/>
          <w:color w:val="auto"/>
        </w:rPr>
      </w:pPr>
    </w:p>
    <w:p>
      <w:pPr>
        <w:ind w:left="1020" w:right="60" w:hanging="442"/>
        <w:spacing w:after="0" w:line="287" w:lineRule="auto"/>
        <w:tabs>
          <w:tab w:leader="none" w:pos="10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and changes in regulatory requirements, policy and guidelines, including the imposition of additional regulatory oversight around clinical testing generally or with respect to our technology in particular; or</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data by the FDA and similar foreign regulatory agencies.</w:t>
      </w:r>
    </w:p>
    <w:p>
      <w:pPr>
        <w:spacing w:after="0" w:line="94"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approach to drug discovery and development of integrin-based therapeutics is unproven and may not result in a marketable product.</w:t>
      </w:r>
    </w:p>
    <w:p>
      <w:pPr>
        <w:spacing w:after="0" w:line="96"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Our approach to discover and develop integrin-based therapeutics is a novel approach in a rapidly developing field, and there can be no assurance that we will not experience currently unknown problems or delays in developing PLN-101095 or our other product candidates, that such problems or delays will not result in unanticipated costs, or that any such development problems can be solved. As a result, we may never succeed in developing a marketable integrin-based product.</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Clinical development involves a lengthy, complex, and expensive process, with an uncertain outcome.</w:t>
      </w:r>
    </w:p>
    <w:p>
      <w:pPr>
        <w:spacing w:after="0" w:line="96"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242424"/>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For example, in March 2025, we announced that we were discontinuing the BEACON-IPF Phase 2b trial following a prespecified data review and recommendation by the trial’s independent DSMB, as well as a secondary review and recommendation by an outside expert panel, and subsequently announced in June 2025 that we were discontinuing development of bexotegrast in IPF.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or divergent conclusions by the FDA, other regulatory agencies, IRBs, DSMBs or others in connection with such findings.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29" w:name="page30"/>
    <w:bookmarkEnd w:id="29"/>
    <w:p>
      <w:pPr>
        <w:ind w:right="20" w:firstLine="318"/>
        <w:spacing w:after="0" w:line="287" w:lineRule="auto"/>
        <w:rPr>
          <w:sz w:val="20"/>
          <w:szCs w:val="20"/>
          <w:color w:val="auto"/>
        </w:rPr>
      </w:pPr>
      <w:r>
        <w:rPr>
          <w:rFonts w:ascii="Times New Roman" w:cs="Times New Roman" w:eastAsia="Times New Roman" w:hAnsi="Times New Roman"/>
          <w:sz w:val="14"/>
          <w:szCs w:val="14"/>
          <w:color w:val="242424"/>
        </w:rPr>
        <w:t>Most product candidates that commence clinical trials are never approved as products and there can be no assurance that any of our future clinical trials will ultimately be successful or support further clinical development of any of our product candidates. Product candidates that appear promising in the early phases of development may fail to reach the market for several reasons, including:</w:t>
      </w:r>
    </w:p>
    <w:p>
      <w:pPr>
        <w:spacing w:after="0" w:line="39" w:lineRule="exact"/>
        <w:rPr>
          <w:sz w:val="20"/>
          <w:szCs w:val="20"/>
          <w:color w:val="auto"/>
        </w:rPr>
      </w:pPr>
    </w:p>
    <w:p>
      <w:pPr>
        <w:ind w:left="1020" w:right="340" w:hanging="442"/>
        <w:spacing w:after="0" w:line="287" w:lineRule="auto"/>
        <w:tabs>
          <w:tab w:leader="none" w:pos="10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establish clinical endpoints that applicable regulatory authorities would consider clinically meaningful;</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receive the necessary regulatory approvals;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competing products in the same disease state;</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costs, formulation issues, pricing or reimbursement issues, or other factors that make a product candidate uneconomical;</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or inability to perform by our third-party vendors, including vendors in foreign jurisdictions including China;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proprietary rights of others and their competing products and technologies that may prevent one of our product candidates from being commercialized.</w:t>
      </w:r>
    </w:p>
    <w:p>
      <w:pPr>
        <w:spacing w:after="0" w:line="94"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For example, PLN-101095 is currently being evaluated in an ongoing first-in-human Phase 1 dose-escalation open label trial where patients are either receiving PLN-101095 alone or in combination with the immunotherapy pembrolizumab.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spacing w:after="0" w:line="65"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commencing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or changes in regulatory policy as a result of judicial challenges. Examples of such regulations and changes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61"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0" w:name="page31"/>
    <w:bookmarkEnd w:id="30"/>
    <w:p>
      <w:pPr>
        <w:jc w:val="both"/>
        <w:ind w:right="80" w:firstLine="318"/>
        <w:spacing w:after="0" w:line="264" w:lineRule="auto"/>
        <w:rPr>
          <w:sz w:val="20"/>
          <w:szCs w:val="20"/>
          <w:color w:val="auto"/>
        </w:rPr>
      </w:pPr>
      <w:r>
        <w:rPr>
          <w:rFonts w:ascii="Times New Roman" w:cs="Times New Roman" w:eastAsia="Times New Roman" w:hAnsi="Times New Roman"/>
          <w:sz w:val="14"/>
          <w:szCs w:val="14"/>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54" w:lineRule="exact"/>
        <w:rPr>
          <w:sz w:val="20"/>
          <w:szCs w:val="20"/>
          <w:color w:val="auto"/>
        </w:rPr>
      </w:pPr>
    </w:p>
    <w:p>
      <w:pPr>
        <w:ind w:right="44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incur additional costs or experience delays in completing, or ultimately be unable to complete, the development and commercialization of PLN-101095 or any other product candidates.</w:t>
      </w:r>
    </w:p>
    <w:p>
      <w:pPr>
        <w:spacing w:after="0" w:line="37"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PLN-101095 or any other product candidates, including:</w:t>
      </w:r>
    </w:p>
    <w:p>
      <w:pPr>
        <w:spacing w:after="0" w:line="39" w:lineRule="exact"/>
        <w:rPr>
          <w:sz w:val="20"/>
          <w:szCs w:val="20"/>
          <w:color w:val="auto"/>
        </w:rPr>
      </w:pPr>
    </w:p>
    <w:p>
      <w:pPr>
        <w:ind w:left="1020" w:hanging="44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or ethics committees may not authorize us or our investigators to commence a clinical trial or conduct a clinical trial at a prospective trial site;</w:t>
      </w:r>
    </w:p>
    <w:p>
      <w:pPr>
        <w:spacing w:after="0" w:line="93" w:lineRule="exact"/>
        <w:rPr>
          <w:rFonts w:ascii="Times New Roman" w:cs="Times New Roman" w:eastAsia="Times New Roman" w:hAnsi="Times New Roman"/>
          <w:sz w:val="14"/>
          <w:szCs w:val="14"/>
          <w:color w:val="auto"/>
        </w:rPr>
      </w:pPr>
    </w:p>
    <w:p>
      <w:pPr>
        <w:ind w:left="1020" w:right="40" w:hanging="442"/>
        <w:spacing w:after="0" w:line="270"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regulatory authorities may disagree with our clinical trial design, including with respect to dosing levels and dose selection administered in our planned clinical trials, which may delay or prevent us from initiating our clinical trials with our originally intended trial design or impact our ability to demonstrate favorable safety or efficacy traits;</w:t>
      </w:r>
    </w:p>
    <w:p>
      <w:pPr>
        <w:spacing w:after="0" w:line="50" w:lineRule="exact"/>
        <w:rPr>
          <w:rFonts w:ascii="Times New Roman" w:cs="Times New Roman" w:eastAsia="Times New Roman" w:hAnsi="Times New Roman"/>
          <w:sz w:val="14"/>
          <w:szCs w:val="14"/>
          <w:color w:val="auto"/>
        </w:rPr>
      </w:pPr>
    </w:p>
    <w:p>
      <w:pPr>
        <w:ind w:left="1020" w:right="120" w:hanging="442"/>
        <w:spacing w:after="0" w:line="287"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spacing w:after="0" w:line="39" w:lineRule="exact"/>
        <w:rPr>
          <w:rFonts w:ascii="Times New Roman" w:cs="Times New Roman" w:eastAsia="Times New Roman" w:hAnsi="Times New Roman"/>
          <w:sz w:val="14"/>
          <w:szCs w:val="14"/>
          <w:color w:val="auto"/>
        </w:rPr>
      </w:pPr>
    </w:p>
    <w:p>
      <w:pPr>
        <w:ind w:left="1020" w:hanging="442"/>
        <w:spacing w:after="0" w:line="270"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required for clinical trials of any product candidates may be larger than we anticipate or subjects may drop out of these clinical trials or fail to return for post-treatment follow-up at a higher rate than we anticipate, or we may have enrollment issues due to disruptions related to uncertainty caused by geopolitical events (such as recent military action against Iran) or health pandemics;</w:t>
      </w:r>
    </w:p>
    <w:p>
      <w:pPr>
        <w:spacing w:after="0" w:line="50" w:lineRule="exact"/>
        <w:rPr>
          <w:rFonts w:ascii="Times New Roman" w:cs="Times New Roman" w:eastAsia="Times New Roman" w:hAnsi="Times New Roman"/>
          <w:sz w:val="14"/>
          <w:szCs w:val="14"/>
          <w:color w:val="auto"/>
        </w:rPr>
      </w:pPr>
    </w:p>
    <w:p>
      <w:pPr>
        <w:ind w:left="1020" w:right="80" w:hanging="442"/>
        <w:spacing w:after="0" w:line="287"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39" w:lineRule="exact"/>
        <w:rPr>
          <w:rFonts w:ascii="Times New Roman" w:cs="Times New Roman" w:eastAsia="Times New Roman" w:hAnsi="Times New Roman"/>
          <w:sz w:val="14"/>
          <w:szCs w:val="14"/>
          <w:color w:val="auto"/>
        </w:rPr>
      </w:pPr>
    </w:p>
    <w:p>
      <w:pPr>
        <w:ind w:left="1020" w:right="200" w:hanging="442"/>
        <w:spacing w:after="0" w:line="287"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or interruptions to our manufacturing supply chain, or we could suffer delays in reaching, or we may fail to reach, agreement on acceptable terms with third-party service providers on whom we rely;</w:t>
      </w:r>
    </w:p>
    <w:p>
      <w:pPr>
        <w:spacing w:after="0" w:line="39" w:lineRule="exact"/>
        <w:rPr>
          <w:rFonts w:ascii="Times New Roman" w:cs="Times New Roman" w:eastAsia="Times New Roman" w:hAnsi="Times New Roman"/>
          <w:sz w:val="14"/>
          <w:szCs w:val="14"/>
          <w:color w:val="auto"/>
        </w:rPr>
      </w:pPr>
    </w:p>
    <w:p>
      <w:pPr>
        <w:ind w:left="1020" w:right="40" w:hanging="442"/>
        <w:spacing w:after="0" w:line="287"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delays and interruptions to our clinical trials could extend the duration of the trials and increase the overall costs to finish the trials as our fixed costs are not substantially reduced during delays;</w:t>
      </w:r>
    </w:p>
    <w:p>
      <w:pPr>
        <w:spacing w:after="0" w:line="39" w:lineRule="exact"/>
        <w:rPr>
          <w:rFonts w:ascii="Times New Roman" w:cs="Times New Roman" w:eastAsia="Times New Roman" w:hAnsi="Times New Roman"/>
          <w:sz w:val="14"/>
          <w:szCs w:val="14"/>
          <w:color w:val="auto"/>
        </w:rPr>
      </w:pPr>
    </w:p>
    <w:p>
      <w:pPr>
        <w:ind w:left="1020" w:right="320" w:hanging="442"/>
        <w:spacing w:after="0" w:line="287"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elect to, or regulators, IRBs,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the financial resources available to begin and complete the planned trials, or the cost of clinical trials of any product candidates may be greater than we anticipate;</w:t>
      </w:r>
    </w:p>
    <w:p>
      <w:pPr>
        <w:spacing w:after="0" w:line="93" w:lineRule="exact"/>
        <w:rPr>
          <w:rFonts w:ascii="Times New Roman" w:cs="Times New Roman" w:eastAsia="Times New Roman" w:hAnsi="Times New Roman"/>
          <w:sz w:val="14"/>
          <w:szCs w:val="14"/>
          <w:color w:val="auto"/>
        </w:rPr>
      </w:pPr>
    </w:p>
    <w:p>
      <w:pPr>
        <w:ind w:left="1020" w:right="440" w:hanging="442"/>
        <w:spacing w:after="0" w:line="287"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product candidates or other materials necessary to conduct clinical trials of our product candidates may be insufficient or inadequate to initiate or complete a given clinical trial; and</w:t>
      </w:r>
    </w:p>
    <w:p>
      <w:pPr>
        <w:spacing w:after="0" w:line="39" w:lineRule="exact"/>
        <w:rPr>
          <w:rFonts w:ascii="Times New Roman" w:cs="Times New Roman" w:eastAsia="Times New Roman" w:hAnsi="Times New Roman"/>
          <w:sz w:val="14"/>
          <w:szCs w:val="14"/>
          <w:color w:val="auto"/>
        </w:rPr>
      </w:pPr>
    </w:p>
    <w:p>
      <w:pPr>
        <w:ind w:left="1020" w:right="320" w:hanging="442"/>
        <w:spacing w:after="0" w:line="287" w:lineRule="auto"/>
        <w:tabs>
          <w:tab w:leader="none" w:pos="10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other comparable foreign regulatory authorities may require us to submit additional data such as long-term toxicology studies, or impose other requirements before permitting us to initiate a clinical trial.</w:t>
      </w:r>
    </w:p>
    <w:p>
      <w:pPr>
        <w:spacing w:after="0" w:line="39"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242424"/>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In addition, significant clinical trial delays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242424"/>
        </w:rPr>
        <w:t>operations. Any delays in our clinical development programs may harm our business, financial condition, and results of operations significantly.</w:t>
      </w:r>
    </w:p>
    <w:p>
      <w:pPr>
        <w:spacing w:after="0" w:line="92" w:lineRule="exact"/>
        <w:rPr>
          <w:sz w:val="20"/>
          <w:szCs w:val="20"/>
          <w:color w:val="auto"/>
        </w:rPr>
      </w:pPr>
    </w:p>
    <w:p>
      <w:pPr>
        <w:ind w:right="12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PLN-101095 or any of our other product candidates.</w:t>
      </w:r>
    </w:p>
    <w:p>
      <w:pPr>
        <w:spacing w:after="0" w:line="37"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242424"/>
        </w:rPr>
        <w:t>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For example, in March 2025, we announced that we were discontinuing the BEACON-IPF Phase 2b trial following a prespecified data review and recommendation by the trial’s independent DSMB, as well as a secondary review and recommendation by an outside expert panel due to an imbalance in safety events between treatment and placebo groups. We subsequently announced in June 2025 that we were discontinuing development of bexotegrast in IPF. We may also encounter unexpected drug-drug interactions in our ongoing or planned trials, and may be required to further test our candidates, including additional drug-drug interaction studies, which may be expensive, time consuming and result in delays to our programs.</w:t>
      </w:r>
    </w:p>
    <w:p>
      <w:pPr>
        <w:spacing w:after="0" w:line="61" w:lineRule="exact"/>
        <w:rPr>
          <w:sz w:val="20"/>
          <w:szCs w:val="20"/>
          <w:color w:val="auto"/>
        </w:rPr>
      </w:pPr>
    </w:p>
    <w:p>
      <w:pPr>
        <w:jc w:val="both"/>
        <w:ind w:right="100" w:firstLine="318"/>
        <w:spacing w:after="0" w:line="270" w:lineRule="auto"/>
        <w:rPr>
          <w:sz w:val="20"/>
          <w:szCs w:val="20"/>
          <w:color w:val="auto"/>
        </w:rPr>
      </w:pPr>
      <w:r>
        <w:rPr>
          <w:rFonts w:ascii="Times New Roman" w:cs="Times New Roman" w:eastAsia="Times New Roman" w:hAnsi="Times New Roman"/>
          <w:sz w:val="14"/>
          <w:szCs w:val="14"/>
          <w:color w:val="242424"/>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96" w:lineRule="exact"/>
        <w:rPr>
          <w:sz w:val="20"/>
          <w:szCs w:val="20"/>
          <w:color w:val="auto"/>
        </w:rPr>
      </w:pPr>
    </w:p>
    <w:p>
      <w:pPr>
        <w:ind w:right="320" w:firstLine="318"/>
        <w:spacing w:after="0" w:line="287" w:lineRule="auto"/>
        <w:rPr>
          <w:sz w:val="20"/>
          <w:szCs w:val="20"/>
          <w:color w:val="auto"/>
        </w:rPr>
      </w:pPr>
      <w:r>
        <w:rPr>
          <w:rFonts w:ascii="Times New Roman" w:cs="Times New Roman" w:eastAsia="Times New Roman" w:hAnsi="Times New Roman"/>
          <w:sz w:val="14"/>
          <w:szCs w:val="14"/>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39" w:lineRule="exact"/>
        <w:rPr>
          <w:sz w:val="20"/>
          <w:szCs w:val="20"/>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and exclusion criteria defined in the protocol;</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trial’s primary endpoints and the process for identifying patients;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or availability of patients to participate in our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trial sites;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93" w:lineRule="exact"/>
        <w:rPr>
          <w:rFonts w:ascii="Times New Roman" w:cs="Times New Roman" w:eastAsia="Times New Roman" w:hAnsi="Times New Roman"/>
          <w:sz w:val="14"/>
          <w:szCs w:val="14"/>
          <w:color w:val="auto"/>
        </w:rPr>
      </w:pPr>
    </w:p>
    <w:p>
      <w:pPr>
        <w:ind w:left="1020" w:right="500" w:hanging="442"/>
        <w:spacing w:after="0" w:line="287" w:lineRule="auto"/>
        <w:tabs>
          <w:tab w:leader="none" w:pos="10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competing commercially available therapies and other competing product candidates’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informed consents;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clinical trials will drop out of the trials before completion.</w:t>
      </w:r>
    </w:p>
    <w:p>
      <w:pPr>
        <w:spacing w:after="0" w:line="94"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Our clinical trials compete with other clinical trials for product candidates that are in the same therapeutic areas as PLN-101095 or our other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56"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Additionally, the FDA may modify or enhance trial requirements, which may affect enrollment. For example, the FDA has published guidance documents and rulemaking on informed consent. The FDA’s guidance and rulemaking may present new or evolving requirements for informed consent which may affect recruitment and retention of patients in clinical trials. Also, we may have enrollment issues due to clinical site disruptions related to uncertainty caused by geopolitical events (such as recent military action against Iran) or health pandemics. Effects on recruitment and retention of</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patients or site disruptions may hinder or delay a clinical trial and could cause a significant setback to an applicable program.</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design or execution of our ongoing and future clinical trials may not support marketing approval.</w:t>
      </w:r>
    </w:p>
    <w:p>
      <w:pPr>
        <w:spacing w:after="0" w:line="96"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The design or execution of a clinical trial can determine whether its results will support marketing approval, and flaws in the design or execution of a clinical trial may not become apparent until the clinical trial is well advanced.</w:t>
      </w:r>
    </w:p>
    <w:p>
      <w:pPr>
        <w:spacing w:after="0" w:line="39"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PLN-101095 or our other product candidates. For example, in March 2025, we announced that we were discontinuing the BEACON-IPF Phase 2b trial following a prespecified data review and recommendation by the trial’s independent DSMB, as well as a secondary review and recommendation by an outside expert panel. We subsequently announced in June 2025 that we were discontinuing our development of bexotegrast in IPF.</w:t>
      </w:r>
    </w:p>
    <w:p>
      <w:pPr>
        <w:spacing w:after="0" w:line="61"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4"/>
          <w:szCs w:val="14"/>
          <w:color w:val="auto"/>
        </w:rPr>
        <w:t>Further, the FDA and comparable foreign regulatory authorities have substantial discretion in the approval process and in determining when or whether marketing approval will be obtained for PLN-101095 or any of our other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Moreover, clinical data are often susceptible to varying interpretations and analyses, including by the FDA, comparable foreign regulatory authorities, IRBs or DSMBs interpreting such data. Further, requirements regarding clinical trial data may evolve and the FDA has published draft guidance on unification of standards for clinical trial data. Changes to data requirements may cause the FDA or comparable foreign regulatory authorities to disagree with data from preclinical studies or clinical trials, and may require further studies.</w:t>
      </w:r>
    </w:p>
    <w:p>
      <w:pPr>
        <w:spacing w:after="0" w:line="61"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In addition, any of these regulatory authorities may change requirements for the approval of a product candidate even after reviewing and providing comments or advice on a protocol for a pivotal Phase 3 or registrational clinical trial. Further,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PLN-101095 or our other product candidates, if approved.</w:t>
      </w:r>
    </w:p>
    <w:p>
      <w:pPr>
        <w:spacing w:after="0" w:line="5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Delays in patient enrollment may result in increased costs or may affect the timing or outcome of our future clinical trials, which could prevent completion of these trials and adversely affect our ability to advance the development of PLN-101095 or our other product candidates.</w:t>
      </w:r>
    </w:p>
    <w:p>
      <w:pPr>
        <w:spacing w:after="0" w:line="37" w:lineRule="exact"/>
        <w:rPr>
          <w:sz w:val="20"/>
          <w:szCs w:val="20"/>
          <w:color w:val="auto"/>
        </w:rPr>
      </w:pPr>
    </w:p>
    <w:p>
      <w:pPr>
        <w:ind w:right="22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obtain and maintain orphan drug designation for our product candidates and, even if we obtain such designation, we may not be able to realize the benefits of such designation, including potential marketing exclusivity of our product candidates, if approved.</w:t>
      </w:r>
    </w:p>
    <w:p>
      <w:pPr>
        <w:spacing w:after="0" w:line="3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4"/>
          <w:szCs w:val="14"/>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in the EU, and Regulation 50G of the Human Medicines Regulation 2012 in the U.K.,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territory of the EU or U.K. (as applicable) when the application is made, or without the benefits derived from orphan status, it must be unlikely that the marketing of the medicine would generate sufficient return in the EU or U.K. to justify the investment needed for its development; and</w:t>
      </w:r>
    </w:p>
    <w:p>
      <w:pPr>
        <w:spacing w:after="0" w:line="4" w:lineRule="exact"/>
        <w:rPr>
          <w:sz w:val="20"/>
          <w:szCs w:val="20"/>
          <w:color w:val="auto"/>
        </w:rPr>
      </w:pPr>
    </w:p>
    <w:p>
      <w:pPr>
        <w:jc w:val="both"/>
        <w:ind w:right="80" w:firstLine="5"/>
        <w:spacing w:after="0" w:line="259" w:lineRule="auto"/>
        <w:tabs>
          <w:tab w:leader="none" w:pos="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exists no satisfactory method of diagnosis, prevention or treatment of such condition authorized for marketing in the EU or U.K.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 The authorities reassess then whether the product still fulfills the criteria for orphan status.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3" w:name="page34"/>
    <w:bookmarkEnd w:id="33"/>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Should we seek orphan drug designation for one or more of our future product candidates, we may be unable to obtain and maintain such designation. Even if we obtain such designation,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51"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4"/>
          <w:szCs w:val="14"/>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medicinal products for human use. On December 11, 2025, the European Council and Parliament reached a provisional agreement on the proposal. The provisional agreement is now subject to formal approval by the European Parliament and the Council before being formally adopted and entering into force upon publication in the EU's Official Journal. If made into law, the proposals will revise and replace the existing general pharmaceutical legislation and may make it more difficult to obtain orphan designation in the EEA.</w:t>
      </w:r>
    </w:p>
    <w:p>
      <w:pPr>
        <w:spacing w:after="0" w:line="65"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spacing w:after="0" w:line="54" w:lineRule="exact"/>
        <w:rPr>
          <w:sz w:val="20"/>
          <w:szCs w:val="20"/>
          <w:color w:val="auto"/>
        </w:rPr>
      </w:pPr>
    </w:p>
    <w:p>
      <w:pPr>
        <w:ind w:right="8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Fast Track designation by the FDA, even if granted for current or future product candidates, may not lead to a faster development or regulatory review or approval process and does not increase the likelihood that PLN-101095 or our other product candidates will receive marketing approval.</w:t>
      </w:r>
    </w:p>
    <w:p>
      <w:pPr>
        <w:spacing w:after="0" w:line="37"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We may seek Fast Track designation for PLN-101095 or our other future product candidates.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or pathways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Changes in methods of product candidate manufacturing or formulation may result in additional costs or delay.</w:t>
      </w:r>
    </w:p>
    <w:p>
      <w:pPr>
        <w:spacing w:after="0" w:line="96" w:lineRule="exact"/>
        <w:rPr>
          <w:sz w:val="20"/>
          <w:szCs w:val="20"/>
          <w:color w:val="auto"/>
        </w:rPr>
      </w:pPr>
    </w:p>
    <w:p>
      <w:pPr>
        <w:jc w:val="both"/>
        <w:ind w:right="20" w:firstLine="318"/>
        <w:spacing w:after="0" w:line="261" w:lineRule="auto"/>
        <w:rPr>
          <w:sz w:val="20"/>
          <w:szCs w:val="20"/>
          <w:color w:val="auto"/>
        </w:rPr>
      </w:pPr>
      <w:r>
        <w:rPr>
          <w:rFonts w:ascii="Times New Roman" w:cs="Times New Roman" w:eastAsia="Times New Roman" w:hAnsi="Times New Roman"/>
          <w:sz w:val="14"/>
          <w:szCs w:val="14"/>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PLN-101095 or one of our other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4" w:name="page35"/>
    <w:bookmarkEnd w:id="34"/>
    <w:p>
      <w:pPr>
        <w:ind w:firstLine="318"/>
        <w:spacing w:after="0" w:line="258" w:lineRule="auto"/>
        <w:rPr>
          <w:sz w:val="20"/>
          <w:szCs w:val="20"/>
          <w:color w:val="auto"/>
        </w:rPr>
      </w:pPr>
      <w:r>
        <w:rPr>
          <w:rFonts w:ascii="Times New Roman" w:cs="Times New Roman" w:eastAsia="Times New Roman" w:hAnsi="Times New Roman"/>
          <w:sz w:val="14"/>
          <w:szCs w:val="14"/>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PLN-101095 or any of our other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62" w:lineRule="exact"/>
        <w:rPr>
          <w:sz w:val="20"/>
          <w:szCs w:val="20"/>
          <w:color w:val="auto"/>
        </w:rPr>
      </w:pPr>
    </w:p>
    <w:p>
      <w:pPr>
        <w:jc w:val="both"/>
        <w:ind w:right="40" w:firstLine="318"/>
        <w:spacing w:after="0" w:line="270" w:lineRule="auto"/>
        <w:rPr>
          <w:sz w:val="20"/>
          <w:szCs w:val="20"/>
          <w:color w:val="auto"/>
        </w:rPr>
      </w:pPr>
      <w:r>
        <w:rPr>
          <w:rFonts w:ascii="Times New Roman" w:cs="Times New Roman" w:eastAsia="Times New Roman" w:hAnsi="Times New Roman"/>
          <w:sz w:val="14"/>
          <w:szCs w:val="14"/>
          <w:color w:val="auto"/>
        </w:rPr>
        <w:t>Additionally, the actual cost to manufacture and supply our product candidates could be greater than we expect and could materially and adversely affect the commercial viability of our product candidates. Excessive manufacturing costs could make our product candidates too expensive to compete with alternative products or therapies, or might result in third-party payors declining to cover our products or setting coverage levels too low for us or a strategic collaborator to earn a profit from the commercialization of one or more of our products.</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identify or discover additional product candidates in the future.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research programs may initially show promise in identifying potential product candidates, yet fail to yield product candidates for clinical development for a number of reasons, including:</w:t>
      </w:r>
    </w:p>
    <w:p>
      <w:pPr>
        <w:spacing w:after="0" w:line="94" w:lineRule="exact"/>
        <w:rPr>
          <w:sz w:val="20"/>
          <w:szCs w:val="20"/>
          <w:color w:val="auto"/>
        </w:rPr>
      </w:pPr>
    </w:p>
    <w:p>
      <w:pPr>
        <w:ind w:left="1020" w:hanging="44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design such product candidates with the pharmacological properties that we desire or attractive pharmacokinetics; or</w:t>
      </w:r>
    </w:p>
    <w:p>
      <w:pPr>
        <w:spacing w:after="0" w:line="93" w:lineRule="exact"/>
        <w:rPr>
          <w:rFonts w:ascii="Times New Roman" w:cs="Times New Roman" w:eastAsia="Times New Roman" w:hAnsi="Times New Roman"/>
          <w:sz w:val="14"/>
          <w:szCs w:val="14"/>
          <w:color w:val="auto"/>
        </w:rPr>
      </w:pPr>
    </w:p>
    <w:p>
      <w:pPr>
        <w:ind w:left="1020" w:right="60" w:hanging="442"/>
        <w:spacing w:after="0" w:line="287" w:lineRule="auto"/>
        <w:tabs>
          <w:tab w:leader="none" w:pos="10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39"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Research programs and efforts to identify new product candidates require substantial technical, financial, and human resources. While we continue to evaluate a range of opportunities to create stockholder value, if we are unable to identify suitable compounds for preclinical and clinical development or other opportunities to create stockholder value, we may experience harm to our business, financial position and stock price.</w:t>
      </w:r>
    </w:p>
    <w:p>
      <w:pPr>
        <w:spacing w:after="0" w:line="49" w:lineRule="exact"/>
        <w:rPr>
          <w:sz w:val="20"/>
          <w:szCs w:val="20"/>
          <w:color w:val="auto"/>
        </w:rPr>
      </w:pPr>
    </w:p>
    <w:p>
      <w:pPr>
        <w:ind w:right="36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37"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58"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49" w:lineRule="exact"/>
        <w:rPr>
          <w:sz w:val="20"/>
          <w:szCs w:val="20"/>
          <w:color w:val="auto"/>
        </w:rPr>
      </w:pPr>
    </w:p>
    <w:p>
      <w:pPr>
        <w:ind w:right="40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product liability lawsuits are brought against us, we may incur substantial financial or other liabilities and may be required to limit commercialization of PLN-101095 or our other product candidates.</w:t>
      </w:r>
    </w:p>
    <w:p>
      <w:pPr>
        <w:spacing w:after="0" w:line="37"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We face an inherent risk of product liability as a result of testing any of PLN-101095 or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auto"/>
        </w:rPr>
        <w:t>candidates. Even successful defense would require significant financial and management resources. Regardless of the merits or eventual outcome, liability claims may result in:</w:t>
      </w:r>
    </w:p>
    <w:p>
      <w:pPr>
        <w:spacing w:after="0" w:line="94" w:lineRule="exact"/>
        <w:rPr>
          <w:sz w:val="20"/>
          <w:szCs w:val="20"/>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bring a product candidate to the market;</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 and inability to continue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by regulators;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injunctions or criminal penalties;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the related litigation;</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time and our resources;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exhaustion of any available insurance and our capital resources;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 candidate, if approved;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in our share price.</w:t>
      </w:r>
    </w:p>
    <w:p>
      <w:pPr>
        <w:spacing w:after="0" w:line="94"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4"/>
          <w:szCs w:val="14"/>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PLN-101095 and our other product candidates continue clinical development and as additional product candidates may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face substantial competition, which may result in others discovering, developing, or commercializing products before or more successfully than us.</w:t>
      </w:r>
    </w:p>
    <w:p>
      <w:pPr>
        <w:spacing w:after="0" w:line="9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development and commercialization of new drug products is highly competitive. We may face competition with respect to PLN-101095 and any other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56" w:lineRule="exact"/>
        <w:rPr>
          <w:sz w:val="20"/>
          <w:szCs w:val="20"/>
          <w:color w:val="auto"/>
        </w:rPr>
      </w:pPr>
    </w:p>
    <w:p>
      <w:pPr>
        <w:jc w:val="both"/>
        <w:ind w:right="100" w:firstLine="318"/>
        <w:spacing w:after="0" w:line="270" w:lineRule="auto"/>
        <w:rPr>
          <w:sz w:val="20"/>
          <w:szCs w:val="20"/>
          <w:color w:val="auto"/>
        </w:rPr>
      </w:pPr>
      <w:r>
        <w:rPr>
          <w:rFonts w:ascii="Times New Roman" w:cs="Times New Roman" w:eastAsia="Times New Roman" w:hAnsi="Times New Roman"/>
          <w:sz w:val="14"/>
          <w:szCs w:val="14"/>
          <w:color w:val="auto"/>
        </w:rPr>
        <w:t>Many of our current or potential competitors, such as AbbVie Inc., Bicara Therapeutics Inc., Corbus Pharmaceuticals Holdings, Inc. and Pfizer Inc.,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51"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4"/>
          <w:szCs w:val="14"/>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as well, which could give such products significant regulatory and market timing advantages over product candidates that we may identify. Our competitors also may obtain FDA or other regulatory approval for their products more rapidly than we may obtain approval for ours, which could result in our competitors establishing a strong market position before we are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6" w:name="page37"/>
    <w:bookmarkEnd w:id="36"/>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able to enter the market. Additionally, products or technologies developed by our competitors may render our potential product candidates uneconomical or obsolete and we may not be successful in marketing PLN-101095 or any other product candidates we may develop against competitors. The availability of competitive products could limit the demand, and the price we are able to charge, for any products that we may develop and commercialize.</w:t>
      </w:r>
    </w:p>
    <w:p>
      <w:pPr>
        <w:spacing w:after="0" w:line="49" w:lineRule="exact"/>
        <w:rPr>
          <w:sz w:val="20"/>
          <w:szCs w:val="20"/>
          <w:color w:val="auto"/>
        </w:rPr>
      </w:pPr>
    </w:p>
    <w:p>
      <w:pPr>
        <w:ind w:right="42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biopharmaceutical industry is subject to extensive regulatory obligations and policies that may be subject to significant and abrupt change, including due to judicial challenges, election cycles, and resulting regulatory updates and changes in policy priorities.</w:t>
      </w:r>
    </w:p>
    <w:p>
      <w:pPr>
        <w:spacing w:after="0" w:line="37" w:lineRule="exact"/>
        <w:rPr>
          <w:sz w:val="20"/>
          <w:szCs w:val="20"/>
          <w:color w:val="auto"/>
        </w:rPr>
      </w:pPr>
    </w:p>
    <w:p>
      <w:pPr>
        <w:ind w:right="140" w:firstLine="318"/>
        <w:spacing w:after="0" w:line="268" w:lineRule="auto"/>
        <w:rPr>
          <w:sz w:val="20"/>
          <w:szCs w:val="20"/>
          <w:color w:val="auto"/>
        </w:rPr>
      </w:pPr>
      <w:r>
        <w:rPr>
          <w:rFonts w:ascii="Times New Roman" w:cs="Times New Roman" w:eastAsia="Times New Roman" w:hAnsi="Times New Roman"/>
          <w:sz w:val="14"/>
          <w:szCs w:val="14"/>
          <w:color w:val="auto"/>
        </w:rPr>
        <w:t>In June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the U.S. Department of Health and Human Services (HHS), Centers for Medicare and Medicaid Services (CMS) and other agencies with</w:t>
      </w:r>
    </w:p>
    <w:p>
      <w:pPr>
        <w:spacing w:after="0" w:line="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significant oversight of the biopharmaceutical industry. The new framework may increase both the frequency of such challenges and their odds of success by eliminating one way in which the government previously prevailed in such cases. As a result, significant regulatory policies may be subject to increased litigation and judicial scrutiny.</w:t>
      </w:r>
    </w:p>
    <w:p>
      <w:pPr>
        <w:spacing w:after="0" w:line="39"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In addition, federal agency activities, priorities, leadership, policies, rulemaking, communications, spending, and staffing may be significantly impacted by election cycles and legislative developments. For example, the current U.S. presidential administration has committed to significantly reduce government spending through cuts to federal healthcare programs and reductions in the workforces of key government agencies, such as HHS, FDA, and CMS. Efforts by the current administration to further limit federal agency budgets may result in reduced agency workforces and/or changes in agency operations, which may lead to slower response times, less guidance and longer review periods, potentially affecting our ability to progress development of our product candidates or obtain regulatory approval for our product candidates. The administration and government agencies have also made abrupt announcements about new or changed regulatory policies, such as policies related to the use of artificial intelligence to review product applications. And, a federal government shutdown may prevent the FDA or 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longer review periods, unexpected delays, increased costs or other negative impacts on our business that are difficult to predict. These changes may potentially affect our ability to develop our product candidates or obtain regulatory approval of our product candidates.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Risks Related to Marketing, Reimbursement, Healthcare Regulations and Ongoing Regulatory Compliance</w:t>
      </w:r>
    </w:p>
    <w:p>
      <w:pPr>
        <w:spacing w:after="0" w:line="94" w:lineRule="exact"/>
        <w:rPr>
          <w:sz w:val="20"/>
          <w:szCs w:val="20"/>
          <w:color w:val="auto"/>
        </w:rPr>
      </w:pPr>
    </w:p>
    <w:p>
      <w:pPr>
        <w:ind w:right="28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37"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Even if PLN-101095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degree of market acceptance of PLN-101095 or any other product candidate, if approved for commercial sale, will depend on a number of factors, including:</w:t>
      </w:r>
    </w:p>
    <w:p>
      <w:pPr>
        <w:spacing w:after="0" w:line="94" w:lineRule="exact"/>
        <w:rPr>
          <w:sz w:val="20"/>
          <w:szCs w:val="20"/>
          <w:color w:val="auto"/>
        </w:rPr>
      </w:pPr>
    </w:p>
    <w:p>
      <w:pPr>
        <w:ind w:left="1020" w:hanging="44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efficacy and potential advantages compared to alternative treatments;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offer our products, if approved, for sale at competitive prices;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convenience and ease of administration compared to alternative treatments;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therapies and of physicians to prescribe these therapies;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recommendations with respect to our product candidates in guidelines published by various scientific organizations applicable to us and our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health technology assessment (HTA) in jurisdictions where required;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and distribution support;</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37" w:name="page38"/>
    <w:bookmarkEnd w:id="37"/>
    <w:p>
      <w:pPr>
        <w:ind w:left="1020" w:hanging="44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sufficient third-party coverage and adequate reimbursement and a positive recommendation by health technology bodies;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94"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If government and other third-party payors do not provide coverage and adequate reimbursement levels for any products we commercialize, market acceptance and commercial success would be reduced.</w:t>
      </w:r>
    </w:p>
    <w:p>
      <w:pPr>
        <w:spacing w:after="0" w:line="37" w:lineRule="exact"/>
        <w:rPr>
          <w:sz w:val="20"/>
          <w:szCs w:val="20"/>
          <w:color w:val="auto"/>
        </w:rPr>
      </w:pPr>
    </w:p>
    <w:p>
      <w:pPr>
        <w:ind w:right="6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Coverage and reimbursement may be limited or unavailable or pricing unfavorable in certain market segments for our product candidates, if approved, which could make it difficult for us to sell PLN-101095 or any other product candidates profitably.</w:t>
      </w:r>
    </w:p>
    <w:p>
      <w:pPr>
        <w:spacing w:after="0" w:line="37"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spacing w:after="0" w:line="62"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39" w:lineRule="exact"/>
        <w:rPr>
          <w:sz w:val="20"/>
          <w:szCs w:val="20"/>
          <w:color w:val="auto"/>
        </w:rPr>
      </w:pPr>
    </w:p>
    <w:p>
      <w:pPr>
        <w:ind w:left="1020" w:hanging="44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the United States as well as foreign jurisdictions, no uniform policy of coverage and reimbursement for products exists among third-party payors.</w:t>
      </w:r>
    </w:p>
    <w:p>
      <w:pPr>
        <w:spacing w:after="0" w:line="9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PLN-101095 or our other product candidates, once approved. It is difficult to predict at this time what third-party payors will decide with respect to the coverage and reimbursement for PLN-101095 or our other product candidates, if approved.</w:t>
      </w:r>
    </w:p>
    <w:p>
      <w:pPr>
        <w:spacing w:after="0" w:line="61"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payors, including Medicare, may question the coverage of, and challenge or seek to lower the prices charged for, medical products, and many third-party payors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or by future laws, regulations, or guidance seeking to limit prescription drug prices. If we are unable to promptly obtain coverage and adequate reimbursement rates from both government-funded and private payors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8" w:name="page39"/>
    <w:bookmarkEnd w:id="38"/>
    <w:p>
      <w:pPr>
        <w:jc w:val="both"/>
        <w:ind w:right="200" w:firstLine="318"/>
        <w:spacing w:after="0" w:line="264" w:lineRule="auto"/>
        <w:rPr>
          <w:sz w:val="20"/>
          <w:szCs w:val="20"/>
          <w:color w:val="auto"/>
        </w:rPr>
      </w:pPr>
      <w:r>
        <w:rPr>
          <w:rFonts w:ascii="Times New Roman" w:cs="Times New Roman" w:eastAsia="Times New Roman" w:hAnsi="Times New Roman"/>
          <w:sz w:val="14"/>
          <w:szCs w:val="14"/>
          <w:color w:val="auto"/>
        </w:rPr>
        <w:t>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PLN-101095 or any other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w:t>
      </w:r>
    </w:p>
    <w:p>
      <w:pPr>
        <w:spacing w:after="0" w:line="54" w:lineRule="exact"/>
        <w:rPr>
          <w:sz w:val="20"/>
          <w:szCs w:val="20"/>
          <w:color w:val="auto"/>
        </w:rPr>
      </w:pPr>
    </w:p>
    <w:p>
      <w:pPr>
        <w:ind w:right="10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obtain FDA approval of PLN-101095 or any of our other product candidates, we may never obtain approval or commercialize such products outside of the United States, which would limit our ability to realize their full market potential.</w:t>
      </w:r>
    </w:p>
    <w:p>
      <w:pPr>
        <w:spacing w:after="0" w:line="37" w:lineRule="exact"/>
        <w:rPr>
          <w:sz w:val="20"/>
          <w:szCs w:val="20"/>
          <w:color w:val="auto"/>
        </w:rPr>
      </w:pPr>
    </w:p>
    <w:p>
      <w:pPr>
        <w:ind w:right="80" w:firstLine="318"/>
        <w:spacing w:after="0" w:line="257" w:lineRule="auto"/>
        <w:rPr>
          <w:sz w:val="20"/>
          <w:szCs w:val="20"/>
          <w:color w:val="auto"/>
        </w:rPr>
      </w:pPr>
      <w:r>
        <w:rPr>
          <w:rFonts w:ascii="Times New Roman" w:cs="Times New Roman" w:eastAsia="Times New Roman" w:hAnsi="Times New Roman"/>
          <w:sz w:val="14"/>
          <w:szCs w:val="14"/>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5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51"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61" w:lineRule="exact"/>
        <w:rPr>
          <w:sz w:val="20"/>
          <w:szCs w:val="20"/>
          <w:color w:val="auto"/>
        </w:rPr>
      </w:pPr>
    </w:p>
    <w:p>
      <w:pPr>
        <w:ind w:right="38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37"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this Report. In particular, the research of our product candidates, as well as the promotion, sales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9" w:name="page40"/>
    <w:bookmarkEnd w:id="39"/>
    <w:p>
      <w:pPr>
        <w:ind w:right="60"/>
        <w:spacing w:after="0" w:line="264" w:lineRule="auto"/>
        <w:rPr>
          <w:sz w:val="20"/>
          <w:szCs w:val="20"/>
          <w:color w:val="auto"/>
        </w:rPr>
      </w:pPr>
      <w:r>
        <w:rPr>
          <w:rFonts w:ascii="Times New Roman" w:cs="Times New Roman" w:eastAsia="Times New Roman" w:hAnsi="Times New Roman"/>
          <w:sz w:val="14"/>
          <w:szCs w:val="14"/>
          <w:color w:val="auto"/>
        </w:rPr>
        <w:t>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spacing w:after="0" w:line="56"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39"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The scope and enforcement of each of these laws is uncertain and subject to rapid change in the current environment. Ensuring business arrangements comply with applicable healthcare laws can be time- and resource-consuming.</w:t>
      </w:r>
    </w:p>
    <w:p>
      <w:pPr>
        <w:spacing w:after="0" w:line="39" w:lineRule="exact"/>
        <w:rPr>
          <w:sz w:val="20"/>
          <w:szCs w:val="20"/>
          <w:color w:val="auto"/>
        </w:rPr>
      </w:pPr>
    </w:p>
    <w:p>
      <w:pPr>
        <w:ind w:right="60" w:firstLine="318"/>
        <w:spacing w:after="0" w:line="257" w:lineRule="auto"/>
        <w:rPr>
          <w:sz w:val="20"/>
          <w:szCs w:val="20"/>
          <w:color w:val="auto"/>
        </w:rPr>
      </w:pPr>
      <w:r>
        <w:rPr>
          <w:rFonts w:ascii="Times New Roman" w:cs="Times New Roman" w:eastAsia="Times New Roman" w:hAnsi="Times New Roman"/>
          <w:sz w:val="14"/>
          <w:szCs w:val="14"/>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59" w:lineRule="exact"/>
        <w:rPr>
          <w:sz w:val="20"/>
          <w:szCs w:val="20"/>
          <w:color w:val="auto"/>
        </w:rPr>
      </w:pPr>
    </w:p>
    <w:p>
      <w:pPr>
        <w:jc w:val="both"/>
        <w:ind w:right="16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PLN-101095 or any other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3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If PLN-101095 or any of our other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spacing w:after="0" w:line="56" w:lineRule="exact"/>
        <w:rPr>
          <w:sz w:val="20"/>
          <w:szCs w:val="20"/>
          <w:color w:val="auto"/>
        </w:rPr>
      </w:pPr>
    </w:p>
    <w:p>
      <w:pPr>
        <w:ind w:right="280" w:firstLine="318"/>
        <w:spacing w:after="0" w:line="264" w:lineRule="auto"/>
        <w:rPr>
          <w:sz w:val="20"/>
          <w:szCs w:val="20"/>
          <w:color w:val="auto"/>
        </w:rPr>
      </w:pPr>
      <w:r>
        <w:rPr>
          <w:rFonts w:ascii="Times New Roman" w:cs="Times New Roman" w:eastAsia="Times New Roman" w:hAnsi="Times New Roman"/>
          <w:sz w:val="14"/>
          <w:szCs w:val="14"/>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56"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4"/>
          <w:szCs w:val="14"/>
          <w:color w:val="auto"/>
        </w:rPr>
        <w:t>Any regulatory approvals that we receive for PLN-101095 or our other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PLN-101095 or our other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PLN-101095 or our other product candidates, we will have to comply with requirements including submissions of safety and other post-marketing information and reports and registration.</w:t>
      </w:r>
    </w:p>
    <w:p>
      <w:pPr>
        <w:spacing w:after="0" w:line="61"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The FDA or any other foreign regulatory authority may impose consent decrees or withdraw approval if compliance with regulatory requirements and standards is not maintained or if problems occur after the product reaches the market.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0" w:name="page41"/>
    <w:bookmarkEnd w:id="40"/>
    <w:p>
      <w:pPr>
        <w:ind w:right="220"/>
        <w:spacing w:after="0" w:line="264" w:lineRule="auto"/>
        <w:rPr>
          <w:sz w:val="20"/>
          <w:szCs w:val="20"/>
          <w:color w:val="auto"/>
        </w:rPr>
      </w:pPr>
      <w:r>
        <w:rPr>
          <w:rFonts w:ascii="Times New Roman" w:cs="Times New Roman" w:eastAsia="Times New Roman" w:hAnsi="Times New Roman"/>
          <w:sz w:val="14"/>
          <w:szCs w:val="14"/>
          <w:color w:val="auto"/>
        </w:rPr>
        <w:t>Later discovery of previously unknown problems with PLN-101095 or our other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56" w:lineRule="exact"/>
        <w:rPr>
          <w:sz w:val="20"/>
          <w:szCs w:val="20"/>
          <w:color w:val="auto"/>
        </w:rPr>
      </w:pPr>
    </w:p>
    <w:p>
      <w:pPr>
        <w:ind w:left="1020" w:hanging="44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products, withdrawal of the product from the market or voluntary or mandatory product recalls;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revocation of license approvals;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or mandatory product recalls and related publicity requirements;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94"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PLN-101095 or our other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are evaluating PLN-101095, and may continue to evaluate or develop current or future candidates, in combination with other therapies, which would expose us to additional risks.</w:t>
      </w:r>
    </w:p>
    <w:p>
      <w:pPr>
        <w:spacing w:after="0" w:line="96"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4"/>
          <w:szCs w:val="14"/>
          <w:color w:val="auto"/>
        </w:rPr>
        <w:t>We are evaluating PLN-101095 as a monotherapy and in combination with pembrolizumab, a currently approved cancer therapy. The development of product candidates for use in combination with another product or product candidate may present challenges that are not faced for single agent product candidates. The FDA, EMA,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 are attributable to the combination therapy and not our current product candidates and any future product candidates. It is also possible that trial results for our product candidates may differ significantly if our product candidates are investigated with different combination therapies in different trials - for example, if we were to investigate our product candidates with one immunotherapy in one trial and a different immunotherapy in another. Moreover, following product approval, the FDA, EMA, or comparable foreign regulatory authorities may require that products used in conjunction with each other be cross-labeled for combined use. To the extent that we do not have rights to the other product, this may require us to work with a third party to satisfy such a requirement. Further, if third-party patents relating to existing therapies used in combination with our current and future product candidates were to expire, our competitors could develop and commercialize products or technologies similar or identical to ours. For example, several key patents related to pembrolizumab are scheduled to expire in the year 2028. Accordingly, we may be open to increased competition from new single-agent and combination therapy candidates, including therapies that include biosimilars and generics. We are not able to predict what the loss of patent protection for pembrolizumab will have on our prospects or our ability to successfully develop and commercialize our product candidates. Loss of patent protection for pembrolizumab could adversely affect our business, financial condition and prospects.</w:t>
      </w:r>
    </w:p>
    <w:p>
      <w:pPr>
        <w:spacing w:after="0" w:line="61"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If PLN-101095 or other current or future product candidates were to receive marketing approval or be commercialized for use in combination with other existing therapies, we would also be subject to the risks that the FDA or comparable foreign regulatory authorities could revoke approval of the therapy used in combination with any of our product candidates, or safety, efficacy, manufacturing or supply issues could arise with these existing therapies. It is also possible that the existing therapies with which our product candidates are approved for use could fall out of favor or be relegated to later lines of treatments. Any of the foregoing could result in the need to find other combination therapies for our product candidates or in our own products being removed from the market or being less commercially successful.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1" w:name="page42"/>
    <w:bookmarkEnd w:id="41"/>
    <w:p>
      <w:pPr>
        <w:ind w:right="520" w:firstLine="318"/>
        <w:spacing w:after="0" w:line="287" w:lineRule="auto"/>
        <w:rPr>
          <w:sz w:val="20"/>
          <w:szCs w:val="20"/>
          <w:color w:val="auto"/>
        </w:rPr>
      </w:pPr>
      <w:r>
        <w:rPr>
          <w:rFonts w:ascii="Times New Roman" w:cs="Times New Roman" w:eastAsia="Times New Roman" w:hAnsi="Times New Roman"/>
          <w:sz w:val="14"/>
          <w:szCs w:val="14"/>
          <w:color w:val="auto"/>
        </w:rPr>
        <w:t>We may also evaluate PLN-101095 in combination with one or more other cancer therapies that have not yet been approved for marketing by the FDA or comparable foreign regulatory authorities. We will not be able to market and sell PLN-101095 in combination with any such unapproved cancer therapies that do not ultimately obtain marketing approval.</w:t>
      </w:r>
    </w:p>
    <w:p>
      <w:pPr>
        <w:spacing w:after="0" w:line="39"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If third parties successfully develop and commercialize competitive combination therapies, the FDA or comparable foreign regulatory authorities do not approve or withdraw approval of these other therapies, or if safety, efficacy, commercial adoption, manufacturing, supply or other issues arise with the therapies we choose to evaluate in combination with PLN-101095 or other current or future product candidates, we may be unable to obtain approval of or successfully market PLN-101095 or one or all of the other current or future product candidates we develop. Additionally, if the third party providers of pembrolizumab or other currently approved or in development therapies used in combination with PLN-101095 or other current or future product candidates are unable to produce sufficient quantities for clinical trials or for commercialization of PLN-101095 or our other future product candidates, or if the cost of combination therapies is prohibitive, our development and commercialization efforts would be impaired, which would have an adverse effect on our business, financial condition, results of operation and growth prospects. In the event that any of our collaborators or suppliers cannot continue to supply their products on commercially reasonable terms, we may need to identify alternatives for accessing such immunotherapies. Additionally, should the supply of products from any collaborator or supplier be interrupted, delayed or otherwise be unavailable to us, our clinical trials may be delayed. In the event we are unable to source an alternative supply, or are unable to do so on commercially reasonable terms, our business, financial condition, results of operations, stock price and prospects may be materially harmed.</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Ongoing healthcare legislative and regulatory reform measures may have a material adverse effect on our business and results of operations.</w:t>
      </w:r>
    </w:p>
    <w:p>
      <w:pPr>
        <w:spacing w:after="0" w:line="9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In the United States and other jurisdictions, there have been, and we expect there will continue to be, a number of legislative and regulatory changes and proposed changes to the healthcare system that could affect our ability to profitably sell PLN-101095 or any other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PLN-101095 or another product candidate for which we obtain marketing approval; or (v) additional record-keeping requirements. If any such changes were to be imposed, they could adversely affect the operation of our business.</w:t>
      </w:r>
    </w:p>
    <w:p>
      <w:pPr>
        <w:spacing w:after="0" w:line="61"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In the United States, there have been and continue to be a number of legislative initiatives to contain healthcare costs, as detailed in Part I, Item 1 – Business – Government Regulation – Current and Future Healthcare Reform Legislation of this Report. For example, in August 2022, former President Biden signed into law the Inflation Reduction Act, or IRA, which implements substantial changes to the Medicare program, including drug pricing reforms and changes to the Medicare Part D benefit design.</w:t>
      </w:r>
    </w:p>
    <w:p>
      <w:pPr>
        <w:spacing w:after="0" w:line="8"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4"/>
          <w:szCs w:val="14"/>
          <w:color w:val="auto"/>
        </w:rPr>
        <w:t>Among other reforms, the IRA imposes inflation rebates on drug manufacturers for products reimbursed under Medicare Parts B and D if the prices of those products increase faster than inflation; implements changes to the Medicare Part D benefit that capped patient annual out-of-pocket spending at $2,000, while imposing new discount obligations for pharmaceutical manufacturers and payors; and establishes a “maximum fair price” for a fixed number of high spend pharmaceutical and biological products that are selected by CMS and covered under Medicare Parts B and D following a price negotiation process with the agency. Under the current statute, for a drug product to be considered a qualifying single source drug that may be selected by CMS for price negotiation under the “maximum fair price” program, at least seven years must have elapsed since the biological product was licensed by the FDA. For a biological product to be considered a qualifying single source drug that may be selected by CMS for price negotiation, at least eleven years must have elapsed since the biological product was licensed by the FDA</w:t>
      </w:r>
      <w:r>
        <w:rPr>
          <w:rFonts w:ascii="Times New Roman" w:cs="Times New Roman" w:eastAsia="Times New Roman" w:hAnsi="Times New Roman"/>
          <w:sz w:val="14"/>
          <w:szCs w:val="14"/>
          <w:color w:val="0000FF"/>
        </w:rPr>
        <w:t>.</w:t>
      </w:r>
      <w:r>
        <w:rPr>
          <w:rFonts w:ascii="Times New Roman" w:cs="Times New Roman" w:eastAsia="Times New Roman" w:hAnsi="Times New Roman"/>
          <w:sz w:val="14"/>
          <w:szCs w:val="14"/>
          <w:color w:val="auto"/>
        </w:rPr>
        <w:t xml:space="preserve"> However, the current administration has expressed interest in working with Congress to align the treatment of small molecule prescription drugs with that of biological products.</w:t>
      </w:r>
    </w:p>
    <w:p>
      <w:pPr>
        <w:spacing w:after="0" w:line="62"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When originally enacted, the IRA explicitly excluded from price negotiation orphan drugs designated for only one rare disease or condition and for which the only active approved indication is for such disease or condition. However, the One Big Beautiful Bill Act signed into law on July 4, 2025 amended the applicable statute to broaden the orphan drug exclusion such that products with more than one orphan designation and more than one approved indication will remain exempt from price negotiations, so long as each approved indication is for a rare disease or condition.</w:t>
      </w:r>
    </w:p>
    <w:p>
      <w:pPr>
        <w:spacing w:after="0" w:line="51"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Since its enactment, CMS has taken steps to implement various drug pricing provisions of the IRA, including negotiating and publishing "maximum fair prices" for drugs selected under the IRA's price negotiation framework. While it remains to be seen how the drug pricing provisions imposed by the IRA will affect the broader pharmaceutical industry (including orphan drug or small molecule development), several pharmaceutical manufacturers and other industry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2" w:name="page43"/>
    <w:bookmarkEnd w:id="42"/>
    <w:p>
      <w:pPr>
        <w:ind w:right="160"/>
        <w:spacing w:after="0" w:line="264" w:lineRule="auto"/>
        <w:rPr>
          <w:sz w:val="20"/>
          <w:szCs w:val="20"/>
          <w:color w:val="auto"/>
        </w:rPr>
      </w:pPr>
      <w:r>
        <w:rPr>
          <w:rFonts w:ascii="Times New Roman" w:cs="Times New Roman" w:eastAsia="Times New Roman" w:hAnsi="Times New Roman"/>
          <w:sz w:val="14"/>
          <w:szCs w:val="14"/>
          <w:color w:val="auto"/>
        </w:rPr>
        <w:t>stakeholders have challenged the law, including through lawsuits brought against the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and/or executive or administrative action. However, we expect these initiatives to increase pressure on drug pricing. Further, certain broader legislation that is not targeted to the healthcare industry may nonetheless adversely affect our profitability.</w:t>
      </w:r>
    </w:p>
    <w:p>
      <w:pPr>
        <w:spacing w:after="0" w:line="5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Further, in May 2025, the Trump Administration issued an executive order titled "Delivering Most-Favored-Nation Prescription Drug Pricing to American Patients" Executive Order, which may have unpredictable consequences on the pricing of medicinal products in European countries. The Executive Order required federal agencies to seek parity between U.S. drug prices and the lowest prices in peer nations and empowers the Secretary of HHS to establish and communicate most-favored-nation price targets to manufacturers, including through rulemaking if voluntary efforts by manufacturers prove inadequate. In accordance with this Executive Order, CMS has taken action to implement "most-favored-nation" pricing, including by announcing a new voluntary payment model where drug manufacturers may offer supplemental rebates to participating state Medicaid programs to provide such Medicaid programs with a "most favored nation" price for participating manufacturers' products, as well as proposing mandatory payment models where, if finalized, manufacturers of certain Medicare Part B and Medicare Part D drugs would be assessed rebates if the prices for such products exceed those paid in economically comparable countries. It remains to be seen how these drug pricing initiatives will affect the broader pharmaceutical industry.</w:t>
      </w:r>
    </w:p>
    <w:p>
      <w:pPr>
        <w:spacing w:after="0" w:line="62" w:lineRule="exact"/>
        <w:rPr>
          <w:sz w:val="20"/>
          <w:szCs w:val="20"/>
          <w:color w:val="auto"/>
        </w:rPr>
      </w:pPr>
    </w:p>
    <w:p>
      <w:pPr>
        <w:jc w:val="both"/>
        <w:ind w:right="100" w:firstLine="318"/>
        <w:spacing w:after="0" w:line="270" w:lineRule="auto"/>
        <w:rPr>
          <w:sz w:val="20"/>
          <w:szCs w:val="20"/>
          <w:color w:val="auto"/>
        </w:rPr>
      </w:pPr>
      <w:r>
        <w:rPr>
          <w:rFonts w:ascii="Times New Roman" w:cs="Times New Roman" w:eastAsia="Times New Roman" w:hAnsi="Times New Roman"/>
          <w:sz w:val="14"/>
          <w:szCs w:val="14"/>
          <w:color w:val="auto"/>
        </w:rPr>
        <w:t>Moreover, the healthcare regulatory landscape can also be affected by election cycles and any resulting changes in healthcare policy priorities and broader industry response. If we or any third parties we may engage are slow or unable to adapt to changes in existing requirements,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4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1"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5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Drug marketing and reimbursement regulations may materially affect our ability to market and secure reimbursement for our products.</w:t>
      </w:r>
    </w:p>
    <w:p>
      <w:pPr>
        <w:spacing w:after="0" w:line="9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We intend to seek approval to market PLN-101095 and our other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As of January 2025, Regulation No 2021/2282 on Health Technology Assessment (HTA Regulation) is applicable in the EU. The HTA Regulation intends to foster cooperation among EU member states in assessing health technologies and provide the basis for cooperation at EU level for joint clinical assessments.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3" w:name="page44"/>
    <w:bookmarkEnd w:id="43"/>
    <w:p>
      <w:pPr>
        <w:ind w:right="40"/>
        <w:spacing w:after="0" w:line="287" w:lineRule="auto"/>
        <w:rPr>
          <w:sz w:val="20"/>
          <w:szCs w:val="20"/>
          <w:color w:val="auto"/>
        </w:rPr>
      </w:pPr>
      <w:r>
        <w:rPr>
          <w:rFonts w:ascii="Times New Roman" w:cs="Times New Roman" w:eastAsia="Times New Roman" w:hAnsi="Times New Roman"/>
          <w:sz w:val="14"/>
          <w:szCs w:val="14"/>
          <w:color w:val="auto"/>
        </w:rPr>
        <w:t>In addition, market acceptance and sales of PLN-101095 or our other product candidates will depend significantly on the availability of adequate coverage and reimbursement from third-party payors for the product candidate and may be affected by existing and future health care reform measures.</w:t>
      </w:r>
    </w:p>
    <w:p>
      <w:pPr>
        <w:spacing w:after="0" w:line="39"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62"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56" w:lineRule="exact"/>
        <w:rPr>
          <w:sz w:val="20"/>
          <w:szCs w:val="20"/>
          <w:color w:val="auto"/>
        </w:rPr>
      </w:pPr>
    </w:p>
    <w:p>
      <w:pPr>
        <w:ind w:right="40" w:firstLine="318"/>
        <w:spacing w:after="0" w:line="256" w:lineRule="auto"/>
        <w:rPr>
          <w:sz w:val="20"/>
          <w:szCs w:val="20"/>
          <w:color w:val="auto"/>
        </w:rPr>
      </w:pPr>
      <w:r>
        <w:rPr>
          <w:rFonts w:ascii="Times New Roman" w:cs="Times New Roman" w:eastAsia="Times New Roman" w:hAnsi="Times New Roman"/>
          <w:sz w:val="14"/>
          <w:szCs w:val="14"/>
          <w:color w:val="auto"/>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63"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4"/>
          <w:szCs w:val="14"/>
          <w:color w:val="auto"/>
        </w:rPr>
        <w:t>In May 2025, the Trump Administration issued an executive order titled "Delivering Most-Favored-Nation Prescription Drug Pricing to American Patients" (Executive Order), which may have unpredictable consequences on pricing of medicinal products in European countries. The Executive Order required federal agencies to seek parity between U.S. drug prices and the lowest prices in peer nations and empowers the Secretary of HHS to establish and communicate most-favored-nation price targets to manufacturers, including through rulemaking if voluntary efforts by manufacturers prove inadequate. Additionally, the Executive Order instructs the Department of Commerce and the U.S. Trade Representative to take action against foreign countries that engage in practices suppressing drug prices below fair market value, which could lead to additional pricing pressures or prompt regulatory changes in foreign markets. These measures may have unpredictable consequences on pricing of medicinal products in European countries and may adversely affect our global operations and financial performance.</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Additional laws and regulations governing international operations could negatively impact or restrict our operations.</w:t>
      </w:r>
    </w:p>
    <w:p>
      <w:pPr>
        <w:spacing w:after="0" w:line="9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4" w:name="page45"/>
    <w:bookmarkEnd w:id="44"/>
    <w:p>
      <w:pPr>
        <w:ind w:right="60"/>
        <w:spacing w:after="0" w:line="287" w:lineRule="auto"/>
        <w:rPr>
          <w:sz w:val="20"/>
          <w:szCs w:val="20"/>
          <w:color w:val="auto"/>
        </w:rPr>
      </w:pPr>
      <w:r>
        <w:rPr>
          <w:rFonts w:ascii="Times New Roman" w:cs="Times New Roman" w:eastAsia="Times New Roman" w:hAnsi="Times New Roman"/>
          <w:sz w:val="14"/>
          <w:szCs w:val="14"/>
          <w:color w:val="auto"/>
        </w:rPr>
        <w:t>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9"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4"/>
          <w:szCs w:val="14"/>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51"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56"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37" w:lineRule="exact"/>
        <w:rPr>
          <w:sz w:val="20"/>
          <w:szCs w:val="20"/>
          <w:color w:val="auto"/>
        </w:rPr>
      </w:pPr>
    </w:p>
    <w:p>
      <w:pPr>
        <w:ind w:right="16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37"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Among other matters, U.S. and foreign anti-corruption, anti-money laundering, export control, sanctions, and other trade laws and regulations, which are collectively referred to as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4" w:lineRule="exact"/>
        <w:rPr>
          <w:sz w:val="20"/>
          <w:szCs w:val="20"/>
          <w:color w:val="auto"/>
        </w:rPr>
      </w:pPr>
    </w:p>
    <w:p>
      <w:pPr>
        <w:ind w:right="24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7"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PLN-101095 or any other product candidates we may develop may be adversely affected.</w:t>
      </w:r>
    </w:p>
    <w:p>
      <w:pPr>
        <w:spacing w:after="0" w:line="62"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The patenting process is expensive and time 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56"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The strength of patents in the biotechnology and biopharmaceutical field involves complex legal and scientific questions and can be uncertain. The patent applications that we own or in-license may fail to result in issued patents with</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5" w:name="page46"/>
    <w:bookmarkEnd w:id="45"/>
    <w:p>
      <w:pPr>
        <w:ind w:right="100"/>
        <w:spacing w:after="0" w:line="261" w:lineRule="auto"/>
        <w:rPr>
          <w:sz w:val="20"/>
          <w:szCs w:val="20"/>
          <w:color w:val="auto"/>
        </w:rPr>
      </w:pPr>
      <w:r>
        <w:rPr>
          <w:rFonts w:ascii="Times New Roman" w:cs="Times New Roman" w:eastAsia="Times New Roman" w:hAnsi="Times New Roman"/>
          <w:sz w:val="14"/>
          <w:szCs w:val="14"/>
          <w:color w:val="auto"/>
        </w:rPr>
        <w:t>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58"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39"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58"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6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61"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9" w:lineRule="exact"/>
        <w:rPr>
          <w:sz w:val="20"/>
          <w:szCs w:val="20"/>
          <w:color w:val="auto"/>
        </w:rPr>
      </w:pPr>
    </w:p>
    <w:p>
      <w:pPr>
        <w:ind w:left="1020" w:right="280" w:hanging="442"/>
        <w:spacing w:after="0" w:line="287" w:lineRule="auto"/>
        <w:tabs>
          <w:tab w:leader="none" w:pos="10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or use compounds that are similar to the compositions of our product candidates but that are not covered by the claims of our patents or those of our licensors;</w:t>
      </w:r>
    </w:p>
    <w:p>
      <w:pPr>
        <w:spacing w:after="0" w:line="39" w:lineRule="exact"/>
        <w:rPr>
          <w:rFonts w:ascii="Times New Roman" w:cs="Times New Roman" w:eastAsia="Times New Roman" w:hAnsi="Times New Roman"/>
          <w:sz w:val="14"/>
          <w:szCs w:val="14"/>
          <w:color w:val="auto"/>
        </w:rPr>
      </w:pPr>
    </w:p>
    <w:p>
      <w:pPr>
        <w:ind w:left="1020" w:right="500" w:hanging="442"/>
        <w:spacing w:after="0" w:line="287" w:lineRule="auto"/>
        <w:tabs>
          <w:tab w:leader="none" w:pos="10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as the case may be, might not have been the first to file patent applications for these inventions;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result in issued patents;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46" w:name="page47"/>
    <w:bookmarkEnd w:id="46"/>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extend the patent term in some jurisdictions;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there are prior public disclosures that could invalidate our or our licensors’ patents, as the case may be, or parts of our or their patents;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others may circumvent our owned or in-licensed patents or regulatory intellectual property rights such as our data protection, orphan market exclusivity and others;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there are unpublished applications or patent applications maintained in secrecy that may later issue with claims covering our products or technology similar to ours;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of foreign countries may not protect our or our licensors’, as the case may be, proprietary rights to the same extent as the laws of the United States;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claims of our owned or in-licensed issued patents or patent applications, if and when issued, may not cover our product candidates;</w:t>
      </w:r>
    </w:p>
    <w:p>
      <w:pPr>
        <w:spacing w:after="0" w:line="93" w:lineRule="exact"/>
        <w:rPr>
          <w:rFonts w:ascii="Times New Roman" w:cs="Times New Roman" w:eastAsia="Times New Roman" w:hAnsi="Times New Roman"/>
          <w:sz w:val="14"/>
          <w:szCs w:val="14"/>
          <w:color w:val="auto"/>
        </w:rPr>
      </w:pPr>
    </w:p>
    <w:p>
      <w:pPr>
        <w:ind w:left="1020" w:right="340" w:hanging="442"/>
        <w:spacing w:after="0" w:line="287" w:lineRule="auto"/>
        <w:tabs>
          <w:tab w:leader="none" w:pos="10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owned or in-licensed issued patents may not provide us with any competitive advantages, may be narrowed in scope, or be held invalid or unenforceable as a result of legal challenges by third parties;</w:t>
      </w:r>
    </w:p>
    <w:p>
      <w:pPr>
        <w:spacing w:after="0" w:line="39" w:lineRule="exact"/>
        <w:rPr>
          <w:rFonts w:ascii="Times New Roman" w:cs="Times New Roman" w:eastAsia="Times New Roman" w:hAnsi="Times New Roman"/>
          <w:sz w:val="14"/>
          <w:szCs w:val="14"/>
          <w:color w:val="auto"/>
        </w:rPr>
      </w:pPr>
    </w:p>
    <w:p>
      <w:pPr>
        <w:ind w:left="1020" w:right="140" w:hanging="442"/>
        <w:spacing w:after="0" w:line="287" w:lineRule="auto"/>
        <w:tabs>
          <w:tab w:leader="none" w:pos="10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39" w:lineRule="exact"/>
        <w:rPr>
          <w:rFonts w:ascii="Times New Roman" w:cs="Times New Roman" w:eastAsia="Times New Roman" w:hAnsi="Times New Roman"/>
          <w:sz w:val="14"/>
          <w:szCs w:val="14"/>
          <w:color w:val="auto"/>
        </w:rPr>
      </w:pPr>
    </w:p>
    <w:p>
      <w:pPr>
        <w:ind w:left="1020" w:right="240" w:hanging="442"/>
        <w:spacing w:after="0" w:line="287" w:lineRule="auto"/>
        <w:tabs>
          <w:tab w:leader="none" w:pos="10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39" w:lineRule="exact"/>
        <w:rPr>
          <w:rFonts w:ascii="Times New Roman" w:cs="Times New Roman" w:eastAsia="Times New Roman" w:hAnsi="Times New Roman"/>
          <w:sz w:val="14"/>
          <w:szCs w:val="14"/>
          <w:color w:val="auto"/>
        </w:rPr>
      </w:pPr>
    </w:p>
    <w:p>
      <w:pPr>
        <w:ind w:left="1020" w:right="320" w:hanging="442"/>
        <w:spacing w:after="0" w:line="287" w:lineRule="auto"/>
        <w:tabs>
          <w:tab w:leader="none" w:pos="10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engaged in scientific collaborations in the past and will continue to do so in the future. Such collaborators may develop adjacent or competing products to ours that are outside the scope of our patents;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for which we can obtain patent protection;</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product candidates or diagnostic tests we develop may be covered by third parties’ patents or other exclusive rights; or</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92" w:lineRule="exact"/>
        <w:rPr>
          <w:sz w:val="20"/>
          <w:szCs w:val="20"/>
          <w:color w:val="auto"/>
        </w:rPr>
      </w:pPr>
    </w:p>
    <w:p>
      <w:pPr>
        <w:ind w:right="12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spacing w:after="0" w:line="37"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Moreover, disputes may arise regarding intellectual property subject to a licensing agreement, including:</w:t>
      </w:r>
    </w:p>
    <w:p>
      <w:pPr>
        <w:spacing w:after="0" w:line="94" w:lineRule="exact"/>
        <w:rPr>
          <w:sz w:val="20"/>
          <w:szCs w:val="20"/>
          <w:color w:val="auto"/>
        </w:rPr>
      </w:pPr>
    </w:p>
    <w:p>
      <w:pPr>
        <w:ind w:left="1020" w:hanging="44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our product candidates, technology and processes infringe on intellectual property of the licensor that is not subject to the licensing agreement;</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sublicensing of patent and other rights under our collaborative development relationships;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under the license agreement and what activities satisfy those diligence obligations;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inventorship and ownership of inventions and know-how resulting from the joint creation or use of intellectual property by our licensors and us and our partners;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94"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In addition, the agreements under which we currently license intellectual property or technology from third parties are complex, and certain provisions in such agreements may be susceptible to multiple interpretations. The resolution of any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7" w:name="page48"/>
    <w:bookmarkEnd w:id="47"/>
    <w:p>
      <w:pPr>
        <w:ind w:right="60"/>
        <w:spacing w:after="0" w:line="264" w:lineRule="auto"/>
        <w:rPr>
          <w:sz w:val="20"/>
          <w:szCs w:val="20"/>
          <w:color w:val="auto"/>
        </w:rPr>
      </w:pPr>
      <w:r>
        <w:rPr>
          <w:rFonts w:ascii="Times New Roman" w:cs="Times New Roman" w:eastAsia="Times New Roman" w:hAnsi="Times New Roman"/>
          <w:sz w:val="14"/>
          <w:szCs w:val="14"/>
          <w:color w:val="auto"/>
        </w:rPr>
        <w:t>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56"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96"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 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65"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5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Third-party claims of intellectual property infringement may prevent or delay our product discovery and development efforts.</w:t>
      </w:r>
    </w:p>
    <w:p>
      <w:pPr>
        <w:spacing w:after="0" w:line="96" w:lineRule="exact"/>
        <w:rPr>
          <w:sz w:val="20"/>
          <w:szCs w:val="20"/>
          <w:color w:val="auto"/>
        </w:rPr>
      </w:pPr>
    </w:p>
    <w:p>
      <w:pPr>
        <w:ind w:right="300" w:firstLine="318"/>
        <w:spacing w:after="0" w:line="270" w:lineRule="auto"/>
        <w:rPr>
          <w:sz w:val="20"/>
          <w:szCs w:val="20"/>
          <w:color w:val="auto"/>
        </w:rPr>
      </w:pPr>
      <w:r>
        <w:rPr>
          <w:rFonts w:ascii="Times New Roman" w:cs="Times New Roman" w:eastAsia="Times New Roman" w:hAnsi="Times New Roman"/>
          <w:sz w:val="14"/>
          <w:szCs w:val="14"/>
          <w:color w:val="auto"/>
        </w:rPr>
        <w:t>Our commercial success depends in part on our ability to develop, manufacture, market and sell PLN-101095 and our other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8" w:name="page49"/>
    <w:bookmarkEnd w:id="48"/>
    <w:p>
      <w:pPr>
        <w:ind w:right="80"/>
        <w:spacing w:after="0" w:line="258" w:lineRule="auto"/>
        <w:rPr>
          <w:sz w:val="20"/>
          <w:szCs w:val="20"/>
          <w:color w:val="auto"/>
        </w:rPr>
      </w:pPr>
      <w:r>
        <w:rPr>
          <w:rFonts w:ascii="Times New Roman" w:cs="Times New Roman" w:eastAsia="Times New Roman" w:hAnsi="Times New Roman"/>
          <w:sz w:val="14"/>
          <w:szCs w:val="14"/>
          <w:color w:val="auto"/>
        </w:rPr>
        <w:t>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PLN-101095 or our other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If a third party claims that we infringe its intellectual property rights, we may face a number of issues, including, but not limited to:</w:t>
      </w:r>
    </w:p>
    <w:p>
      <w:pPr>
        <w:spacing w:after="0" w:line="94" w:lineRule="exact"/>
        <w:rPr>
          <w:sz w:val="20"/>
          <w:szCs w:val="20"/>
          <w:color w:val="auto"/>
        </w:rPr>
      </w:pPr>
    </w:p>
    <w:p>
      <w:pPr>
        <w:ind w:left="1020" w:hanging="442"/>
        <w:spacing w:after="0" w:line="287" w:lineRule="auto"/>
        <w:tabs>
          <w:tab w:leader="none" w:pos="10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and other intellectual property claims which, regardless of merit, may be expensive and time consuming to litigate and may divert our management’s attention from our core business;</w:t>
      </w:r>
    </w:p>
    <w:p>
      <w:pPr>
        <w:spacing w:after="0" w:line="39" w:lineRule="exact"/>
        <w:rPr>
          <w:rFonts w:ascii="Times New Roman" w:cs="Times New Roman" w:eastAsia="Times New Roman" w:hAnsi="Times New Roman"/>
          <w:sz w:val="14"/>
          <w:szCs w:val="14"/>
          <w:color w:val="auto"/>
        </w:rPr>
      </w:pPr>
    </w:p>
    <w:p>
      <w:pPr>
        <w:ind w:left="1020" w:right="140" w:hanging="442"/>
        <w:spacing w:after="0" w:line="287" w:lineRule="auto"/>
        <w:tabs>
          <w:tab w:leader="none" w:pos="10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39" w:lineRule="exact"/>
        <w:rPr>
          <w:rFonts w:ascii="Times New Roman" w:cs="Times New Roman" w:eastAsia="Times New Roman" w:hAnsi="Times New Roman"/>
          <w:sz w:val="14"/>
          <w:szCs w:val="14"/>
          <w:color w:val="auto"/>
        </w:rPr>
      </w:pPr>
    </w:p>
    <w:p>
      <w:pPr>
        <w:ind w:left="1020" w:right="280" w:hanging="442"/>
        <w:spacing w:after="0" w:line="287" w:lineRule="auto"/>
        <w:tabs>
          <w:tab w:leader="none" w:pos="10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prohibiting us from developing, manufacturing, marketing or selling PLN-101095 or our other product candidates, or from using our proprietary technologies, unless the third party licenses its product rights to us, which it is not required to do;</w:t>
      </w:r>
    </w:p>
    <w:p>
      <w:pPr>
        <w:spacing w:after="0" w:line="39" w:lineRule="exact"/>
        <w:rPr>
          <w:rFonts w:ascii="Times New Roman" w:cs="Times New Roman" w:eastAsia="Times New Roman" w:hAnsi="Times New Roman"/>
          <w:sz w:val="14"/>
          <w:szCs w:val="14"/>
          <w:color w:val="auto"/>
        </w:rPr>
      </w:pPr>
    </w:p>
    <w:p>
      <w:pPr>
        <w:ind w:left="1020" w:right="60" w:hanging="442"/>
        <w:spacing w:after="0" w:line="287" w:lineRule="auto"/>
        <w:tabs>
          <w:tab w:leader="none" w:pos="10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redesigning our product candidates or processes so they do not infringe, which may not be possible or may require substantial monetary expenditures and time.</w:t>
      </w:r>
    </w:p>
    <w:p>
      <w:pPr>
        <w:spacing w:after="0" w:line="94"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54" w:lineRule="exact"/>
        <w:rPr>
          <w:sz w:val="20"/>
          <w:szCs w:val="20"/>
          <w:color w:val="auto"/>
        </w:rPr>
      </w:pPr>
    </w:p>
    <w:p>
      <w:pPr>
        <w:ind w:right="30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collaborators may assert ownership or commercial rights to inventions they develop from research we support or that we develop from our use of the tissue samples or other biological materials, which they provide to us, or otherwise arising from such collaboration.</w:t>
      </w:r>
    </w:p>
    <w:p>
      <w:pPr>
        <w:spacing w:after="0" w:line="37"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Third parties may assert that we are employing their proprietary technology without authorization.</w:t>
      </w:r>
    </w:p>
    <w:p>
      <w:pPr>
        <w:spacing w:after="0" w:line="96" w:lineRule="exact"/>
        <w:rPr>
          <w:sz w:val="20"/>
          <w:szCs w:val="20"/>
          <w:color w:val="auto"/>
        </w:rPr>
      </w:pPr>
    </w:p>
    <w:p>
      <w:pPr>
        <w:ind w:right="260" w:firstLine="318"/>
        <w:spacing w:after="0" w:line="264" w:lineRule="auto"/>
        <w:rPr>
          <w:sz w:val="20"/>
          <w:szCs w:val="20"/>
          <w:color w:val="auto"/>
        </w:rPr>
      </w:pPr>
      <w:r>
        <w:rPr>
          <w:rFonts w:ascii="Times New Roman" w:cs="Times New Roman" w:eastAsia="Times New Roman" w:hAnsi="Times New Roman"/>
          <w:sz w:val="14"/>
          <w:szCs w:val="14"/>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9" w:name="page50"/>
    <w:bookmarkEnd w:id="49"/>
    <w:p>
      <w:pPr>
        <w:spacing w:after="0" w:line="259" w:lineRule="auto"/>
        <w:rPr>
          <w:sz w:val="20"/>
          <w:szCs w:val="20"/>
          <w:color w:val="auto"/>
        </w:rPr>
      </w:pPr>
      <w:r>
        <w:rPr>
          <w:rFonts w:ascii="Times New Roman" w:cs="Times New Roman" w:eastAsia="Times New Roman" w:hAnsi="Times New Roman"/>
          <w:sz w:val="14"/>
          <w:szCs w:val="14"/>
          <w:color w:val="auto"/>
        </w:rPr>
        <w:t>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61"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4"/>
          <w:szCs w:val="14"/>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Third parties may assert that our employees or consultants have wrongfully used or disclosed confidential information or misappropriated trade secrets.</w:t>
      </w:r>
    </w:p>
    <w:p>
      <w:pPr>
        <w:spacing w:after="0" w:line="96"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or maintaining necessary rights to develop any future product candidates on acceptable terms.</w:t>
      </w:r>
    </w:p>
    <w:p>
      <w:pPr>
        <w:spacing w:after="0" w:line="96"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Because our programs may involve product candidates that may require the use of proprietary rights held by third parties, the growth of our business may depend in part on our ability to acquire, in-license or use these proprietary rights.</w:t>
      </w:r>
    </w:p>
    <w:p>
      <w:pPr>
        <w:spacing w:after="0" w:line="39" w:lineRule="exact"/>
        <w:rPr>
          <w:sz w:val="20"/>
          <w:szCs w:val="20"/>
          <w:color w:val="auto"/>
        </w:rPr>
      </w:pPr>
    </w:p>
    <w:p>
      <w:pPr>
        <w:ind w:right="120" w:firstLine="318"/>
        <w:spacing w:after="0" w:line="258" w:lineRule="auto"/>
        <w:rPr>
          <w:sz w:val="20"/>
          <w:szCs w:val="20"/>
          <w:color w:val="auto"/>
        </w:rPr>
      </w:pPr>
      <w:r>
        <w:rPr>
          <w:rFonts w:ascii="Times New Roman" w:cs="Times New Roman" w:eastAsia="Times New Roman" w:hAnsi="Times New Roman"/>
          <w:sz w:val="14"/>
          <w:szCs w:val="14"/>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0" w:name="page51"/>
    <w:bookmarkEnd w:id="50"/>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58"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or the patents of our licensors, which could be expensive, time consuming and unsuccessful.</w:t>
      </w:r>
    </w:p>
    <w:p>
      <w:pPr>
        <w:spacing w:after="0" w:line="96"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58" w:lineRule="exact"/>
        <w:rPr>
          <w:sz w:val="20"/>
          <w:szCs w:val="20"/>
          <w:color w:val="auto"/>
        </w:rPr>
      </w:pPr>
    </w:p>
    <w:p>
      <w:pPr>
        <w:jc w:val="both"/>
        <w:ind w:right="60" w:firstLine="318"/>
        <w:spacing w:after="0" w:line="270" w:lineRule="auto"/>
        <w:rPr>
          <w:sz w:val="20"/>
          <w:szCs w:val="20"/>
          <w:color w:val="auto"/>
        </w:rPr>
      </w:pPr>
      <w:r>
        <w:rPr>
          <w:rFonts w:ascii="Times New Roman" w:cs="Times New Roman" w:eastAsia="Times New Roman" w:hAnsi="Times New Roman"/>
          <w:sz w:val="14"/>
          <w:szCs w:val="14"/>
          <w:color w:val="auto"/>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spacing w:after="0" w:line="5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39" w:lineRule="exact"/>
        <w:rPr>
          <w:sz w:val="20"/>
          <w:szCs w:val="20"/>
          <w:color w:val="auto"/>
        </w:rPr>
      </w:pPr>
    </w:p>
    <w:p>
      <w:pPr>
        <w:ind w:right="60" w:firstLine="318"/>
        <w:spacing w:after="0" w:line="257" w:lineRule="auto"/>
        <w:rPr>
          <w:sz w:val="20"/>
          <w:szCs w:val="20"/>
          <w:color w:val="auto"/>
        </w:rPr>
      </w:pPr>
      <w:r>
        <w:rPr>
          <w:rFonts w:ascii="Times New Roman" w:cs="Times New Roman" w:eastAsia="Times New Roman" w:hAnsi="Times New Roman"/>
          <w:sz w:val="14"/>
          <w:szCs w:val="14"/>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64"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1" w:name="page52"/>
    <w:bookmarkEnd w:id="51"/>
    <w:p>
      <w:pPr>
        <w:jc w:val="both"/>
        <w:ind w:right="500" w:firstLine="318"/>
        <w:spacing w:after="0" w:line="270"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49" w:lineRule="exact"/>
        <w:rPr>
          <w:sz w:val="20"/>
          <w:szCs w:val="20"/>
          <w:color w:val="auto"/>
        </w:rPr>
      </w:pPr>
    </w:p>
    <w:p>
      <w:pPr>
        <w:ind w:right="26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7" w:lineRule="exact"/>
        <w:rPr>
          <w:sz w:val="20"/>
          <w:szCs w:val="20"/>
          <w:color w:val="auto"/>
        </w:rPr>
      </w:pPr>
    </w:p>
    <w:p>
      <w:pPr>
        <w:ind w:right="100" w:firstLine="318"/>
        <w:spacing w:after="0" w:line="258"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Any patents covering our product candidates could be found invalid or unenforceable if challenged in court or the USPTO (or foreign patent offices).</w:t>
      </w:r>
    </w:p>
    <w:p>
      <w:pPr>
        <w:spacing w:after="0" w:line="96" w:lineRule="exact"/>
        <w:rPr>
          <w:sz w:val="20"/>
          <w:szCs w:val="20"/>
          <w:color w:val="auto"/>
        </w:rPr>
      </w:pPr>
    </w:p>
    <w:p>
      <w:pPr>
        <w:ind w:right="20" w:firstLine="318"/>
        <w:spacing w:after="0" w:line="257" w:lineRule="auto"/>
        <w:rPr>
          <w:sz w:val="20"/>
          <w:szCs w:val="20"/>
          <w:color w:val="auto"/>
        </w:rPr>
      </w:pPr>
      <w:r>
        <w:rPr>
          <w:rFonts w:ascii="Times New Roman" w:cs="Times New Roman" w:eastAsia="Times New Roman" w:hAnsi="Times New Roman"/>
          <w:sz w:val="14"/>
          <w:szCs w:val="14"/>
          <w:color w:val="auto"/>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61"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2047, without taking into account any possible patent term adjustments or extensions. However, we cannot be assured that the USPTO, EPO or other relevant foreign patent offices will grant any of these patent applications.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 in the U.S. and in foreign jurisdictions could diminish the value of patents in general, thereby impairing our ability to protect our products.</w:t>
      </w:r>
    </w:p>
    <w:p>
      <w:pPr>
        <w:spacing w:after="0" w:line="96"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application related to our product candidates or (ii) invent any of the inventions claimed in our or our licensor’s patents or patent applications.</w:t>
      </w:r>
    </w:p>
    <w:p>
      <w:pPr>
        <w:spacing w:after="0" w:line="94"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64"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have limited foreign intellectual property rights and may not be able to protect our intellectual property rights throughout the world.</w:t>
      </w:r>
    </w:p>
    <w:p>
      <w:pPr>
        <w:spacing w:after="0" w:line="96"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4"/>
          <w:szCs w:val="14"/>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62"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PLN-101095 or our other product candidates for an adequate amount of time.</w:t>
      </w:r>
    </w:p>
    <w:p>
      <w:pPr>
        <w:spacing w:after="0" w:line="96" w:lineRule="exact"/>
        <w:rPr>
          <w:sz w:val="20"/>
          <w:szCs w:val="20"/>
          <w:color w:val="auto"/>
        </w:rPr>
      </w:pPr>
    </w:p>
    <w:p>
      <w:pPr>
        <w:ind w:right="200" w:firstLine="318"/>
        <w:spacing w:after="0" w:line="264"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3" w:name="page54"/>
    <w:bookmarkEnd w:id="53"/>
    <w:p>
      <w:pPr>
        <w:ind w:right="140"/>
        <w:spacing w:after="0" w:line="287" w:lineRule="auto"/>
        <w:rPr>
          <w:sz w:val="20"/>
          <w:szCs w:val="20"/>
          <w:color w:val="auto"/>
        </w:rPr>
      </w:pPr>
      <w:r>
        <w:rPr>
          <w:rFonts w:ascii="Times New Roman" w:cs="Times New Roman" w:eastAsia="Times New Roman" w:hAnsi="Times New Roman"/>
          <w:sz w:val="14"/>
          <w:szCs w:val="14"/>
          <w:color w:val="auto"/>
        </w:rPr>
        <w:t>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39"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At the EU level, the Court of Justice of the EU (CJEU), has recently narrowed the availability of patent term extension for second medical use therefore affecting the scope of patent protection available.</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patent term extension, data exclusivity and orphan exclusivity for PLN-101095 or any other product candidates we may develop, our business may be materially harmed.</w:t>
      </w:r>
    </w:p>
    <w:p>
      <w:pPr>
        <w:spacing w:after="0" w:line="96"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4"/>
          <w:szCs w:val="14"/>
          <w:color w:val="auto"/>
        </w:rPr>
        <w:t>Depending upon the timing, duration, and specifics of any FDA or foreign marketing approval of PLN-101095 or any other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 as well as the framework applicable to patent term extension, also called Supplementary Protection Certificates (SPCs).</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96"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96"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9" w:lineRule="exact"/>
        <w:rPr>
          <w:sz w:val="20"/>
          <w:szCs w:val="20"/>
          <w:color w:val="auto"/>
        </w:rPr>
      </w:pPr>
    </w:p>
    <w:p>
      <w:pPr>
        <w:ind w:left="1020" w:hanging="442"/>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drug candidates that are similar to ours but that are not covered by the claims of the patents that we own or have exclusively licensed;</w:t>
      </w:r>
    </w:p>
    <w:p>
      <w:pPr>
        <w:spacing w:after="0" w:line="93" w:lineRule="exact"/>
        <w:rPr>
          <w:rFonts w:ascii="Times New Roman" w:cs="Times New Roman" w:eastAsia="Times New Roman" w:hAnsi="Times New Roman"/>
          <w:sz w:val="14"/>
          <w:szCs w:val="14"/>
          <w:color w:val="auto"/>
        </w:rPr>
      </w:pPr>
    </w:p>
    <w:p>
      <w:pPr>
        <w:ind w:left="1020" w:right="400" w:hanging="442"/>
        <w:spacing w:after="0" w:line="287" w:lineRule="auto"/>
        <w:tabs>
          <w:tab w:leader="none" w:pos="10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future collaborators might not have been the first to make the inventions covered by the issued patent or pending patent application that we own or have exclusively licensed;</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future collaborators might not have been the first to file patent applications covering certain of our inventions;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lead to issued patents;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have exclusively licensed may be held invalid or unenforceable, as a result of legal challenges by our competitors;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4" w:name="page55"/>
    <w:bookmarkEnd w:id="54"/>
    <w:p>
      <w:pPr>
        <w:ind w:left="1020" w:right="340" w:hanging="442"/>
        <w:spacing w:after="0" w:line="287" w:lineRule="auto"/>
        <w:tabs>
          <w:tab w:leader="none" w:pos="10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w:t>
      </w:r>
    </w:p>
    <w:p>
      <w:pPr>
        <w:spacing w:after="0" w:line="93" w:lineRule="exact"/>
        <w:rPr>
          <w:rFonts w:ascii="Times New Roman" w:cs="Times New Roman" w:eastAsia="Times New Roman" w:hAnsi="Times New Roman"/>
          <w:sz w:val="14"/>
          <w:szCs w:val="14"/>
          <w:color w:val="auto"/>
        </w:rPr>
      </w:pPr>
    </w:p>
    <w:p>
      <w:pPr>
        <w:ind w:left="1020" w:right="240" w:hanging="442"/>
        <w:spacing w:after="0" w:line="287" w:lineRule="auto"/>
        <w:tabs>
          <w:tab w:leader="none" w:pos="10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spacing w:after="0" w:line="39" w:lineRule="exact"/>
        <w:rPr>
          <w:rFonts w:ascii="Times New Roman" w:cs="Times New Roman" w:eastAsia="Times New Roman" w:hAnsi="Times New Roman"/>
          <w:sz w:val="14"/>
          <w:szCs w:val="14"/>
          <w:color w:val="auto"/>
        </w:rPr>
      </w:pPr>
    </w:p>
    <w:p>
      <w:pPr>
        <w:ind w:left="1020" w:right="380" w:hanging="442"/>
        <w:spacing w:after="0" w:line="287" w:lineRule="auto"/>
        <w:tabs>
          <w:tab w:leader="none" w:pos="10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claims of any patent issuing based on our patent applications may not provide protection against competitors or any competitive advantages, or may be challenged by third parties;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enforced, a court may not hold that our patents are valid, enforceable and/or infringed;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initiate litigation or administrative proceedings to enforce and/or defend our patent rights which will be costly whether we win or lose;</w:t>
      </w:r>
    </w:p>
    <w:p>
      <w:pPr>
        <w:spacing w:after="0" w:line="93" w:lineRule="exact"/>
        <w:rPr>
          <w:rFonts w:ascii="Times New Roman" w:cs="Times New Roman" w:eastAsia="Times New Roman" w:hAnsi="Times New Roman"/>
          <w:sz w:val="14"/>
          <w:szCs w:val="14"/>
          <w:color w:val="auto"/>
        </w:rPr>
      </w:pPr>
    </w:p>
    <w:p>
      <w:pPr>
        <w:ind w:left="1020" w:right="320" w:hanging="442"/>
        <w:spacing w:after="0" w:line="287" w:lineRule="auto"/>
        <w:tabs>
          <w:tab w:leader="none" w:pos="10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file a patent application in order to maintain certain trade secrets or know-how, and a third party may subsequently file a patent application covering such intellectual property;</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adequately protect and police our trademarks and trade secrets;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parties may independently develop the technology covered by our trade secrets; and</w:t>
      </w:r>
    </w:p>
    <w:p>
      <w:pPr>
        <w:spacing w:after="0" w:line="93" w:lineRule="exact"/>
        <w:rPr>
          <w:rFonts w:ascii="Times New Roman" w:cs="Times New Roman" w:eastAsia="Times New Roman" w:hAnsi="Times New Roman"/>
          <w:sz w:val="14"/>
          <w:szCs w:val="14"/>
          <w:color w:val="auto"/>
        </w:rPr>
      </w:pPr>
    </w:p>
    <w:p>
      <w:pPr>
        <w:ind w:left="1020" w:right="180" w:hanging="442"/>
        <w:spacing w:after="0" w:line="287" w:lineRule="auto"/>
        <w:tabs>
          <w:tab w:leader="none" w:pos="10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 including if others obtain patents claiming subject matter similar to or improving that covered by our patents and patent applications.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Should any of these events occur, they could significantly harm our business, financial condition, results of operations, and prospects.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Reliance on Third Parties</w:t>
      </w:r>
    </w:p>
    <w:p>
      <w:pPr>
        <w:spacing w:after="0" w:line="94" w:lineRule="exact"/>
        <w:rPr>
          <w:sz w:val="20"/>
          <w:szCs w:val="20"/>
          <w:color w:val="auto"/>
        </w:rPr>
      </w:pPr>
    </w:p>
    <w:p>
      <w:pPr>
        <w:ind w:right="28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PLN-101095 or any other potential product candidates.</w:t>
      </w:r>
    </w:p>
    <w:p>
      <w:pPr>
        <w:spacing w:after="0" w:line="37"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39"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64"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51" w:lineRule="exact"/>
        <w:rPr>
          <w:sz w:val="20"/>
          <w:szCs w:val="20"/>
          <w:color w:val="auto"/>
        </w:rPr>
      </w:pPr>
    </w:p>
    <w:p>
      <w:pPr>
        <w:jc w:val="both"/>
        <w:ind w:right="220" w:firstLine="318"/>
        <w:spacing w:after="0" w:line="270" w:lineRule="auto"/>
        <w:rPr>
          <w:sz w:val="20"/>
          <w:szCs w:val="20"/>
          <w:color w:val="auto"/>
        </w:rPr>
      </w:pPr>
      <w:r>
        <w:rPr>
          <w:rFonts w:ascii="Times New Roman" w:cs="Times New Roman" w:eastAsia="Times New Roman" w:hAnsi="Times New Roman"/>
          <w:sz w:val="14"/>
          <w:szCs w:val="14"/>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5" w:name="page56"/>
    <w:bookmarkEnd w:id="55"/>
    <w:p>
      <w:pPr>
        <w:ind w:right="120"/>
        <w:spacing w:after="0" w:line="259" w:lineRule="auto"/>
        <w:rPr>
          <w:sz w:val="20"/>
          <w:szCs w:val="20"/>
          <w:color w:val="auto"/>
        </w:rPr>
      </w:pPr>
      <w:r>
        <w:rPr>
          <w:rFonts w:ascii="Times New Roman" w:cs="Times New Roman" w:eastAsia="Times New Roman" w:hAnsi="Times New Roman"/>
          <w:sz w:val="14"/>
          <w:szCs w:val="14"/>
          <w:color w:val="auto"/>
        </w:rPr>
        <w:t>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PLN-101095 or our other product candidates. As a result, our financial results and the commercial prospects for PLN-101095 and our other product candidates would be harmed, our costs could increase and our ability to generate revenue could be delayed.</w:t>
      </w:r>
    </w:p>
    <w:p>
      <w:pPr>
        <w:spacing w:after="0" w:line="61" w:lineRule="exact"/>
        <w:rPr>
          <w:sz w:val="20"/>
          <w:szCs w:val="20"/>
          <w:color w:val="auto"/>
        </w:rPr>
      </w:pPr>
    </w:p>
    <w:p>
      <w:pPr>
        <w:ind w:right="740" w:firstLine="318"/>
        <w:spacing w:after="0" w:line="287" w:lineRule="auto"/>
        <w:rPr>
          <w:sz w:val="20"/>
          <w:szCs w:val="20"/>
          <w:color w:val="auto"/>
        </w:rPr>
      </w:pPr>
      <w:r>
        <w:rPr>
          <w:rFonts w:ascii="Times New Roman" w:cs="Times New Roman" w:eastAsia="Times New Roman" w:hAnsi="Times New Roman"/>
          <w:sz w:val="14"/>
          <w:szCs w:val="14"/>
          <w:color w:val="auto"/>
        </w:rPr>
        <w:t>If any of our relationships with these third-party CROs or others terminate, we may not be able to enter into arrangements with alternative CROs or other third parties or to do so on commercially reasonable terms.</w:t>
      </w:r>
    </w:p>
    <w:p>
      <w:pPr>
        <w:spacing w:after="0" w:line="39"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49" w:lineRule="exact"/>
        <w:rPr>
          <w:sz w:val="20"/>
          <w:szCs w:val="20"/>
          <w:color w:val="auto"/>
        </w:rPr>
      </w:pPr>
    </w:p>
    <w:p>
      <w:pPr>
        <w:ind w:right="16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37"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4"/>
          <w:szCs w:val="14"/>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spacing w:after="0" w:line="59" w:lineRule="exact"/>
        <w:rPr>
          <w:sz w:val="20"/>
          <w:szCs w:val="20"/>
          <w:color w:val="auto"/>
        </w:rPr>
      </w:pPr>
    </w:p>
    <w:p>
      <w:pPr>
        <w:ind w:right="36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spacing w:after="0" w:line="37" w:lineRule="exact"/>
        <w:rPr>
          <w:sz w:val="20"/>
          <w:szCs w:val="20"/>
          <w:color w:val="auto"/>
        </w:rPr>
      </w:pPr>
    </w:p>
    <w:p>
      <w:pPr>
        <w:ind w:right="60" w:firstLine="318"/>
        <w:spacing w:after="0" w:line="257" w:lineRule="auto"/>
        <w:rPr>
          <w:sz w:val="20"/>
          <w:szCs w:val="20"/>
          <w:color w:val="auto"/>
        </w:rPr>
      </w:pPr>
      <w:r>
        <w:rPr>
          <w:rFonts w:ascii="Times New Roman" w:cs="Times New Roman" w:eastAsia="Times New Roman" w:hAnsi="Times New Roman"/>
          <w:sz w:val="14"/>
          <w:szCs w:val="14"/>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severe weather events, natural disasters, trade policies or challenging macroeconomic conditions, including the effects of health epidemics and pandemics, such as COVID-19. In addition, we rely on vendors in foreign jurisdictions, including China, for our clinical drug supply. The tensions between the United States and China have led to a series of tariffs and sanctions being imposed by the United States on imports from China mainland, as well as other business restrictions. Geopolitical developments may lead to further developments with respect to the imposition or threat of imposition of trade policies, tariffs, export controls, capital controls, taxes and other limitations on cross-border operations. If our supply chain is interrupted for business or geopolitical reasons, including disruptions resulting from military action, the development of our product candidates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w:t>
      </w:r>
    </w:p>
    <w:p>
      <w:pPr>
        <w:spacing w:after="0" w:line="61"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6" w:name="page57"/>
    <w:bookmarkEnd w:id="56"/>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51"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spacing w:after="0" w:line="58" w:lineRule="exact"/>
        <w:rPr>
          <w:sz w:val="20"/>
          <w:szCs w:val="20"/>
          <w:color w:val="auto"/>
        </w:rPr>
      </w:pPr>
    </w:p>
    <w:p>
      <w:pPr>
        <w:ind w:left="1020" w:hanging="44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initiate or continue clinical trials of product candidates under development;</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in submitting regulatory applications, or receiving regulatory approvals, for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the cooperation of an existing or future collaborator;</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third-party manufacturing facilities or our manufacturing facilities to additional inspections by regulatory authorities;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cease distribution or to recall batches of our product candidates;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approval to market and commercialize a product candidate, an inability to meet commercial demands for our products.</w:t>
      </w:r>
    </w:p>
    <w:p>
      <w:pPr>
        <w:spacing w:after="0" w:line="94"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We rely on sole suppliers for the manufacture of our product candidates. If these sole suppliers are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58"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enter into new collaborations, or if these collaborations are not successful, our business could be adversely affected.</w:t>
      </w:r>
    </w:p>
    <w:p>
      <w:pPr>
        <w:spacing w:after="0" w:line="96" w:lineRule="exact"/>
        <w:rPr>
          <w:sz w:val="20"/>
          <w:szCs w:val="20"/>
          <w:color w:val="auto"/>
        </w:rPr>
      </w:pPr>
    </w:p>
    <w:p>
      <w:pPr>
        <w:jc w:val="both"/>
        <w:ind w:right="120" w:firstLine="318"/>
        <w:spacing w:after="0" w:line="270" w:lineRule="auto"/>
        <w:rPr>
          <w:sz w:val="20"/>
          <w:szCs w:val="20"/>
          <w:color w:val="auto"/>
        </w:rPr>
      </w:pPr>
      <w:r>
        <w:rPr>
          <w:rFonts w:ascii="Times New Roman" w:cs="Times New Roman" w:eastAsia="Times New Roman" w:hAnsi="Times New Roman"/>
          <w:sz w:val="14"/>
          <w:szCs w:val="14"/>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Any future collaborations we enter into may pose a number of risks, including the following:</w:t>
      </w:r>
    </w:p>
    <w:p>
      <w:pPr>
        <w:spacing w:after="0" w:line="94" w:lineRule="exact"/>
        <w:rPr>
          <w:sz w:val="20"/>
          <w:szCs w:val="20"/>
          <w:color w:val="auto"/>
        </w:rPr>
      </w:pPr>
    </w:p>
    <w:p>
      <w:pPr>
        <w:ind w:left="1020" w:hanging="44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have significant discretion in determining the efforts and resources that they will apply;</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w:t>
      </w:r>
    </w:p>
    <w:p>
      <w:pPr>
        <w:spacing w:after="0" w:line="93" w:lineRule="exact"/>
        <w:rPr>
          <w:rFonts w:ascii="Times New Roman" w:cs="Times New Roman" w:eastAsia="Times New Roman" w:hAnsi="Times New Roman"/>
          <w:sz w:val="14"/>
          <w:szCs w:val="14"/>
          <w:color w:val="auto"/>
        </w:rPr>
      </w:pPr>
    </w:p>
    <w:p>
      <w:pPr>
        <w:ind w:left="1020" w:right="80" w:hanging="442"/>
        <w:spacing w:after="0" w:line="287" w:lineRule="auto"/>
        <w:tabs>
          <w:tab w:leader="none" w:pos="10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7" w:name="page58"/>
    <w:bookmarkEnd w:id="57"/>
    <w:p>
      <w:pPr>
        <w:ind w:left="1020"/>
        <w:spacing w:after="0"/>
        <w:rPr>
          <w:sz w:val="20"/>
          <w:szCs w:val="20"/>
          <w:color w:val="auto"/>
        </w:rPr>
      </w:pPr>
      <w:r>
        <w:rPr>
          <w:rFonts w:ascii="Times New Roman" w:cs="Times New Roman" w:eastAsia="Times New Roman" w:hAnsi="Times New Roman"/>
          <w:sz w:val="14"/>
          <w:szCs w:val="14"/>
          <w:color w:val="auto"/>
        </w:rPr>
        <w:t>available funding, or external factors, such as a strategic transaction that may divert resources or create competing priorities;</w:t>
      </w:r>
    </w:p>
    <w:p>
      <w:pPr>
        <w:spacing w:after="0" w:line="94" w:lineRule="exact"/>
        <w:rPr>
          <w:sz w:val="20"/>
          <w:szCs w:val="20"/>
          <w:color w:val="auto"/>
        </w:rPr>
      </w:pPr>
    </w:p>
    <w:p>
      <w:pPr>
        <w:ind w:left="1020" w:right="220" w:hanging="442"/>
        <w:spacing w:after="0" w:line="287"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 w:lineRule="exact"/>
        <w:rPr>
          <w:rFonts w:ascii="Times New Roman" w:cs="Times New Roman" w:eastAsia="Times New Roman" w:hAnsi="Times New Roman"/>
          <w:sz w:val="14"/>
          <w:szCs w:val="14"/>
          <w:color w:val="auto"/>
        </w:rPr>
      </w:pPr>
    </w:p>
    <w:p>
      <w:pPr>
        <w:ind w:left="1020" w:right="160" w:hanging="442"/>
        <w:spacing w:after="0" w:line="287"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39" w:lineRule="exact"/>
        <w:rPr>
          <w:rFonts w:ascii="Times New Roman" w:cs="Times New Roman" w:eastAsia="Times New Roman" w:hAnsi="Times New Roman"/>
          <w:sz w:val="14"/>
          <w:szCs w:val="14"/>
          <w:color w:val="auto"/>
        </w:rPr>
      </w:pPr>
    </w:p>
    <w:p>
      <w:pPr>
        <w:ind w:left="1020" w:right="560" w:hanging="442"/>
        <w:spacing w:after="0" w:line="287"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fail to comply with applicable regulatory requirements regarding the development, manufacture, distribution or marketing of a product candidate or product;</w:t>
      </w:r>
    </w:p>
    <w:p>
      <w:pPr>
        <w:spacing w:after="0" w:line="93" w:lineRule="exact"/>
        <w:rPr>
          <w:rFonts w:ascii="Times New Roman" w:cs="Times New Roman" w:eastAsia="Times New Roman" w:hAnsi="Times New Roman"/>
          <w:sz w:val="14"/>
          <w:szCs w:val="14"/>
          <w:color w:val="auto"/>
        </w:rPr>
      </w:pPr>
    </w:p>
    <w:p>
      <w:pPr>
        <w:ind w:left="1020" w:right="60" w:hanging="442"/>
        <w:spacing w:after="0" w:line="287"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39" w:lineRule="exact"/>
        <w:rPr>
          <w:rFonts w:ascii="Times New Roman" w:cs="Times New Roman" w:eastAsia="Times New Roman" w:hAnsi="Times New Roman"/>
          <w:sz w:val="14"/>
          <w:szCs w:val="14"/>
          <w:color w:val="auto"/>
        </w:rPr>
      </w:pPr>
    </w:p>
    <w:p>
      <w:pPr>
        <w:ind w:left="1020" w:right="320" w:hanging="442"/>
        <w:spacing w:after="0" w:line="287"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39" w:lineRule="exact"/>
        <w:rPr>
          <w:rFonts w:ascii="Times New Roman" w:cs="Times New Roman" w:eastAsia="Times New Roman" w:hAnsi="Times New Roman"/>
          <w:sz w:val="14"/>
          <w:szCs w:val="14"/>
          <w:color w:val="auto"/>
        </w:rPr>
      </w:pPr>
    </w:p>
    <w:p>
      <w:pPr>
        <w:ind w:left="1020" w:right="20" w:hanging="442"/>
        <w:spacing w:after="0" w:line="270"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50" w:lineRule="exact"/>
        <w:rPr>
          <w:rFonts w:ascii="Times New Roman" w:cs="Times New Roman" w:eastAsia="Times New Roman" w:hAnsi="Times New Roman"/>
          <w:sz w:val="14"/>
          <w:szCs w:val="14"/>
          <w:color w:val="auto"/>
        </w:rPr>
      </w:pPr>
    </w:p>
    <w:p>
      <w:pPr>
        <w:ind w:left="1020" w:hanging="442"/>
        <w:spacing w:after="0" w:line="287"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infringe the intellectual property rights of third parties, which may expose us to litigation and potential liability;</w:t>
      </w:r>
    </w:p>
    <w:p>
      <w:pPr>
        <w:spacing w:after="0" w:line="93" w:lineRule="exact"/>
        <w:rPr>
          <w:rFonts w:ascii="Times New Roman" w:cs="Times New Roman" w:eastAsia="Times New Roman" w:hAnsi="Times New Roman"/>
          <w:sz w:val="14"/>
          <w:szCs w:val="14"/>
          <w:color w:val="auto"/>
        </w:rPr>
      </w:pPr>
    </w:p>
    <w:p>
      <w:pPr>
        <w:ind w:left="1020" w:right="280" w:hanging="442"/>
        <w:spacing w:after="0" w:line="287"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collaborator of ours is involved in a business combination, the collaborator might deemphasize or terminate the development or commercialization of any product candidate licensed to it by us; and</w:t>
      </w:r>
    </w:p>
    <w:p>
      <w:pPr>
        <w:spacing w:after="0" w:line="39" w:lineRule="exact"/>
        <w:rPr>
          <w:rFonts w:ascii="Times New Roman" w:cs="Times New Roman" w:eastAsia="Times New Roman" w:hAnsi="Times New Roman"/>
          <w:sz w:val="14"/>
          <w:szCs w:val="14"/>
          <w:color w:val="auto"/>
        </w:rPr>
      </w:pPr>
    </w:p>
    <w:p>
      <w:pPr>
        <w:ind w:left="1020" w:right="120" w:hanging="442"/>
        <w:spacing w:after="0" w:line="287" w:lineRule="auto"/>
        <w:tabs>
          <w:tab w:leader="none" w:pos="10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by the collaborator, and, if terminated, we could be required to raise additional capital to pursue further development or commercialization of the applicable product candidates.</w:t>
      </w:r>
    </w:p>
    <w:p>
      <w:pPr>
        <w:spacing w:after="0" w:line="39"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51" w:lineRule="exact"/>
        <w:rPr>
          <w:sz w:val="20"/>
          <w:szCs w:val="20"/>
          <w:color w:val="auto"/>
        </w:rPr>
      </w:pPr>
    </w:p>
    <w:p>
      <w:pPr>
        <w:ind w:right="100" w:firstLine="318"/>
        <w:spacing w:after="0" w:line="257"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for our product candidates, and the negotiation process is time 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 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58" w:name="page59"/>
    <w:bookmarkEnd w:id="58"/>
    <w:p>
      <w:pPr>
        <w:spacing w:after="0" w:line="259" w:lineRule="auto"/>
        <w:rPr>
          <w:sz w:val="20"/>
          <w:szCs w:val="20"/>
          <w:color w:val="auto"/>
        </w:rPr>
      </w:pPr>
      <w:r>
        <w:rPr>
          <w:rFonts w:ascii="Times New Roman" w:cs="Times New Roman" w:eastAsia="Times New Roman" w:hAnsi="Times New Roman"/>
          <w:sz w:val="14"/>
          <w:szCs w:val="14"/>
          <w:color w:val="auto"/>
        </w:rPr>
        <w:t>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59" w:lineRule="exact"/>
        <w:rPr>
          <w:sz w:val="20"/>
          <w:szCs w:val="20"/>
          <w:color w:val="auto"/>
        </w:rPr>
      </w:pPr>
    </w:p>
    <w:p>
      <w:pPr>
        <w:ind w:right="24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suppliers and any future collaborators may need assurances that our financial resources and stability on a stand-alone basis are sufficient to satisfy their requirements for doing or continuing to do business with us.</w:t>
      </w:r>
    </w:p>
    <w:p>
      <w:pPr>
        <w:spacing w:after="0" w:line="37"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Managing Our Business and Operations</w:t>
      </w:r>
    </w:p>
    <w:p>
      <w:pPr>
        <w:spacing w:after="0" w:line="94" w:lineRule="exact"/>
        <w:rPr>
          <w:sz w:val="20"/>
          <w:szCs w:val="20"/>
          <w:color w:val="auto"/>
        </w:rPr>
      </w:pPr>
    </w:p>
    <w:p>
      <w:pPr>
        <w:ind w:right="12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we continue to establish our business and operations at the appropriate scale, we may encounter difficulties in managing our long-term growth and any intervening changes and costs, which could adversely affect our operations.</w:t>
      </w:r>
    </w:p>
    <w:p>
      <w:pPr>
        <w:spacing w:after="0" w:line="37"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As the Company has evolved over time, our operations have had to adapt appropriately to the stage of business. As our clinical development and commercialization plans and strategies for our former lead product candidate, bexotegrast, developed, we managed costs while making investments to expand our clinical trials and workforce. However, in March 2025, we announced that we were discontinuing the BEACON-IPF Phase 2b trial following a prespecified data review and recommendation by the trial's independent DSMB, as well as a secondary review and recommendation by an outside expert panel. Subsequently, in June 2025, we announced we were discontinuing the development of bexotegrast in IPF. As a result, we have made, and continue to make, strategic decisions to reduce our costs and preserve our cash reserves, including restructuring our workforce. In addition, in connection with this cost management strategy, we are considering certain alternatives to reduce our lease expenses, including subleasing some or all of our current facilities or negotiating an early exit from the Oyster Point Lease. Some decisions, nevertheless, may depend on factors that are not within our control including our ability to dispose of equipment, sublease our current facilities to a suitable subtenant, or terminate our existing lease on favorable terms or at all. Moreover, as our clinical development and commercialization plans and strategies develop for PLN-101095 and our other future product candidates,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63" w:lineRule="exact"/>
        <w:rPr>
          <w:sz w:val="20"/>
          <w:szCs w:val="20"/>
          <w:color w:val="auto"/>
        </w:rPr>
      </w:pPr>
    </w:p>
    <w:p>
      <w:pPr>
        <w:ind w:left="1020" w:hanging="442"/>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recruiting, integrating, retaining and motivating additional employees;</w:t>
      </w:r>
    </w:p>
    <w:p>
      <w:pPr>
        <w:spacing w:after="0" w:line="93" w:lineRule="exact"/>
        <w:rPr>
          <w:rFonts w:ascii="Times New Roman" w:cs="Times New Roman" w:eastAsia="Times New Roman" w:hAnsi="Times New Roman"/>
          <w:sz w:val="14"/>
          <w:szCs w:val="14"/>
          <w:color w:val="auto"/>
        </w:rPr>
      </w:pPr>
    </w:p>
    <w:p>
      <w:pPr>
        <w:ind w:left="1020" w:right="480" w:hanging="442"/>
        <w:spacing w:after="0" w:line="287" w:lineRule="auto"/>
        <w:tabs>
          <w:tab w:leader="none" w:pos="10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our development and commercialization efforts effectively, including the clinical and FDA review process for PLN-101095 or any other product candidates, while complying with our contractual obligations to contractors and other third parties; and</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our operational, financial and management controls, reporting systems and procedures.</w:t>
      </w:r>
    </w:p>
    <w:p>
      <w:pPr>
        <w:spacing w:after="0" w:line="94"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Our ability to continue to develop and, if approved, commercialize PLN-101095 or our other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39"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any product candidates and, accordingly, may not achieve our research, development and commercialization goals.</w:t>
      </w:r>
    </w:p>
    <w:p>
      <w:pPr>
        <w:spacing w:after="0" w:line="39"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9" w:name="page60"/>
    <w:bookmarkEnd w:id="59"/>
    <w:p>
      <w:pPr>
        <w:ind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lose key management personnel, or if we fail to recruit additional highly skilled personnel, our ability to develop PLN-101095 or other product candidates or identify and develop new product candidates will be impaired, could result in loss of markets or market share and could make us less competitive.</w:t>
      </w:r>
    </w:p>
    <w:p>
      <w:pPr>
        <w:spacing w:after="0" w:line="37"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4"/>
          <w:szCs w:val="14"/>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 In addition, in 2025, we made the strategic decision to restructure our workforce and right-size the Company in order to reduce our costs, preserve cash reserves and prioritize efforts on PLN-101095. However, this restructuring may increase our dependence on the remaining key members of our senior management and executive team and could result in other unintended consequences and costs, such as the loss of institutional knowledge and expertise, decreased morale or attrition among our remaining employees, and the risk that we may not achieve the anticipated benefits of the reduction in force.</w:t>
      </w:r>
    </w:p>
    <w:p>
      <w:pPr>
        <w:spacing w:after="0" w:line="62"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 These challenges may be intensified following our discontinuations of BEACON-IPF and our development of bexotegrast for IPF and workforce reduction during the past year, any of which could harm our ability to attract and retain qualified management, scientific and medical personnel who are critical to our business.</w:t>
      </w:r>
    </w:p>
    <w:p>
      <w:pPr>
        <w:spacing w:after="0" w:line="5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59" w:lineRule="exact"/>
        <w:rPr>
          <w:sz w:val="20"/>
          <w:szCs w:val="20"/>
          <w:color w:val="auto"/>
        </w:rPr>
      </w:pPr>
    </w:p>
    <w:p>
      <w:pPr>
        <w:ind w:right="22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37"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PLN-101095 or our other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62"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49" w:lineRule="exact"/>
        <w:rPr>
          <w:sz w:val="20"/>
          <w:szCs w:val="20"/>
          <w:color w:val="auto"/>
        </w:rPr>
      </w:pPr>
    </w:p>
    <w:p>
      <w:pPr>
        <w:ind w:right="20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37"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4" w:right="359" w:bottom="1440" w:gutter="0" w:footer="0" w:header="0"/>
        </w:sectPr>
      </w:pPr>
    </w:p>
    <w:bookmarkStart w:id="60" w:name="page61"/>
    <w:bookmarkEnd w:id="60"/>
    <w:p>
      <w:pPr>
        <w:spacing w:after="0" w:line="256" w:lineRule="auto"/>
        <w:rPr>
          <w:sz w:val="20"/>
          <w:szCs w:val="20"/>
          <w:color w:val="auto"/>
        </w:rPr>
      </w:pPr>
      <w:r>
        <w:rPr>
          <w:rFonts w:ascii="Times New Roman" w:cs="Times New Roman" w:eastAsia="Times New Roman" w:hAnsi="Times New Roman"/>
          <w:sz w:val="14"/>
          <w:szCs w:val="14"/>
          <w:color w:val="auto"/>
        </w:rPr>
        <w:t>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PLN-101095 or any of our other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use and generate materials that may expose us to material liability.</w:t>
      </w:r>
    </w:p>
    <w:p>
      <w:pPr>
        <w:spacing w:after="0" w:line="9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59" w:lineRule="exact"/>
        <w:rPr>
          <w:sz w:val="20"/>
          <w:szCs w:val="20"/>
          <w:color w:val="auto"/>
        </w:rPr>
      </w:pPr>
    </w:p>
    <w:p>
      <w:pPr>
        <w:ind w:right="4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7" w:lineRule="exact"/>
        <w:rPr>
          <w:sz w:val="20"/>
          <w:szCs w:val="20"/>
          <w:color w:val="auto"/>
        </w:rPr>
      </w:pPr>
    </w:p>
    <w:p>
      <w:pPr>
        <w:ind w:right="80" w:firstLine="318"/>
        <w:spacing w:after="0" w:line="256"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3"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49" w:lineRule="exact"/>
        <w:rPr>
          <w:sz w:val="20"/>
          <w:szCs w:val="20"/>
          <w:color w:val="auto"/>
        </w:rPr>
      </w:pPr>
    </w:p>
    <w:p>
      <w:pPr>
        <w:ind w:right="10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1" w:name="page62"/>
    <w:bookmarkEnd w:id="61"/>
    <w:p>
      <w:pPr>
        <w:ind w:firstLine="318"/>
        <w:spacing w:after="0" w:line="259" w:lineRule="auto"/>
        <w:rPr>
          <w:sz w:val="20"/>
          <w:szCs w:val="20"/>
          <w:color w:val="auto"/>
        </w:rPr>
      </w:pPr>
      <w:r>
        <w:rPr>
          <w:rFonts w:ascii="Times New Roman" w:cs="Times New Roman" w:eastAsia="Times New Roman" w:hAnsi="Times New Roman"/>
          <w:sz w:val="14"/>
          <w:szCs w:val="14"/>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tax credit carryforwards may be subject to limitation.</w:t>
      </w:r>
    </w:p>
    <w:p>
      <w:pPr>
        <w:spacing w:after="0" w:line="9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4"/>
          <w:szCs w:val="14"/>
          <w:color w:val="auto"/>
        </w:rPr>
        <w:t>As of December 31, 2025, we had net operating loss carryforwards for U.S. federal and state income tax purposes of $485.9 million and $398.2 million, respectively, some of which will begin to expire in 2035. As of December 31, 2025, we also had available tax credit carryforwards for U.S. federal income tax purposes of $46.4 million, which begin to expire in 2036, and tax credit carryforwards for state income tax purposes of $10.3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2025,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stock may be volatile, and you could lose all or part of your investment.</w:t>
      </w:r>
    </w:p>
    <w:p>
      <w:pPr>
        <w:spacing w:after="0" w:line="96" w:lineRule="exact"/>
        <w:rPr>
          <w:sz w:val="20"/>
          <w:szCs w:val="20"/>
          <w:color w:val="auto"/>
        </w:rPr>
      </w:pPr>
    </w:p>
    <w:p>
      <w:pPr>
        <w:ind w:right="200" w:firstLine="318"/>
        <w:spacing w:after="0" w:line="287" w:lineRule="auto"/>
        <w:rPr>
          <w:sz w:val="20"/>
          <w:szCs w:val="20"/>
          <w:color w:val="auto"/>
        </w:rPr>
      </w:pPr>
      <w:r>
        <w:rPr>
          <w:rFonts w:ascii="Times New Roman" w:cs="Times New Roman" w:eastAsia="Times New Roman" w:hAnsi="Times New Roman"/>
          <w:sz w:val="14"/>
          <w:szCs w:val="14"/>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39" w:lineRule="exact"/>
        <w:rPr>
          <w:sz w:val="20"/>
          <w:szCs w:val="20"/>
          <w:color w:val="auto"/>
        </w:rPr>
      </w:pPr>
    </w:p>
    <w:p>
      <w:pPr>
        <w:ind w:left="1020" w:hanging="44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enrollment or results of preclinical and clinical trials for PLN-101095 or our other product candidates conducted by us or our collaborators;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identifying and advancing a clinical candidate for our other development programs;</w:t>
      </w:r>
    </w:p>
    <w:p>
      <w:pPr>
        <w:spacing w:after="0" w:line="93" w:lineRule="exact"/>
        <w:rPr>
          <w:rFonts w:ascii="Times New Roman" w:cs="Times New Roman" w:eastAsia="Times New Roman" w:hAnsi="Times New Roman"/>
          <w:sz w:val="14"/>
          <w:szCs w:val="14"/>
          <w:color w:val="auto"/>
        </w:rPr>
      </w:pPr>
    </w:p>
    <w:p>
      <w:pPr>
        <w:ind w:left="1020" w:right="160" w:hanging="442"/>
        <w:spacing w:after="0" w:line="287" w:lineRule="auto"/>
        <w:tabs>
          <w:tab w:leader="none" w:pos="10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our regulatory filings for PLN-101095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results or delays in future clinical trials;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initiate a clinical trial, not to initiate a clinical trial or to terminate an existing clinical trial;</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decisions, including failure to receive regulatory approval of PLN-101095 or any other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PLN-101095 or any other product candidates, including but not limited to clinical trial requirements for approvals;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concerning our manufacturers;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62" w:name="page63"/>
    <w:bookmarkEnd w:id="62"/>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adequate product supply for any approved product or inability to do so at acceptable prices;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secure a positive health technology assessment recommendation;</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establish collaborations, if needed;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commercialize PLN-101095 or our other product candidates, if approved;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scientific or management personnel;</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serious safety concerns related to the use of PLN-101095 or any other product candidates;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products or services offered by us or our competitors;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joint ventures or capital commitments by us or our competitors;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quarterly operating results;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position;</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 estimates and projections of the investment community or that we may otherwise provide to the public;</w:t>
      </w:r>
    </w:p>
    <w:p>
      <w:pPr>
        <w:spacing w:after="0" w:line="93" w:lineRule="exact"/>
        <w:rPr>
          <w:rFonts w:ascii="Times New Roman" w:cs="Times New Roman" w:eastAsia="Times New Roman" w:hAnsi="Times New Roman"/>
          <w:sz w:val="14"/>
          <w:szCs w:val="14"/>
          <w:color w:val="auto"/>
        </w:rPr>
      </w:pPr>
    </w:p>
    <w:p>
      <w:pPr>
        <w:ind w:left="1020" w:right="520" w:hanging="442"/>
        <w:spacing w:after="0" w:line="287" w:lineRule="auto"/>
        <w:tabs>
          <w:tab w:leader="none" w:pos="10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 or product candidates in particular, or positive or negative recommendations or withdrawal of research coverage by securities analysts;</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the healthcare payment systems;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or our stockholders in the future;</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practices;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ineffectiveness of our internal controls;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and economic conditions; and</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w:t>
      </w:r>
    </w:p>
    <w:p>
      <w:pPr>
        <w:spacing w:after="0" w:line="9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geopolitical events, such as recent U.S. and Israeli military action against Iran and related disruption in the region, the Russian invasion of Ukraine, conflict in the Middle East and any other related global escalation of geopolitical tensions, domestic or international trade policies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stock.</w:t>
      </w:r>
    </w:p>
    <w:p>
      <w:pPr>
        <w:spacing w:after="0" w:line="96"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Any return to stockholders will therefore be limited to the appreciation of their stock.</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63" w:name="page64"/>
    <w:bookmarkEnd w:id="63"/>
    <w:p>
      <w:pPr>
        <w:ind w:right="44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37"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If there are substantial sales of shares of our common stock, the price of our common stock could decline.</w:t>
      </w:r>
    </w:p>
    <w:p>
      <w:pPr>
        <w:spacing w:after="0" w:line="96"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62" w:lineRule="exact"/>
        <w:rPr>
          <w:sz w:val="20"/>
          <w:szCs w:val="20"/>
          <w:color w:val="auto"/>
        </w:rPr>
      </w:pPr>
    </w:p>
    <w:p>
      <w:pPr>
        <w:ind w:right="12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under our charter documents, our stockholder rights agreement, and Delaware law could delay or prevent a change of control which could limit the market price of our common stock and may prevent or frustrate attempts by our stockholders to replace or remove our current management.</w:t>
      </w:r>
    </w:p>
    <w:p>
      <w:pPr>
        <w:spacing w:after="0" w:line="37"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39" w:lineRule="exact"/>
        <w:rPr>
          <w:sz w:val="20"/>
          <w:szCs w:val="20"/>
          <w:color w:val="auto"/>
        </w:rPr>
      </w:pPr>
    </w:p>
    <w:p>
      <w:pPr>
        <w:ind w:left="1020" w:hanging="442"/>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board of directors divided into three classes serving staggered three-year terms, such that not all members of the board will be elected at one time;</w:t>
      </w:r>
    </w:p>
    <w:p>
      <w:pPr>
        <w:spacing w:after="0" w:line="93"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through written consent, which requires that all stockholder actions be taken at a meeting of our stockholders;</w:t>
      </w:r>
    </w:p>
    <w:p>
      <w:pPr>
        <w:spacing w:after="0" w:line="93" w:lineRule="exact"/>
        <w:rPr>
          <w:rFonts w:ascii="Times New Roman" w:cs="Times New Roman" w:eastAsia="Times New Roman" w:hAnsi="Times New Roman"/>
          <w:sz w:val="14"/>
          <w:szCs w:val="14"/>
          <w:color w:val="auto"/>
        </w:rPr>
      </w:pPr>
    </w:p>
    <w:p>
      <w:pPr>
        <w:ind w:left="1020" w:right="340" w:hanging="442"/>
        <w:spacing w:after="0" w:line="287" w:lineRule="auto"/>
        <w:tabs>
          <w:tab w:leader="none" w:pos="10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stockholders be called only by the board of directors acting pursuant to a resolution approved by the affirmative vote of a majority of the directors then in office;</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nominations for election to our board of directors;</w:t>
      </w:r>
    </w:p>
    <w:p>
      <w:pPr>
        <w:spacing w:after="0" w:line="93" w:lineRule="exact"/>
        <w:rPr>
          <w:rFonts w:ascii="Times New Roman" w:cs="Times New Roman" w:eastAsia="Times New Roman" w:hAnsi="Times New Roman"/>
          <w:sz w:val="14"/>
          <w:szCs w:val="14"/>
          <w:color w:val="auto"/>
        </w:rPr>
      </w:pPr>
    </w:p>
    <w:p>
      <w:pPr>
        <w:ind w:left="1020" w:right="200" w:hanging="442"/>
        <w:spacing w:after="0" w:line="287" w:lineRule="auto"/>
        <w:tabs>
          <w:tab w:leader="none" w:pos="10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39" w:lineRule="exact"/>
        <w:rPr>
          <w:rFonts w:ascii="Times New Roman" w:cs="Times New Roman" w:eastAsia="Times New Roman" w:hAnsi="Times New Roman"/>
          <w:sz w:val="14"/>
          <w:szCs w:val="14"/>
          <w:color w:val="auto"/>
        </w:rPr>
      </w:pPr>
    </w:p>
    <w:p>
      <w:pPr>
        <w:ind w:left="1020" w:right="80" w:hanging="442"/>
        <w:spacing w:after="0" w:line="287" w:lineRule="auto"/>
        <w:tabs>
          <w:tab w:leader="none" w:pos="10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approval of not less than two-thirds of all outstanding shares of our voting stock to amend any bylaws by stockholder action or to amend specific provisions of our certificate of incorporation; and</w:t>
      </w:r>
    </w:p>
    <w:p>
      <w:pPr>
        <w:spacing w:after="0" w:line="39" w:lineRule="exact"/>
        <w:rPr>
          <w:rFonts w:ascii="Times New Roman" w:cs="Times New Roman" w:eastAsia="Times New Roman" w:hAnsi="Times New Roman"/>
          <w:sz w:val="14"/>
          <w:szCs w:val="14"/>
          <w:color w:val="auto"/>
        </w:rPr>
      </w:pPr>
    </w:p>
    <w:p>
      <w:pPr>
        <w:ind w:left="1020" w:right="240" w:hanging="442"/>
        <w:spacing w:after="0" w:line="287" w:lineRule="auto"/>
        <w:tabs>
          <w:tab w:leader="none" w:pos="10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39" w:lineRule="exact"/>
        <w:rPr>
          <w:sz w:val="20"/>
          <w:szCs w:val="20"/>
          <w:color w:val="auto"/>
        </w:rPr>
      </w:pPr>
    </w:p>
    <w:p>
      <w:pPr>
        <w:ind w:right="200" w:firstLine="318"/>
        <w:spacing w:after="0" w:line="264" w:lineRule="auto"/>
        <w:rPr>
          <w:sz w:val="20"/>
          <w:szCs w:val="20"/>
          <w:color w:val="auto"/>
        </w:rPr>
      </w:pPr>
      <w:r>
        <w:rPr>
          <w:rFonts w:ascii="Times New Roman" w:cs="Times New Roman" w:eastAsia="Times New Roman" w:hAnsi="Times New Roman"/>
          <w:sz w:val="14"/>
          <w:szCs w:val="14"/>
          <w:color w:val="auto"/>
        </w:rPr>
        <w:t>Our Stockholder Rights Agreement (the "Rights Plan") that is currently in effect will expire on March 11, 2027, unless extended. While in force or if otherwise extended, the Rights Plan may have certain anti-takeover effects. Specifically, the rights issued pursuant to the Rights Plan will cause substantial dilution to a person or group that acquires beneficial ownership of more than a specified percentage of our outstanding common stock without the prior approval of our Board of Directors. The Rights Plan is not intended to interfere with any merger or other business combination approved by the Board, but the rights plan may deter certain parties from pursuing strategic transactions involving us, including potential acquisitions.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4" w:name="page65"/>
    <w:bookmarkEnd w:id="64"/>
    <w:p>
      <w:pPr>
        <w:ind w:right="80" w:firstLine="318"/>
        <w:spacing w:after="0" w:line="259"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Shareholder activism could cause us to incur significant expense, disrupt our business, result in a proxy contest or litigation and impact our stock price.</w:t>
      </w:r>
    </w:p>
    <w:p>
      <w:pPr>
        <w:spacing w:after="0" w:line="96"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4"/>
          <w:szCs w:val="14"/>
          <w:color w:val="auto"/>
        </w:rPr>
        <w:t>We may be subject to shareholder activism in the future, which could result in substantial costs and divert management's and the board of directors’ attention and resources from our business. Such shareholder activism could interfere with our ability to execute on our clinical development and commercialization plans and strategies, give rise to perceived uncertainties as to our future, impact on our relationships with our third-party vendors or employees, result in the loss of potential business opportunities and make it more difficult to attract and retain qualified personnel. Any shareholder activism could require us to incur significant fees and other expenses, including retaining third-party advisors. We may also be subject to a proxy contest or to litigation by activist shareholders, including litigation related to any shareholder rights agreement or "poison pill" that our board of directors adopts, such as the Rights Plan adopted on March 12, 2025. Moreover, our stock price could be subject to significant fluctuation or otherwise be adversely affected by the events, risks and uncertainties of any shareholder activism.</w:t>
      </w:r>
    </w:p>
    <w:p>
      <w:pPr>
        <w:spacing w:after="0" w:line="59"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bylaws designate certain courts as the exclusive forum for certain litigation that may be initiated by our stockholders, which could limit our stockholders’ ability to litigate disputes with us in a different judicial forum.</w:t>
      </w:r>
    </w:p>
    <w:p>
      <w:pPr>
        <w:spacing w:after="0" w:line="37" w:lineRule="exact"/>
        <w:rPr>
          <w:sz w:val="20"/>
          <w:szCs w:val="20"/>
          <w:color w:val="auto"/>
        </w:rPr>
      </w:pPr>
    </w:p>
    <w:p>
      <w:pPr>
        <w:ind w:firstLine="318"/>
        <w:spacing w:after="0" w:line="256" w:lineRule="auto"/>
        <w:rPr>
          <w:sz w:val="20"/>
          <w:szCs w:val="20"/>
          <w:color w:val="auto"/>
        </w:rPr>
      </w:pPr>
      <w:r>
        <w:rPr>
          <w:rFonts w:ascii="Times New Roman" w:cs="Times New Roman" w:eastAsia="Times New Roman" w:hAnsi="Times New Roman"/>
          <w:sz w:val="14"/>
          <w:szCs w:val="14"/>
          <w:color w:val="231F20"/>
        </w:rPr>
        <w:t>P</w:t>
      </w:r>
      <w:r>
        <w:rPr>
          <w:rFonts w:ascii="Times New Roman" w:cs="Times New Roman" w:eastAsia="Times New Roman" w:hAnsi="Times New Roman"/>
          <w:sz w:val="14"/>
          <w:szCs w:val="14"/>
          <w:color w:val="000000"/>
        </w:rPr>
        <w:t>ursuant to our bylaws, unless we consent in writing to the selection of an alternative forum, the Court of Chancery of the State of Delaware will be the sole and exclusive forum for any state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or (vi) any other action asserting an “internal corporate claim” as defined in Section 115 of the DGCL,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65"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General Risk Factors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5" w:name="page66"/>
    <w:bookmarkEnd w:id="65"/>
    <w:p>
      <w:pPr>
        <w:ind w:right="2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37"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58" w:lineRule="exact"/>
        <w:rPr>
          <w:sz w:val="20"/>
          <w:szCs w:val="20"/>
          <w:color w:val="auto"/>
        </w:rPr>
      </w:pPr>
    </w:p>
    <w:p>
      <w:pPr>
        <w:ind w:right="140" w:firstLine="318"/>
        <w:spacing w:after="0" w:line="270" w:lineRule="auto"/>
        <w:rPr>
          <w:sz w:val="20"/>
          <w:szCs w:val="20"/>
          <w:color w:val="auto"/>
        </w:rPr>
      </w:pPr>
      <w:r>
        <w:rPr>
          <w:rFonts w:ascii="Times New Roman" w:cs="Times New Roman" w:eastAsia="Times New Roman" w:hAnsi="Times New Roman"/>
          <w:sz w:val="14"/>
          <w:szCs w:val="14"/>
          <w:color w:val="auto"/>
        </w:rPr>
        <w:t>We are required to disclose changes made in our internal controls and procedures on a quarterly basis. However, for as long as we are "non-accelerated filer," as defined by the SEC, our independent registered public accounting firm is not required to attest to the effectiveness of our internal controls over financial reporting pursuant to Section 404. An independent assessment of the effectiveness of our internal controls over financial reporting could detect problems that our management's assessment might not.</w:t>
      </w:r>
    </w:p>
    <w:p>
      <w:pPr>
        <w:spacing w:after="0" w:line="51"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If we are unable to assert that our internal control over financial reporting is effective, including as a result of any identified material weakness,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Stock Market, or Nasdaq.</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Our disclosure controls and procedures may not prevent or detect all errors or acts of fraud.</w:t>
      </w:r>
    </w:p>
    <w:p>
      <w:pPr>
        <w:spacing w:after="0" w:line="96" w:lineRule="exact"/>
        <w:rPr>
          <w:sz w:val="20"/>
          <w:szCs w:val="20"/>
          <w:color w:val="auto"/>
        </w:rPr>
      </w:pPr>
    </w:p>
    <w:p>
      <w:pPr>
        <w:ind w:right="80" w:firstLine="318"/>
        <w:spacing w:after="0" w:line="258" w:lineRule="auto"/>
        <w:rPr>
          <w:sz w:val="20"/>
          <w:szCs w:val="20"/>
          <w:color w:val="auto"/>
        </w:rPr>
      </w:pPr>
      <w:r>
        <w:rPr>
          <w:rFonts w:ascii="Times New Roman" w:cs="Times New Roman" w:eastAsia="Times New Roman" w:hAnsi="Times New Roman"/>
          <w:sz w:val="14"/>
          <w:szCs w:val="14"/>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stock incentive plans or otherwise will dilute all other stockholders</w:t>
      </w:r>
      <w:r>
        <w:rPr>
          <w:rFonts w:ascii="Times New Roman" w:cs="Times New Roman" w:eastAsia="Times New Roman" w:hAnsi="Times New Roman"/>
          <w:sz w:val="14"/>
          <w:szCs w:val="14"/>
          <w:b w:val="1"/>
          <w:bCs w:val="1"/>
          <w:i w:val="1"/>
          <w:iCs w:val="1"/>
          <w:color w:val="231F20"/>
        </w:rPr>
        <w:t>.</w:t>
      </w:r>
    </w:p>
    <w:p>
      <w:pPr>
        <w:spacing w:after="0" w:line="96"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4"/>
          <w:szCs w:val="14"/>
          <w:color w:val="auto"/>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 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96"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Nasdaq's continued listing requirements could result in a delisting of our common stock.</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6" w:name="page67"/>
    <w:bookmarkEnd w:id="66"/>
    <w:p>
      <w:pPr>
        <w:ind w:firstLine="318"/>
        <w:spacing w:after="0" w:line="261" w:lineRule="auto"/>
        <w:rPr>
          <w:sz w:val="20"/>
          <w:szCs w:val="20"/>
          <w:color w:val="auto"/>
        </w:rPr>
      </w:pPr>
      <w:r>
        <w:rPr>
          <w:rFonts w:ascii="Times New Roman" w:cs="Times New Roman" w:eastAsia="Times New Roman" w:hAnsi="Times New Roman"/>
          <w:sz w:val="14"/>
          <w:szCs w:val="14"/>
          <w:color w:val="auto"/>
        </w:rPr>
        <w:t>If we fail to satisfy the continued listing requirements of the Nasdaq Global Select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of such market (or another market tier) would allow our common stock to become listed again, stabilize the market price or improve liquidity of our common stock, prevent our common stock from dropping below the minimum bid price requirement or prevent future non-compliance with Nasdaq's listing requirements.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the scaled disclosure requirements applicable to smaller reporting companies may make our common stock less attractive to investors.</w:t>
      </w:r>
    </w:p>
    <w:p>
      <w:pPr>
        <w:spacing w:after="0" w:line="96"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spacing w:after="0" w:line="39" w:lineRule="exact"/>
        <w:rPr>
          <w:sz w:val="20"/>
          <w:szCs w:val="20"/>
          <w:color w:val="auto"/>
        </w:rPr>
      </w:pPr>
    </w:p>
    <w:p>
      <w:pPr>
        <w:ind w:left="1020" w:hanging="442"/>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w:t>
      </w:r>
    </w:p>
    <w:p>
      <w:pPr>
        <w:spacing w:after="0" w:line="93" w:lineRule="exact"/>
        <w:rPr>
          <w:rFonts w:ascii="Times New Roman" w:cs="Times New Roman" w:eastAsia="Times New Roman" w:hAnsi="Times New Roman"/>
          <w:sz w:val="14"/>
          <w:szCs w:val="14"/>
          <w:color w:val="auto"/>
        </w:rPr>
      </w:pPr>
    </w:p>
    <w:p>
      <w:pPr>
        <w:ind w:left="1020" w:right="560" w:hanging="442"/>
        <w:spacing w:after="0" w:line="287" w:lineRule="auto"/>
        <w:tabs>
          <w:tab w:leader="none" w:pos="10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any requirements that may be adopted by the Public Company Accounting Oversight Board regarding mandatory audit firm rotation or a supplement to the auditor's report providing additional information about the audit and the financial statements; and</w:t>
      </w:r>
    </w:p>
    <w:p>
      <w:pPr>
        <w:spacing w:after="0" w:line="39" w:lineRule="exact"/>
        <w:rPr>
          <w:rFonts w:ascii="Times New Roman" w:cs="Times New Roman" w:eastAsia="Times New Roman" w:hAnsi="Times New Roman"/>
          <w:sz w:val="14"/>
          <w:szCs w:val="14"/>
          <w:color w:val="auto"/>
        </w:rPr>
      </w:pPr>
    </w:p>
    <w:p>
      <w:pPr>
        <w:ind w:left="1020" w:hanging="442"/>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w:t>
      </w:r>
    </w:p>
    <w:p>
      <w:pPr>
        <w:spacing w:after="0" w:line="94"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We incur significant increased costs as a result of operating as a public company, and our management is required to devote substantial time to new compliance initiatives.</w:t>
      </w:r>
    </w:p>
    <w:p>
      <w:pPr>
        <w:spacing w:after="0" w:line="96"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4"/>
          <w:szCs w:val="14"/>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62"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4"/>
          <w:szCs w:val="14"/>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59" w:lineRule="exact"/>
        <w:rPr>
          <w:sz w:val="20"/>
          <w:szCs w:val="20"/>
          <w:color w:val="auto"/>
        </w:rPr>
      </w:pPr>
    </w:p>
    <w:p>
      <w:pPr>
        <w:ind w:right="18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37" w:lineRule="exact"/>
        <w:rPr>
          <w:sz w:val="20"/>
          <w:szCs w:val="20"/>
          <w:color w:val="auto"/>
        </w:rPr>
      </w:pPr>
    </w:p>
    <w:p>
      <w:pPr>
        <w:ind w:right="260" w:firstLine="318"/>
        <w:spacing w:after="0" w:line="270"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7" w:name="page68"/>
    <w:bookmarkEnd w:id="67"/>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51"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4"/>
          <w:szCs w:val="14"/>
          <w:color w:val="auto"/>
        </w:rPr>
        <w:t>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HHS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enacted the “My Health My Data Act” which regulates “consumer health data” which is defined as “personal information that is linked or reasonably linkable to a consumer and that identifies a consumer’s past, present, or future physical or mental health.” The “My Health My Data Act” provides exemptions for PHI as well as personal data used or shared in research, including data subject to 45 C.F.R. Parts 46, 50, and 56. Other states, such as Connecticut, Nevada, and Maryland have also enacted privacy legislation with particular provisions for consumer health data, and additional states may adopt health-specific requirements that could impact our business activities depending on how they are interpreted.</w:t>
      </w:r>
    </w:p>
    <w:p>
      <w:pPr>
        <w:spacing w:after="0" w:line="64"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CMS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On September 5, 2025, HHS announced an initiative to increase enforcement focus on the information blocking rule. The impact on the information blocking rules to our business is currently unclear.</w:t>
      </w:r>
    </w:p>
    <w:p>
      <w:pPr>
        <w:spacing w:after="0" w:line="64"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California passed the California Consumer Protection Act of 2018, or the CCPA, which went into effect in January 2020 and provides data privacy rights for consumers and operational requirements for companies. In addition, the CCPA was expanded on January 1, 2023, when the California Privacy Rights Act of 2020, or the CPRA, became operative. The CCPA, and its later amendments through the CPRA, gives California residents expanded data privacy rights, such as rights to access and delete their personal information, opt out of certain personal information sharing, and the ability to limit use of certain sensitive personal information in certain contexts, among other privacy right.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and the CPRA established a California Privacy Protection Agency to implement the law through additional regulations and enforcement. While there is currently an exception for protected health information that is subject to HIPAA and other personal information subject to clinical trial regulations, as currently written, the CCPA may impact certain of our business activities. Additionally, this exception does not apply to the private cause of action afforded to individuals for information security incidents. Compliance with the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68" w:name="page69"/>
    <w:bookmarkEnd w:id="68"/>
    <w:p>
      <w:pPr>
        <w:ind w:right="200"/>
        <w:spacing w:after="0" w:line="287" w:lineRule="auto"/>
        <w:rPr>
          <w:sz w:val="20"/>
          <w:szCs w:val="20"/>
          <w:color w:val="auto"/>
        </w:rPr>
      </w:pPr>
      <w:r>
        <w:rPr>
          <w:rFonts w:ascii="Times New Roman" w:cs="Times New Roman" w:eastAsia="Times New Roman" w:hAnsi="Times New Roman"/>
          <w:sz w:val="14"/>
          <w:szCs w:val="14"/>
          <w:color w:val="auto"/>
        </w:rPr>
        <w:t>CCPA may increase our compliance costs and potential liability, and impact our business activities depending on how it is interpreted. In the interim, implementing the evolving CPRA regulations will require additional investment in compliance programs and potential modifications to business processes.</w:t>
      </w:r>
    </w:p>
    <w:p>
      <w:pPr>
        <w:spacing w:after="0" w:line="3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Multiple other states have followed California and enacted comprehensive privacy laws. Additionally,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spacing w:after="0" w:line="51" w:lineRule="exact"/>
        <w:rPr>
          <w:sz w:val="20"/>
          <w:szCs w:val="20"/>
          <w:color w:val="auto"/>
        </w:rPr>
      </w:pPr>
    </w:p>
    <w:p>
      <w:pPr>
        <w:ind w:right="100" w:firstLine="318"/>
        <w:spacing w:after="0" w:line="257" w:lineRule="auto"/>
        <w:rPr>
          <w:sz w:val="20"/>
          <w:szCs w:val="20"/>
          <w:color w:val="auto"/>
        </w:rPr>
      </w:pPr>
      <w:r>
        <w:rPr>
          <w:rFonts w:ascii="Times New Roman" w:cs="Times New Roman" w:eastAsia="Times New Roman" w:hAnsi="Times New Roman"/>
          <w:sz w:val="14"/>
          <w:szCs w:val="14"/>
          <w:color w:val="auto"/>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w:t>
      </w:r>
    </w:p>
    <w:p>
      <w:pPr>
        <w:spacing w:after="0" w:line="64"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HHS, pursuant to legislation passed in 2021, issued guidance on recognized security practices for covered entities and business associates. HHS indicated that recognized security practices will not be an aggravating factor in HHS investigations, but that implementation of recognized security practices strengthen an organization’s cybersecurity and regulatory posture, as well as possibly lessening enforcement penalties in a potential regulatory enforcement.</w:t>
      </w:r>
    </w:p>
    <w:p>
      <w:pPr>
        <w:spacing w:after="0" w:line="61"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61"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In addition to our operations in the United States, which may be subject to healthcare and other laws relating to the privacy and security of health information and other personal data, we may seek to conduct clinical trials in the EEA/UK and may become subject to additional EEA/UK data privacy laws, regulations and guidelines.</w:t>
      </w:r>
    </w:p>
    <w:p>
      <w:pPr>
        <w:spacing w:after="0" w:line="39"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In the EU, the processing of personal data (i.e., data which identifies an individual or from which an individual is identifiable) is governed by the EU General Data Protection Regulation 2016/679 (EU GDPR). The U.K. has implemented the EU GDPR as the U.K. GDPR (together with the EU GDPR, the GDPR) which sits alongside the U.K. Data Protection Act 2018 (as amended). The GDPR has direct effect where an entity is established in the EEA or the U.K. (as applicable) and has extra-territorial effect where an entity established outside of the EEA or the UK processes personal data in relation to the offering of goods or services to individuals in the EEA and/or the UK or the monitoring of their behavior.</w:t>
      </w:r>
    </w:p>
    <w:p>
      <w:pPr>
        <w:spacing w:after="0" w:line="56"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The GDPR imposes obligations on controllers, including, among others: (i) accountability and transparency requirements, requiring controllers to demonstrate and record compliance with the GDPR and to provide detailed information to individuals regarding the processing of their personal data (e.g., via informed consent forms); (ii) requirements to process personal data lawfully including specific requirements for obtaining valid consent where consent is the lawful basis for processing; (iii) obligations to consider data protection when any new products or services are developed and designed (including e.g., to limit the amount of personal data processed); (iv) obligations to comply 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individuals’ data protection rights; and (v) an obligation to report certain personal data breaches to the competent data protection authority and affected individuals.</w:t>
      </w:r>
    </w:p>
    <w:p>
      <w:pPr>
        <w:spacing w:after="0" w:line="94"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In addition, the EU GDPR prohibits the international transfer of personal data from the EEA to jurisdictions that the European Commission does not recognize as having an ‘adequate’ level of data protection unless a data transfer mechanism has been put in place or a derogation under the EU GDPR can be relied on. In July 2020, the CJEU in its Schrems II judgement limited how organizations could lawfully transfer personal data from the EEA to the U.S. by invalidating the EU-U.S. Privacy Shield for purposes of international transfers and imposing further restrictions on the use of standard contractual clauses (EU SCCs), including a requirement for companies to carry out a transfer privacy impact assessment (TIA). A TIA, among other things, assesses laws governing access to personal data in the recipient country. On 10 July 2023, the European Commission adopted its Final Implementing Decision granting the U.S. adequacy (Adequacy Decision) for EU-U.S. transfers of personal data for entities self-certified to the new Trans-Atlantic Data Privacy Framework (DPF). Entities relying on EU SCCs for transfers to the U.S. are also able to rely on the analysis in the Adequacy Decision as support for their TIA regarding the equivalence of U.S. national security safeguards and redress.</w:t>
      </w:r>
    </w:p>
    <w:p>
      <w:pPr>
        <w:spacing w:after="0" w:line="6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U.K. GDPR also imposes similar restrictions on transfers of personal data from the U.K. to jurisdictions that the U.K. Government does not consider adequate, including the US. The U.K. Government has published its own form of the EU SCCs, known as the International Data Transfer Agreement and an International Data Transfer Addendum to the new EU SCCs. The U.K. Information Commissioner’s Office (ICO) has also published its own version of the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w:t>
      </w:r>
    </w:p>
    <w:p>
      <w:pPr>
        <w:spacing w:after="0" w:line="58"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Data protection supervisory authorities have the power under the GDPR to (amongst other things) impose fines for serious breaches of up to the higher of 4% of the organization’s annual worldwide turnover or €20m (under the EU GDPR) or £17.5m (under the U.K. GDPR). Individuals also have a right to compensation, as a result of an organization’s breach of the GDPR which has affected them, for financial or non-financial losses (e.g., distress).</w:t>
      </w:r>
    </w:p>
    <w:p>
      <w:pPr>
        <w:spacing w:after="0" w:line="51"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4"/>
          <w:szCs w:val="14"/>
          <w:color w:val="auto"/>
        </w:rPr>
        <w:t>We have in the past conducted, and in the future may commence, clinical trials in the EEA, the U.K. and Switzerland. In the event we commence clinical trials in these jurisdictions,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or Swiss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spacing w:after="0" w:line="62"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If we are investigated by a European or Swiss data protection authority, we may face fines and other penalties. Any such investigation or charges by European or Swiss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61"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European Health Data Space Regulations (the EHDS Regulations) came into force on March 26, 2025. The aims of the EHDS Regulations are to provide individuals with more control over their electronic health data, enable cross-border sharing of European Health Data (EHD) between national EU healthcare systems and facilitate the sharing of EHD for secondary research purposes. The EHDS Regulations impose new obligations, but also create opportunities for companies engaged in health-related research to share and access health data on a large scale. Although the EHDS Regulations have come into force, key obligations will not apply until March 2029.</w:t>
      </w:r>
    </w:p>
    <w:p>
      <w:pPr>
        <w:spacing w:after="0" w:line="54"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0" w:name="page71"/>
    <w:bookmarkEnd w:id="70"/>
    <w:p>
      <w:pPr>
        <w:jc w:val="both"/>
        <w:ind w:right="100" w:firstLine="318"/>
        <w:spacing w:after="0" w:line="264" w:lineRule="auto"/>
        <w:rPr>
          <w:sz w:val="20"/>
          <w:szCs w:val="20"/>
          <w:color w:val="auto"/>
        </w:rPr>
      </w:pPr>
      <w:r>
        <w:rPr>
          <w:rFonts w:ascii="Times New Roman" w:cs="Times New Roman" w:eastAsia="Times New Roman" w:hAnsi="Times New Roman"/>
          <w:sz w:val="14"/>
          <w:szCs w:val="14"/>
          <w:color w:val="auto"/>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56"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4"/>
          <w:szCs w:val="14"/>
          <w:color w:val="auto"/>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PLN-101095 or our other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(ILAP) and the International Recognition Procedure. The ILAP is an accelerated assessment procedure for marketing authorization applications facilitating the early interaction with pricing authorities and HTA bodies which aims to enable companies to enter the U.K. market faster. In January 2024, the MHRA also launched a new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 Any delay in obtaining, or an inability to obtain, any regulatory approvals, as a result of Brexit or otherwise, would prevent us from commercializing PLN-101095 or our other product candidates in the U.K. and/or the EU and restrict our ability to generate revenue and achieve and sustain profitability. If any of these outcomes occur, we may be forced to restrict or delay efforts to seek regulatory approval in the U.K. and/or EU for PLN-101095 or our other product candidates, which could significantly and materially harm our business.</w:t>
      </w:r>
    </w:p>
    <w:p>
      <w:pPr>
        <w:spacing w:after="0" w:line="61"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amended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were implemented on January 1, 2025.</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Changes in U.S. tax law could adversely affect our financial condition and results of operations.</w:t>
      </w:r>
    </w:p>
    <w:p>
      <w:pPr>
        <w:spacing w:after="0" w:line="96"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54" w:lineRule="exact"/>
        <w:rPr>
          <w:sz w:val="20"/>
          <w:szCs w:val="20"/>
          <w:color w:val="auto"/>
        </w:rPr>
      </w:pPr>
    </w:p>
    <w:p>
      <w:pPr>
        <w:ind w:right="14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information systems, or those of our collaborators or other contractors or consultants, may fail or suffer security breaches, which could result in a material disruption of our product development programs.</w:t>
      </w:r>
    </w:p>
    <w:p>
      <w:pPr>
        <w:spacing w:after="0" w:line="37"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4"/>
          <w:szCs w:val="14"/>
          <w:color w:val="auto"/>
        </w:rPr>
        <w:t>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1" w:name="page72"/>
    <w:bookmarkEnd w:id="71"/>
    <w:p>
      <w:pPr>
        <w:ind w:right="280"/>
        <w:spacing w:after="0" w:line="287" w:lineRule="auto"/>
        <w:rPr>
          <w:sz w:val="20"/>
          <w:szCs w:val="20"/>
          <w:color w:val="auto"/>
        </w:rPr>
      </w:pPr>
      <w:r>
        <w:rPr>
          <w:rFonts w:ascii="Times New Roman" w:cs="Times New Roman" w:eastAsia="Times New Roman" w:hAnsi="Times New Roman"/>
          <w:sz w:val="14"/>
          <w:szCs w:val="14"/>
          <w:color w:val="auto"/>
        </w:rPr>
        <w:t>or proprietary information, we could incur liability, our competitive position could be harmed and the further development and commercialization of PLN-101095 or our other product candidates could be delayed.</w:t>
      </w:r>
    </w:p>
    <w:p>
      <w:pPr>
        <w:spacing w:after="0" w:line="39" w:lineRule="exact"/>
        <w:rPr>
          <w:sz w:val="20"/>
          <w:szCs w:val="20"/>
          <w:color w:val="auto"/>
        </w:rPr>
      </w:pPr>
    </w:p>
    <w:p>
      <w:pPr>
        <w:ind w:right="120" w:firstLine="318"/>
        <w:spacing w:after="0" w:line="257" w:lineRule="auto"/>
        <w:rPr>
          <w:sz w:val="20"/>
          <w:szCs w:val="20"/>
          <w:color w:val="auto"/>
        </w:rPr>
      </w:pPr>
      <w:r>
        <w:rPr>
          <w:rFonts w:ascii="Times New Roman" w:cs="Times New Roman" w:eastAsia="Times New Roman" w:hAnsi="Times New Roman"/>
          <w:sz w:val="14"/>
          <w:szCs w:val="14"/>
          <w:color w:val="auto"/>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spacing w:after="0" w:line="61"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4"/>
          <w:szCs w:val="14"/>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61"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4"/>
          <w:szCs w:val="14"/>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51"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could adversely affect our business, financial condition or results of operations.</w:t>
      </w:r>
    </w:p>
    <w:p>
      <w:pPr>
        <w:spacing w:after="0" w:line="96"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COVID-19, geopolitical events, such as recent U.S. and Israeli military action against Iran and delated disruption in the region, the Russian invasion of Ukraine, conflict in the Middle East and any other related global escalation of geopolitical tensions, inflationary pressures, interest rates volatility and domestic or international trade policy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Use of social media platforms presents risks and challenges.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2" w:name="page73"/>
    <w:bookmarkEnd w:id="72"/>
    <w:p>
      <w:pPr>
        <w:ind w:firstLine="318"/>
        <w:spacing w:after="0" w:line="257" w:lineRule="auto"/>
        <w:rPr>
          <w:sz w:val="20"/>
          <w:szCs w:val="20"/>
          <w:color w:val="auto"/>
        </w:rPr>
      </w:pPr>
      <w:r>
        <w:rPr>
          <w:rFonts w:ascii="Times New Roman" w:cs="Times New Roman" w:eastAsia="Times New Roman" w:hAnsi="Times New Roman"/>
          <w:sz w:val="14"/>
          <w:szCs w:val="14"/>
          <w:color w:val="auto"/>
        </w:rPr>
        <w:t>Social media is a medium through which we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59" w:lineRule="exact"/>
        <w:rPr>
          <w:sz w:val="20"/>
          <w:szCs w:val="20"/>
          <w:color w:val="auto"/>
        </w:rPr>
      </w:pPr>
    </w:p>
    <w:p>
      <w:pPr>
        <w:ind w:right="140" w:firstLine="318"/>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37"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6"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4"/>
          <w:szCs w:val="14"/>
          <w:color w:val="auto"/>
        </w:rPr>
        <w:t>Pliant’s Cybersecurity Program is integral to safeguarding our assets, maintaining stakeholder trust, and ensuring the continuity of our operations. The management of our Cybersecurity Program is entrusted to the Cybersecurity Governance Committee (“CSGC”), which includes our Chief Financial Officer, Head of Information Technology and Corporate Controller. The CSGC draws on more than twenty years of experience focused in the areas of corporate governance and implementation and oversight of information technology systems and processes. The Board of Directors has delegated oversight of the Company's Cybersecurity Program to the Audit Committee, who receives regular reports from the Chief Financial Officer regarding cyber risks and threats, progress of the Company's projects aimed at strengthening information security systems, assessments of the Cybersecurity Program, and insights into the evolving threat landscape. The Audit Committee provides updates about the Company's Cybersecurity Program to the Board of Directors at least annually.</w:t>
      </w:r>
    </w:p>
    <w:p>
      <w:pPr>
        <w:spacing w:after="0" w:line="61"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4"/>
          <w:szCs w:val="14"/>
          <w:color w:val="auto"/>
        </w:rPr>
        <w:t>The CSGC leads the enterprise-wide cybersecurity strategy and policy development to ensure alignment and best practices informed by industry established frameworks. The Cybersecurity Program emphasizes continuous improvement by actively engaging with internal and external stakeholders, striving to stay ahead of emerging threats, adapting to the evolving cybersecurity landscape, and fortifying our defenses against potential risks. The Cybersecurity Program undergoes regular evaluations conducted by both internal and external experts to assess the strength of our Cybersecurity Program. Regular penetration tests are performed as well as simulated cybersecurity events to test our defenses and responses to unmitigated penetrations. The results of these evaluations are reported to the CSGC and Audit Committee of the Board of Directors. We have also deployed an information security training program for our employees that includes training on matters such as phishing and email security best practices as well as required training on data privacy.</w:t>
      </w:r>
    </w:p>
    <w:p>
      <w:pPr>
        <w:spacing w:after="0" w:line="61" w:lineRule="exact"/>
        <w:rPr>
          <w:sz w:val="20"/>
          <w:szCs w:val="20"/>
          <w:color w:val="auto"/>
        </w:rPr>
      </w:pPr>
    </w:p>
    <w:p>
      <w:pPr>
        <w:jc w:val="both"/>
        <w:ind w:right="40" w:firstLine="318"/>
        <w:spacing w:after="0" w:line="254" w:lineRule="auto"/>
        <w:rPr>
          <w:sz w:val="20"/>
          <w:szCs w:val="20"/>
          <w:color w:val="auto"/>
        </w:rPr>
      </w:pPr>
      <w:r>
        <w:rPr>
          <w:rFonts w:ascii="Times New Roman" w:cs="Times New Roman" w:eastAsia="Times New Roman" w:hAnsi="Times New Roman"/>
          <w:sz w:val="14"/>
          <w:szCs w:val="14"/>
          <w:color w:val="auto"/>
        </w:rPr>
        <w:t>We have implemented processes designed to minimize the chance of a successful cyberattack and we have also established incident response procedures to address a cyber threat that may occur despite these safeguards. Pliant’s Cybersecurity Incident Response Plan includes engagement with key vendors, industry participants, and intelligence and law enforcement communities which are a fundamental aspect of our strategy. The Response Plan addresses (1) detection, (2) analysis, (3) communication, (4) containment, (5) eradication, (6) recovery and (7) post-incident review.</w:t>
      </w:r>
    </w:p>
    <w:p>
      <w:pPr>
        <w:spacing w:after="0" w:line="62" w:lineRule="exact"/>
        <w:rPr>
          <w:sz w:val="20"/>
          <w:szCs w:val="20"/>
          <w:color w:val="auto"/>
        </w:rPr>
      </w:pPr>
    </w:p>
    <w:p>
      <w:pPr>
        <w:ind w:right="40" w:firstLine="318"/>
        <w:spacing w:after="0" w:line="254" w:lineRule="auto"/>
        <w:rPr>
          <w:sz w:val="20"/>
          <w:szCs w:val="20"/>
          <w:color w:val="auto"/>
        </w:rPr>
      </w:pPr>
      <w:r>
        <w:rPr>
          <w:rFonts w:ascii="Times New Roman" w:cs="Times New Roman" w:eastAsia="Times New Roman" w:hAnsi="Times New Roman"/>
          <w:sz w:val="14"/>
          <w:szCs w:val="14"/>
          <w:color w:val="auto"/>
        </w:rPr>
        <w:t>As of the date of this report, we have not identified any risks from cybersecurity threats, including as a result of any previous cybersecurity incidents, that have materially affected us, our business strategy, results of operation or financial condition. For more information about the risks we face from cybersecurity incidents, please refer those discussed risk factors starting with “</w:t>
      </w:r>
      <w:r>
        <w:rPr>
          <w:rFonts w:ascii="Times New Roman" w:cs="Times New Roman" w:eastAsia="Times New Roman" w:hAnsi="Times New Roman"/>
          <w:sz w:val="14"/>
          <w:szCs w:val="14"/>
          <w:i w:val="1"/>
          <w:iCs w:val="1"/>
          <w:color w:val="auto"/>
        </w:rPr>
        <w:t>We may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incur substantial costs in our efforts to comply with evolving global data protection…</w:t>
      </w:r>
      <w:r>
        <w:rPr>
          <w:rFonts w:ascii="Times New Roman" w:cs="Times New Roman" w:eastAsia="Times New Roman" w:hAnsi="Times New Roman"/>
          <w:sz w:val="14"/>
          <w:szCs w:val="14"/>
          <w:color w:val="auto"/>
        </w:rPr>
        <w:t>”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Our information systems or those of our collaborators…</w:t>
      </w:r>
      <w:r>
        <w:rPr>
          <w:rFonts w:ascii="Times New Roman" w:cs="Times New Roman" w:eastAsia="Times New Roman" w:hAnsi="Times New Roman"/>
          <w:sz w:val="14"/>
          <w:szCs w:val="14"/>
          <w:color w:val="auto"/>
        </w:rPr>
        <w:t>” in the section entitled “Risk Factors” included under Part I, Item 1A of this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6" w:lineRule="exact"/>
        <w:rPr>
          <w:sz w:val="20"/>
          <w:szCs w:val="20"/>
          <w:color w:val="auto"/>
        </w:rPr>
      </w:pPr>
    </w:p>
    <w:p>
      <w:pPr>
        <w:ind w:right="40" w:firstLine="318"/>
        <w:spacing w:after="0" w:line="236" w:lineRule="auto"/>
        <w:rPr>
          <w:sz w:val="20"/>
          <w:szCs w:val="20"/>
          <w:color w:val="auto"/>
        </w:rPr>
      </w:pPr>
      <w:r>
        <w:rPr>
          <w:rFonts w:ascii="Times New Roman" w:cs="Times New Roman" w:eastAsia="Times New Roman" w:hAnsi="Times New Roman"/>
          <w:sz w:val="14"/>
          <w:szCs w:val="14"/>
          <w:color w:val="auto"/>
        </w:rPr>
        <w:t>We lease premises consisting of approximately 100,904 square feet of office and laboratory space located at Oyster Point Blvd, South San Francisco, California pursuant to a lease agreement entered into on September 28, 2023 (the "Oyster Point Lease"), which is being used as a single unified Company headquarters. The lease term of approximately seven years started in the second quarter of 2024. Following the strategic restructuring of our operations in 2025, our current facilities provide ample space for our current and near-term needs for the business of developing and commercializing integrin-based therapeutics. We have begun to evaluate potential sub-lease opportunities in an effort to preserve capital.</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the date of this Annual Report,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44" w:right="499" w:bottom="1440" w:gutter="0" w:footer="0" w:header="0"/>
        </w:sectPr>
      </w:pPr>
    </w:p>
    <w:bookmarkStart w:id="74" w:name="page75"/>
    <w:bookmarkEnd w:id="74"/>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96"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Our common stock has been listed on the Nasdaq Global Select Market under the symbol “PLRX” since June 3, 2020. Prior to that date, there was no public trading market for our common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96"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As of the close of business on March 6, 2026, there were 21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9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We currently intend to retain all available funds and future earnings, if any, for the development, operation and expansion of our business and do not anticipate declaring or paying any cash dividends for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about our equity compensation plans is incorporated herein by reference to Item 12 of Part III of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is intended to provide material information around events and uncertainties known to management relevant to an assessment of the financial condition and results of operations of the Company and should therefore be read in conjunction with our audited Financial Statements and the accompanying Notes to Financial Statements and other disclosures included in this Annual Report on Form 10-K (including the disclosures under Part I, Item 1A. Risk Factors) where other material events and uncertainties not otherwise discussed below are disclosed. Certain amounts and percentages herein may not sum or recalculate due to rounding.</w:t>
      </w:r>
    </w:p>
    <w:p>
      <w:pPr>
        <w:spacing w:after="0" w:line="53" w:lineRule="exact"/>
        <w:rPr>
          <w:sz w:val="20"/>
          <w:szCs w:val="20"/>
          <w:color w:val="auto"/>
        </w:rPr>
      </w:pPr>
    </w:p>
    <w:p>
      <w:pPr>
        <w:ind w:right="120"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97" w:right="37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discovering and developing integrin-based therapeutics. Our lead program is focused on the development of treatments for solid tumors by inhibiting integrin-mediated activation of transforming growth factor-β (TGF-β). We have applied our deep understanding of integrin biology, along with our medicinal chemistry and translational medicine expertise to develop a proprietary drug discovery platform that we believe has broad applicability across multiple areas of disease.</w:t>
      </w:r>
    </w:p>
    <w:p>
      <w:pPr>
        <w:spacing w:after="0" w:line="51"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Our wholly owned lead product candidate, PLN-101095, is an oral, small molecule, dual selective inhibitor of αvβ8 and αvβ1 integrins in development for the treatment of solid tumors. In 2025, we announced positive data from a Phase 1 open-label dose-escalation trial of PLN-101095 as monotherapy and in combination with the immunotherapy pembrolizumab in patients with solid tumors that are resistant to immune checkpoint inhibitors. We also continue to explore the full potential of our drug discovery platform consisting of a proprietary library of over 15,000 integrin binding molecules, focusing on integrin-based target-mediated drug delivery.</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Fourth Quarter and Recent Developments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Oncology Program</w:t>
      </w:r>
    </w:p>
    <w:p>
      <w:pPr>
        <w:spacing w:after="0" w:line="94" w:lineRule="exact"/>
        <w:rPr>
          <w:sz w:val="20"/>
          <w:szCs w:val="20"/>
          <w:color w:val="auto"/>
        </w:rPr>
      </w:pPr>
    </w:p>
    <w:p>
      <w:pPr>
        <w:ind w:left="520" w:right="80" w:hanging="260"/>
        <w:spacing w:after="0" w:line="259" w:lineRule="auto"/>
        <w:tabs>
          <w:tab w:leader="none" w:pos="495" w:val="left"/>
        </w:tabs>
        <w:numPr>
          <w:ilvl w:val="0"/>
          <w:numId w:val="46"/>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 xml:space="preserve">Data from the Phase 1 trial of PLN-101095 showed deep and durable ongoing responses. </w:t>
      </w:r>
      <w:r>
        <w:rPr>
          <w:rFonts w:ascii="Times New Roman" w:cs="Times New Roman" w:eastAsia="Times New Roman" w:hAnsi="Times New Roman"/>
          <w:sz w:val="14"/>
          <w:szCs w:val="14"/>
          <w:color w:val="auto"/>
        </w:rPr>
        <w:t>In December, the Company announced positive data showing that, in a heavily pretreated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patient population, PLN-101095 demonstrated anti-tumor activity in combination with </w:t>
      </w:r>
      <w:r>
        <w:rPr>
          <w:rFonts w:ascii="Times New Roman" w:cs="Times New Roman" w:eastAsia="Times New Roman" w:hAnsi="Times New Roman"/>
          <w:sz w:val="14"/>
          <w:szCs w:val="14"/>
          <w:i w:val="1"/>
          <w:iCs w:val="1"/>
          <w:color w:val="auto"/>
        </w:rPr>
        <w:t>pembrolizumab</w:t>
      </w:r>
      <w:r>
        <w:rPr>
          <w:rFonts w:ascii="Times New Roman" w:cs="Times New Roman" w:eastAsia="Times New Roman" w:hAnsi="Times New Roman"/>
          <w:sz w:val="14"/>
          <w:szCs w:val="14"/>
          <w:color w:val="auto"/>
        </w:rPr>
        <w:t xml:space="preserve">, an FDA-approved ICI. Four responders were observed consisting of one confirmed complete response and three partial responses (two confirmed, one unconfirmed) out of the 10 secondary ICI refractory patients. These clinical responses were observed in patients with cholangiocarcinoma, melanoma, head and neck squamous cell carcinoma and non-small cell lung cancer (NSCLC). Notably, all responding patients showed large increases in plasma interferon gamma (IFN-γ) after 14 days of monotherapy with PLN-101095 prior to the addition of </w:t>
      </w:r>
      <w:r>
        <w:rPr>
          <w:rFonts w:ascii="Times New Roman" w:cs="Times New Roman" w:eastAsia="Times New Roman" w:hAnsi="Times New Roman"/>
          <w:sz w:val="14"/>
          <w:szCs w:val="14"/>
          <w:i w:val="1"/>
          <w:iCs w:val="1"/>
          <w:color w:val="auto"/>
        </w:rPr>
        <w:t>pembrolizumab</w:t>
      </w:r>
      <w:r>
        <w:rPr>
          <w:rFonts w:ascii="Times New Roman" w:cs="Times New Roman" w:eastAsia="Times New Roman" w:hAnsi="Times New Roman"/>
          <w:sz w:val="14"/>
          <w:szCs w:val="14"/>
          <w:color w:val="auto"/>
        </w:rPr>
        <w:t>. No non-responders showed meaningful increases in plasma IFN- γ. PLN-101095 was generally well tolerated across all doses tested. IFN-γ is known to play a multifaceted role in modulating anti-tumor immunity, with increased tumor expression levels having previously been linked with better outcomes from immune checkpoint blockade.</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Accelerated development plan of PLN-101095 underway with initiation of Phase 1b indication expansion trial.</w:t>
      </w:r>
    </w:p>
    <w:p>
      <w:pPr>
        <w:spacing w:after="0" w:line="95" w:lineRule="exact"/>
        <w:rPr>
          <w:rFonts w:ascii="Times New Roman" w:cs="Times New Roman" w:eastAsia="Times New Roman" w:hAnsi="Times New Roman"/>
          <w:sz w:val="14"/>
          <w:szCs w:val="14"/>
          <w:color w:val="auto"/>
        </w:rPr>
      </w:pPr>
    </w:p>
    <w:p>
      <w:pPr>
        <w:ind w:left="5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Based on the encouraging response data and supportive IFN- γ biomarker data from the Phase 1 trial, the Company is advancing an accelerated clinical development plan of PLN-101095 and has initiated a Phase 1b indication expansion trial. The Phase 1b open-label, single dose trial will enroll three cohorts of patients including NSCLC, clear cell renal cell carcinoma and tumors with high tumor mutational burden. Tumor selection was based on data from the Phase 1 trial, as well as strong mechanistic rationale for integrin inhibition. Patients will be treated for 14 days with PLN-101095 dosed at 1,000 mg twice daily as monotherapy, after which </w:t>
      </w:r>
      <w:r>
        <w:rPr>
          <w:rFonts w:ascii="Times New Roman" w:cs="Times New Roman" w:eastAsia="Times New Roman" w:hAnsi="Times New Roman"/>
          <w:sz w:val="14"/>
          <w:szCs w:val="14"/>
          <w:i w:val="1"/>
          <w:iCs w:val="1"/>
          <w:color w:val="auto"/>
        </w:rPr>
        <w:t>pembrolizumab</w:t>
      </w:r>
      <w:r>
        <w:rPr>
          <w:rFonts w:ascii="Times New Roman" w:cs="Times New Roman" w:eastAsia="Times New Roman" w:hAnsi="Times New Roman"/>
          <w:sz w:val="14"/>
          <w:szCs w:val="14"/>
          <w:color w:val="auto"/>
        </w:rPr>
        <w:t xml:space="preserve"> will be added as combination therapy. Study start activities for this trial are underway with first patient enrollment anticipated in second quarter. Interim data is expected in 2027.</w:t>
      </w:r>
    </w:p>
    <w:p>
      <w:pPr>
        <w:spacing w:after="0" w:line="56" w:lineRule="exact"/>
        <w:rPr>
          <w:rFonts w:ascii="Times New Roman" w:cs="Times New Roman" w:eastAsia="Times New Roman" w:hAnsi="Times New Roman"/>
          <w:sz w:val="14"/>
          <w:szCs w:val="14"/>
          <w:color w:val="auto"/>
        </w:rPr>
      </w:pPr>
    </w:p>
    <w:p>
      <w:pPr>
        <w:ind w:left="520" w:right="120" w:hanging="260"/>
        <w:spacing w:after="0" w:line="271"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PLN-101095 Phase 1 data accepted for presentation at AACR Annual Meeting 2026. </w:t>
      </w:r>
      <w:r>
        <w:rPr>
          <w:rFonts w:ascii="Times New Roman" w:cs="Times New Roman" w:eastAsia="Times New Roman" w:hAnsi="Times New Roman"/>
          <w:sz w:val="14"/>
          <w:szCs w:val="14"/>
          <w:color w:val="auto"/>
        </w:rPr>
        <w:t>Data from the Phase 1 trial of PLN-101095 will be the subject of a poster presentation and an oral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presentation as part of the Clinical Trials Minisymposium at the upcoming American Association of Cancer Research (AACR) conference to be held April 17-22, 2026, in San Diego, California.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Integrin-Targeted Delivery Platform</w:t>
      </w:r>
    </w:p>
    <w:p>
      <w:pPr>
        <w:spacing w:after="0" w:line="96" w:lineRule="exact"/>
        <w:rPr>
          <w:sz w:val="20"/>
          <w:szCs w:val="20"/>
          <w:color w:val="auto"/>
        </w:rPr>
      </w:pPr>
    </w:p>
    <w:p>
      <w:pPr>
        <w:ind w:left="520" w:right="220" w:hanging="260"/>
        <w:spacing w:after="0" w:line="269" w:lineRule="auto"/>
        <w:tabs>
          <w:tab w:leader="none" w:pos="516" w:val="left"/>
        </w:tabs>
        <w:numPr>
          <w:ilvl w:val="0"/>
          <w:numId w:val="47"/>
        </w:numPr>
        <w:rPr>
          <w:rFonts w:ascii="Arial" w:cs="Arial" w:eastAsia="Arial" w:hAnsi="Arial"/>
          <w:sz w:val="14"/>
          <w:szCs w:val="14"/>
          <w:color w:val="auto"/>
        </w:rPr>
      </w:pPr>
      <w:r>
        <w:rPr>
          <w:rFonts w:ascii="Times New Roman" w:cs="Times New Roman" w:eastAsia="Times New Roman" w:hAnsi="Times New Roman"/>
          <w:sz w:val="14"/>
          <w:szCs w:val="14"/>
          <w:color w:val="auto"/>
        </w:rPr>
        <w:t>Utilizing cell-specific integrin receptors, Pliant has developed a platform to deliver drug payloads, including siRNAs, to selective tissue types. Current programs are focused on delivering siRNAs to skeletal muscle cells and other tissues. The Company believes this integrin-targeting delivery platform has the potential for broad applicability across multiple disease areas utilizing a variety of drug payloads.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Corporate Highlights</w:t>
      </w:r>
    </w:p>
    <w:p>
      <w:pPr>
        <w:spacing w:after="0" w:line="94" w:lineRule="exact"/>
        <w:rPr>
          <w:sz w:val="20"/>
          <w:szCs w:val="20"/>
          <w:color w:val="auto"/>
        </w:rPr>
      </w:pPr>
    </w:p>
    <w:p>
      <w:pPr>
        <w:ind w:left="520" w:right="200" w:hanging="260"/>
        <w:spacing w:after="0" w:line="271" w:lineRule="auto"/>
        <w:tabs>
          <w:tab w:leader="none" w:pos="516"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Appointment of Minnie Kuo as Chief Operating Officer. </w:t>
      </w:r>
      <w:r>
        <w:rPr>
          <w:rFonts w:ascii="Times New Roman" w:cs="Times New Roman" w:eastAsia="Times New Roman" w:hAnsi="Times New Roman"/>
          <w:sz w:val="14"/>
          <w:szCs w:val="14"/>
          <w:color w:val="auto"/>
        </w:rPr>
        <w:t>Ms. Kuo joined Pliant in September 2023 as Chief Development Officer, bringing more than 20 years of multinational clinical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experience across various therapeutic areas. In this expanded role, Ms. Kuo bridges Pliant’s science and operations with oversight of clinical operations, early development, program management, regulatory affairs and compliance.</w:t>
      </w:r>
    </w:p>
    <w:p>
      <w:pPr>
        <w:spacing w:after="0" w:line="48" w:lineRule="exact"/>
        <w:rPr>
          <w:rFonts w:ascii="Times New Roman" w:cs="Times New Roman" w:eastAsia="Times New Roman" w:hAnsi="Times New Roman"/>
          <w:sz w:val="14"/>
          <w:szCs w:val="14"/>
          <w:b w:val="1"/>
          <w:bCs w:val="1"/>
          <w:color w:val="auto"/>
        </w:rPr>
      </w:pPr>
    </w:p>
    <w:p>
      <w:pPr>
        <w:ind w:left="520" w:right="600" w:hanging="260"/>
        <w:spacing w:after="0" w:line="290"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INTEGRIS-PSC results published in the </w:t>
      </w:r>
      <w:r>
        <w:rPr>
          <w:rFonts w:ascii="Times New Roman" w:cs="Times New Roman" w:eastAsia="Times New Roman" w:hAnsi="Times New Roman"/>
          <w:sz w:val="14"/>
          <w:szCs w:val="14"/>
          <w:b w:val="1"/>
          <w:bCs w:val="1"/>
          <w:i w:val="1"/>
          <w:iCs w:val="1"/>
          <w:color w:val="auto"/>
        </w:rPr>
        <w:t>Journal of Hepatology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manuscript, “Phase II INTEGRIS-PSC trial of bexotegrast, an αvβ6 and αvβ1 integrin inhibitor, in primary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sclerosing cholangitis”, appears in the January 2026 issue of the </w:t>
      </w:r>
      <w:r>
        <w:rPr>
          <w:rFonts w:ascii="Times New Roman" w:cs="Times New Roman" w:eastAsia="Times New Roman" w:hAnsi="Times New Roman"/>
          <w:sz w:val="14"/>
          <w:szCs w:val="14"/>
          <w:i w:val="1"/>
          <w:iCs w:val="1"/>
          <w:color w:val="auto"/>
        </w:rPr>
        <w:t>Journal of Hepatology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76" w:name="page77"/>
    <w:bookmarkEnd w:id="76"/>
    <w:p>
      <w:pPr>
        <w:ind w:right="340" w:firstLine="446"/>
        <w:spacing w:after="0" w:line="270" w:lineRule="auto"/>
        <w:rPr>
          <w:sz w:val="20"/>
          <w:szCs w:val="20"/>
          <w:color w:val="auto"/>
        </w:rPr>
      </w:pPr>
      <w:r>
        <w:rPr>
          <w:rFonts w:ascii="Times New Roman" w:cs="Times New Roman" w:eastAsia="Times New Roman" w:hAnsi="Times New Roman"/>
          <w:sz w:val="14"/>
          <w:szCs w:val="14"/>
          <w:color w:val="auto"/>
        </w:rPr>
        <w:t>Since inception, we have had significant operating losses. Our net loss was $149.3 million, and $210.3 million for the years ended December 31, 2025, and 2024, respectively. As of December 31, 2025, we had an accumulated deficit of $859.4 million and cash, cash equivalents, restricted cash and short-term investments of $192.4 million. We expect to continue to incur net losses for the foreseeable future as we:</w:t>
      </w:r>
    </w:p>
    <w:p>
      <w:pPr>
        <w:spacing w:after="0" w:line="51" w:lineRule="exact"/>
        <w:rPr>
          <w:sz w:val="20"/>
          <w:szCs w:val="20"/>
          <w:color w:val="auto"/>
        </w:rPr>
      </w:pPr>
    </w:p>
    <w:p>
      <w:pPr>
        <w:ind w:left="960" w:hanging="433"/>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research and development activities to identify and develop product candidates;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product candidates into and through clinical development;</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manufacture of supplies to support research and development, preclinical studies and clinical trials;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product candidates that successfully complete clinical trials;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 and</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or in-license other technologies or product candidates.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research and development expenses consist of expenses incurred in connection with the development of our product candidates. Research and development expenses include:</w:t>
      </w:r>
    </w:p>
    <w:p>
      <w:pPr>
        <w:spacing w:after="0" w:line="72" w:lineRule="exact"/>
        <w:rPr>
          <w:sz w:val="20"/>
          <w:szCs w:val="20"/>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4"/>
          <w:szCs w:val="14"/>
          <w:color w:val="auto"/>
        </w:rPr>
        <w:t>employee-related expenses, which include salaries, benefits and stock-based compensation for our research and development personnel;</w:t>
      </w:r>
    </w:p>
    <w:p>
      <w:pPr>
        <w:spacing w:after="0" w:line="60" w:lineRule="exact"/>
        <w:rPr>
          <w:rFonts w:ascii="Arial" w:cs="Arial" w:eastAsia="Arial" w:hAnsi="Arial"/>
          <w:sz w:val="17"/>
          <w:szCs w:val="17"/>
          <w:color w:val="auto"/>
        </w:rPr>
      </w:pPr>
    </w:p>
    <w:p>
      <w:pPr>
        <w:ind w:left="1020" w:hanging="506"/>
        <w:spacing w:after="0" w:line="238" w:lineRule="auto"/>
        <w:tabs>
          <w:tab w:leader="none" w:pos="1016"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4"/>
          <w:szCs w:val="14"/>
          <w:color w:val="auto"/>
        </w:rPr>
        <w:t>expenses incurred under agreements with third-party contract organizations for pre-clinical studies, clinical trials and consultants that conduct research and development activities on our behalf;</w:t>
      </w:r>
    </w:p>
    <w:p>
      <w:pPr>
        <w:spacing w:after="0" w:line="48" w:lineRule="exact"/>
        <w:rPr>
          <w:rFonts w:ascii="Arial" w:cs="Arial" w:eastAsia="Arial" w:hAnsi="Arial"/>
          <w:sz w:val="17"/>
          <w:szCs w:val="17"/>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4"/>
          <w:szCs w:val="14"/>
          <w:color w:val="auto"/>
        </w:rPr>
        <w:t>costs associated with the manufacture of supplies to support research and development, preclinical studies and clinical trials;</w:t>
      </w:r>
    </w:p>
    <w:p>
      <w:pPr>
        <w:spacing w:after="0" w:line="48" w:lineRule="exact"/>
        <w:rPr>
          <w:rFonts w:ascii="Arial" w:cs="Arial" w:eastAsia="Arial" w:hAnsi="Arial"/>
          <w:sz w:val="17"/>
          <w:szCs w:val="17"/>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4"/>
          <w:szCs w:val="14"/>
          <w:color w:val="auto"/>
        </w:rPr>
        <w:t>depreciation of laboratory equipment and costs of equipment and supplies;</w:t>
      </w:r>
    </w:p>
    <w:p>
      <w:pPr>
        <w:spacing w:after="0" w:line="48" w:lineRule="exact"/>
        <w:rPr>
          <w:rFonts w:ascii="Arial" w:cs="Arial" w:eastAsia="Arial" w:hAnsi="Arial"/>
          <w:sz w:val="17"/>
          <w:szCs w:val="17"/>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4"/>
          <w:szCs w:val="14"/>
          <w:color w:val="auto"/>
        </w:rPr>
        <w:t>facilities expenses, which include expenses for rent and other facility related costs; and</w:t>
      </w:r>
    </w:p>
    <w:p>
      <w:pPr>
        <w:spacing w:after="0" w:line="59" w:lineRule="exact"/>
        <w:rPr>
          <w:rFonts w:ascii="Arial" w:cs="Arial" w:eastAsia="Arial" w:hAnsi="Arial"/>
          <w:sz w:val="17"/>
          <w:szCs w:val="17"/>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4"/>
          <w:szCs w:val="14"/>
          <w:color w:val="auto"/>
        </w:rPr>
        <w:t>other expenses and other allocations associated with research and development</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for the years ended December 31, 2025, and 2024 (in thousands):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r>
      <w:tr>
        <w:trPr>
          <w:trHeight w:val="161"/>
        </w:trPr>
        <w:tc>
          <w:tcPr>
            <w:tcW w:w="66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r>
      <w:tr>
        <w:trPr>
          <w:trHeight w:val="17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Employee-related expenses</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41,534</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49,597</w:t>
            </w:r>
          </w:p>
        </w:tc>
      </w:tr>
      <w:tr>
        <w:trPr>
          <w:trHeight w:val="138"/>
        </w:trPr>
        <w:tc>
          <w:tcPr>
            <w:tcW w:w="66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Outside and consulting services for preclinical studies and research and development activities by third party</w:t>
            </w: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91"/>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organizations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16,529</w:t>
            </w:r>
          </w:p>
        </w:tc>
      </w:tr>
      <w:tr>
        <w:trPr>
          <w:trHeight w:val="18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Clinical trials expenses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80,596</w:t>
            </w:r>
          </w:p>
        </w:tc>
      </w:tr>
      <w:tr>
        <w:trPr>
          <w:trHeight w:val="180"/>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of lab equipment and costs of equipment and supplies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6,717</w:t>
            </w:r>
          </w:p>
        </w:tc>
      </w:tr>
      <w:tr>
        <w:trPr>
          <w:trHeight w:val="18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Facilities expenses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7,776</w:t>
            </w:r>
          </w:p>
        </w:tc>
      </w:tr>
      <w:tr>
        <w:trPr>
          <w:trHeight w:val="18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expenses and other allocations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8,095</w:t>
            </w:r>
          </w:p>
        </w:tc>
      </w:tr>
      <w:tr>
        <w:trPr>
          <w:trHeight w:val="196"/>
        </w:trPr>
        <w:tc>
          <w:tcPr>
            <w:tcW w:w="6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109,157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169,310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180" w:firstLine="318"/>
        <w:spacing w:after="0" w:line="261" w:lineRule="auto"/>
        <w:rPr>
          <w:sz w:val="20"/>
          <w:szCs w:val="20"/>
          <w:color w:val="auto"/>
        </w:rPr>
      </w:pPr>
      <w:r>
        <w:rPr>
          <w:rFonts w:ascii="Times New Roman" w:cs="Times New Roman" w:eastAsia="Times New Roman" w:hAnsi="Times New Roman"/>
          <w:sz w:val="14"/>
          <w:szCs w:val="14"/>
          <w:color w:val="auto"/>
        </w:rPr>
        <w:t>We expense all research and development costs in the periods in which they are incurred. We do not allocate our internal costs by product candidates or by preclinical programs as these are in early stages of clinical trials or development, and any such allocation would involve significant estimates and judgments and, accordingly, would be imprecise. Where appropriate, we allocate our third-party research and development expense by product candidate or preclinical program. These expenses primarily relate to outside consultants, clinical research organizations, and contract manufacturing organizations. When we refer to the research and development expenses associated with a specific product candidate or preclinical program, these refer exclusively to the allocated third-party expenses associated with that product candidate.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7" w:name="page78"/>
    <w:bookmarkEnd w:id="77"/>
    <w:p>
      <w:pPr>
        <w:ind w:firstLine="318"/>
        <w:spacing w:after="0" w:line="261" w:lineRule="auto"/>
        <w:rPr>
          <w:sz w:val="20"/>
          <w:szCs w:val="20"/>
          <w:color w:val="auto"/>
        </w:rPr>
      </w:pPr>
      <w:r>
        <w:rPr>
          <w:rFonts w:ascii="Times New Roman" w:cs="Times New Roman" w:eastAsia="Times New Roman" w:hAnsi="Times New Roman"/>
          <w:sz w:val="14"/>
          <w:szCs w:val="14"/>
          <w:color w:val="auto"/>
        </w:rPr>
        <w:t>Due to the discontinuation of development of bexotegrast in IPF, we expect research and development expenses to decrease on an annual basis in 2026 as we have re-prioritized our development of product candidates that are in earlier, less capital-intensive stages of development, and to grow thereafter commensurate with the stage and status of PLN-101095 and other development efforts.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6" w:lineRule="exact"/>
        <w:rPr>
          <w:sz w:val="20"/>
          <w:szCs w:val="20"/>
          <w:color w:val="auto"/>
        </w:rPr>
      </w:pPr>
    </w:p>
    <w:p>
      <w:pPr>
        <w:ind w:right="200" w:firstLine="318"/>
        <w:spacing w:after="0" w:line="261" w:lineRule="auto"/>
        <w:rPr>
          <w:sz w:val="20"/>
          <w:szCs w:val="20"/>
          <w:color w:val="auto"/>
        </w:rPr>
      </w:pPr>
      <w:r>
        <w:rPr>
          <w:rFonts w:ascii="Times New Roman" w:cs="Times New Roman" w:eastAsia="Times New Roman" w:hAnsi="Times New Roman"/>
          <w:sz w:val="14"/>
          <w:szCs w:val="14"/>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Due to the restructuring activities of 2025, we expect general and administrative expenses to decrease on an annual basis in 2026 and to remain relatively consistent thereafter.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and Other Income (Expense), net</w:t>
      </w:r>
    </w:p>
    <w:p>
      <w:pPr>
        <w:spacing w:after="0" w:line="96"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Our interest and other income (expense), net consists of interest, accretion income and amortization expense on cash, cash equivalents and short-term investments, and realized gains and losses on short-term investments.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6"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Interest expense was derived from term loans executed under the Oxford Loan Agreement that we entered into in May 2022 and amended in March 2024 (the "Amended Loan Agreement"). Outstanding term loans pursuant to the Amended Loan Agreement were extinguished in October 2025 and through the date of extinguishment, borrowings incurred an interest rate per annum equal to 1-month term Secured Overnight Financing Rate (SOFR) plus 5.25%.</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Loss on Extinguishment of Debt</w:t>
      </w:r>
    </w:p>
    <w:p>
      <w:pPr>
        <w:spacing w:after="0" w:line="96"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In October 2025, we completed a voluntary prepayment of the Amended Loan Agreement for $32.4 million, representing all outstanding principal, accrued and unpaid interest, fees, costs and expenses. The amount by which the pre-payment required to extinguish our obligation exceeded the values recorded to the balance sheet on the extinguishment date is recognized as a loss in the statement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340" w:type="dxa"/>
            <w:vAlign w:val="bottom"/>
          </w:tcPr>
          <w:p>
            <w:pPr>
              <w:spacing w:after="0"/>
              <w:rPr>
                <w:sz w:val="14"/>
                <w:szCs w:val="14"/>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4"/>
        </w:trPr>
        <w:tc>
          <w:tcPr>
            <w:tcW w:w="474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0" w:type="dxa"/>
            <w:vAlign w:val="bottom"/>
            <w:tcBorders>
              <w:bottom w:val="single" w:sz="8" w:color="auto"/>
            </w:tcBorders>
          </w:tcPr>
          <w:p>
            <w:pPr>
              <w:spacing w:after="0"/>
              <w:rPr>
                <w:sz w:val="14"/>
                <w:szCs w:val="14"/>
                <w:color w:val="auto"/>
              </w:rPr>
            </w:pPr>
          </w:p>
        </w:tc>
      </w:tr>
      <w:tr>
        <w:trPr>
          <w:trHeight w:val="16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0"/>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(109,157)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(169,310)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60,153</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(35.5) %</w:t>
            </w:r>
          </w:p>
        </w:tc>
      </w:tr>
      <w:tr>
        <w:trPr>
          <w:trHeight w:val="18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(59,055)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11,839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(156,373)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(228,365)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71,992</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(156,373)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71,992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 other income (expense), net</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(9,669)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465</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80"/>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 (Note 7)</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(1,828)</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CCEEFF"/>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60,960</w:t>
            </w:r>
          </w:p>
        </w:tc>
        <w:tc>
          <w:tcPr>
            <w:tcW w:w="1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The following table summarizes the results of our research and development expenses for the years ended December 31, 2025 and 2024</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2"/>
        </w:trPr>
        <w:tc>
          <w:tcPr>
            <w:tcW w:w="79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5"/>
        </w:trPr>
        <w:tc>
          <w:tcPr>
            <w:tcW w:w="7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Program-specific external expenses:</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1"/>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Bexotegrast - clinical trial and outside service third party contracting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86,365</w:t>
            </w:r>
          </w:p>
        </w:tc>
      </w:tr>
      <w:tr>
        <w:trPr>
          <w:trHeight w:val="180"/>
        </w:trPr>
        <w:tc>
          <w:tcPr>
            <w:tcW w:w="79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pipeline programs - clinical trial and outside service third party contracting costs</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10,760</w:t>
            </w:r>
          </w:p>
        </w:tc>
      </w:tr>
      <w:tr>
        <w:trPr>
          <w:trHeight w:val="171"/>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program-specific external expenses</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97,125</w:t>
            </w:r>
          </w:p>
        </w:tc>
      </w:tr>
      <w:tr>
        <w:trPr>
          <w:trHeight w:val="180"/>
        </w:trPr>
        <w:tc>
          <w:tcPr>
            <w:tcW w:w="7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Unallocated internal expenses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Employee-related expenses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41,534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49,597</w:t>
            </w:r>
          </w:p>
        </w:tc>
      </w:tr>
      <w:tr>
        <w:trPr>
          <w:trHeight w:val="180"/>
        </w:trPr>
        <w:tc>
          <w:tcPr>
            <w:tcW w:w="7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of lab equipment and costs of equipment and supplies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6,717</w:t>
            </w:r>
          </w:p>
        </w:tc>
      </w:tr>
      <w:tr>
        <w:trPr>
          <w:trHeight w:val="180"/>
        </w:trPr>
        <w:tc>
          <w:tcPr>
            <w:tcW w:w="7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Facilities expenses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7,776</w:t>
            </w:r>
          </w:p>
        </w:tc>
      </w:tr>
      <w:tr>
        <w:trPr>
          <w:trHeight w:val="180"/>
        </w:trPr>
        <w:tc>
          <w:tcPr>
            <w:tcW w:w="79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expenses and allocations</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8,095</w:t>
            </w:r>
          </w:p>
        </w:tc>
      </w:tr>
      <w:tr>
        <w:trPr>
          <w:trHeight w:val="171"/>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unallocated internal expenses</w:t>
            </w: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57,817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72,185</w:t>
            </w:r>
          </w:p>
        </w:tc>
      </w:tr>
      <w:tr>
        <w:trPr>
          <w:trHeight w:val="171"/>
        </w:trPr>
        <w:tc>
          <w:tcPr>
            <w:tcW w:w="7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109,157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169,310</w:t>
            </w:r>
          </w:p>
        </w:tc>
      </w:tr>
      <w:tr>
        <w:trPr>
          <w:trHeight w:val="20"/>
        </w:trPr>
        <w:tc>
          <w:tcPr>
            <w:tcW w:w="7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decrease in research and development expenses of $60.2 million was primarily due to:</w:t>
      </w:r>
    </w:p>
    <w:p>
      <w:pPr>
        <w:spacing w:after="0" w:line="94" w:lineRule="exact"/>
        <w:rPr>
          <w:sz w:val="20"/>
          <w:szCs w:val="20"/>
          <w:color w:val="auto"/>
        </w:rPr>
      </w:pPr>
    </w:p>
    <w:p>
      <w:pPr>
        <w:ind w:left="960" w:hanging="433"/>
        <w:spacing w:after="0"/>
        <w:tabs>
          <w:tab w:leader="none" w:pos="9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$44.0 million decrease driven by our decision to discontinue development of bexotegrast in IPF and the related termination of BEACON-IPF, a Phase 2b/3 trial in IPF.</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million decrease from other pipeline programs;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$8.1 million decrease in employee-related costs, including stock-based compensation, due to decreased headcount following our 2025 restructuring plans; and</w:t>
      </w:r>
    </w:p>
    <w:p>
      <w:pPr>
        <w:spacing w:after="0" w:line="93" w:lineRule="exact"/>
        <w:rPr>
          <w:rFonts w:ascii="Times New Roman" w:cs="Times New Roman" w:eastAsia="Times New Roman" w:hAnsi="Times New Roman"/>
          <w:sz w:val="14"/>
          <w:szCs w:val="14"/>
          <w:color w:val="auto"/>
        </w:rPr>
      </w:pPr>
    </w:p>
    <w:p>
      <w:pPr>
        <w:ind w:left="980" w:right="160" w:hanging="453"/>
        <w:spacing w:after="0" w:line="287" w:lineRule="auto"/>
        <w:tabs>
          <w:tab w:leader="none" w:pos="97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 million decrease in facilities and other allocated expenses, driven by our restructuring plans and general cost containment efforts following our strategic realignment of operations initiated in May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6" w:lineRule="exact"/>
        <w:rPr>
          <w:sz w:val="20"/>
          <w:szCs w:val="20"/>
          <w:color w:val="auto"/>
        </w:rPr>
      </w:pPr>
    </w:p>
    <w:p>
      <w:pPr>
        <w:ind w:left="320" w:right="20"/>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by $11.8 million primarily due to personnel related expenses, including stock-based compensation, driven by our 2025 restructuring plans implemented during the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Other Income (Expense), Net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and other income (expense), net decreased $9.7 million due to lower average investment balances in 2025 compared to 2024 due to continued funding of operating activities.</w:t>
      </w:r>
    </w:p>
    <w:p>
      <w:pPr>
        <w:spacing w:after="0" w:line="200" w:lineRule="exact"/>
        <w:rPr>
          <w:sz w:val="20"/>
          <w:szCs w:val="20"/>
          <w:color w:val="auto"/>
        </w:rPr>
      </w:pPr>
    </w:p>
    <w:p>
      <w:pPr>
        <w:spacing w:after="0" w:line="32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865" w:right="7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expense decreased $0.5 million due to the extinguishment of term loans in October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on Extinguishment of Debt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Loss on extinguishment of debt increased $1.8 million resulting from our decision to extinguish all term loans outstanding pursuant to the Amended Loan Agreement executed March 11, 2024.</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2"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6"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2025, we had cash, cash equivalents, restricted cash and short-term investments of $192.4 million. Our cash, cash equivalents, and short-term investments consist of money market funds, U.S. Treasury securities, U.S. Government Agency securities and highly rated, investment-grade corporate debt securities.</w:t>
      </w:r>
    </w:p>
    <w:p>
      <w:pPr>
        <w:spacing w:after="0" w:line="39"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4"/>
          <w:szCs w:val="14"/>
          <w:color w:val="auto"/>
        </w:rPr>
        <w:t>In March 2024, we entered into an Amended Loan Agreement with Oxford Finance LLC (or the “Lender” or “Oxford”) which upsized our existing Term Loan facility to a total size of $150.0 million of non-dilutive capital. Pursuant to the Amended Loan Agreement, we drew term loans of $30.0 million, inclusive of $10.0 million in principal amount previously outstanding under the Oxford Loan Agreement. The agreement allowed for additional borrowing contingent upon the continued development of bexotegrast in IPF and/or at the sole discretion of Oxford. Following our decision to discontinue development of bexotegrast in IPF, we decided to complete a voluntary prepayment of our Amended Loan Agreement with Oxford in October, 2025, for $32.4 million, representing all outstanding principal, accrued and unpaid interest, fees, costs and expenses. Upon prepayment, all obligations, covenants, debts and liabilities under the Amended Loan Agreement were satisfied and discharged in full. See Note 7 to the Notes to our financial statements of this Report for more information.</w:t>
      </w:r>
    </w:p>
    <w:p>
      <w:pPr>
        <w:spacing w:after="0" w:line="61" w:lineRule="exact"/>
        <w:rPr>
          <w:sz w:val="20"/>
          <w:szCs w:val="20"/>
          <w:color w:val="auto"/>
        </w:rPr>
      </w:pPr>
    </w:p>
    <w:p>
      <w:pPr>
        <w:ind w:right="60" w:firstLine="318"/>
        <w:spacing w:after="0" w:line="241" w:lineRule="auto"/>
        <w:rPr>
          <w:sz w:val="20"/>
          <w:szCs w:val="20"/>
          <w:color w:val="auto"/>
        </w:rPr>
      </w:pPr>
      <w:r>
        <w:rPr>
          <w:rFonts w:ascii="Times New Roman" w:cs="Times New Roman" w:eastAsia="Times New Roman" w:hAnsi="Times New Roman"/>
          <w:sz w:val="14"/>
          <w:szCs w:val="14"/>
          <w:color w:val="auto"/>
        </w:rPr>
        <w:t>During the third quarter of 2021, we entered into a Controlled Equity Offering</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Sales Agreement (the “Sales Agreement”) with Cantor Fitzgerald &amp; Co., as sales agent, pursuant to which we may issue and sell shares of common stock in an "at-the-market" offering. In March 2023, we filed a prospectus registering the offer and sale of up to $150.0 million of shares of common stock from time to time pursuant to the Sales Agreement. We have not issued any shares pursuant to any at-the-market offerings, including pursuant to the Sales Agreement, but may do so at a future date after filing a new prospectus for the Sales Agreement.</w:t>
      </w:r>
    </w:p>
    <w:p>
      <w:pPr>
        <w:spacing w:after="0" w:line="71" w:lineRule="exact"/>
        <w:rPr>
          <w:sz w:val="20"/>
          <w:szCs w:val="20"/>
          <w:color w:val="auto"/>
        </w:rPr>
      </w:pPr>
    </w:p>
    <w:p>
      <w:pPr>
        <w:ind w:right="160" w:firstLine="318"/>
        <w:spacing w:after="0" w:line="262" w:lineRule="auto"/>
        <w:rPr>
          <w:sz w:val="20"/>
          <w:szCs w:val="20"/>
          <w:color w:val="auto"/>
        </w:rPr>
      </w:pPr>
      <w:r>
        <w:rPr>
          <w:rFonts w:ascii="Times New Roman" w:cs="Times New Roman" w:eastAsia="Times New Roman" w:hAnsi="Times New Roman"/>
          <w:sz w:val="14"/>
          <w:szCs w:val="14"/>
          <w:color w:val="auto"/>
        </w:rPr>
        <w:t>We believe that our existing capital resources will be sufficient to fund our anticipated operating expenses and capital expenditure requirements for the next 12 months and beyond.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spacing w:after="0" w:line="46" w:lineRule="exact"/>
        <w:rPr>
          <w:sz w:val="20"/>
          <w:szCs w:val="20"/>
          <w:color w:val="auto"/>
        </w:rPr>
      </w:pPr>
    </w:p>
    <w:p>
      <w:pPr>
        <w:ind w:right="1500" w:firstLine="318"/>
        <w:spacing w:after="0" w:line="379" w:lineRule="auto"/>
        <w:rPr>
          <w:sz w:val="20"/>
          <w:szCs w:val="20"/>
          <w:color w:val="auto"/>
        </w:rPr>
      </w:pPr>
      <w:r>
        <w:rPr>
          <w:rFonts w:ascii="Times New Roman" w:cs="Times New Roman" w:eastAsia="Times New Roman" w:hAnsi="Times New Roman"/>
          <w:sz w:val="14"/>
          <w:szCs w:val="14"/>
          <w:color w:val="auto"/>
        </w:rPr>
        <w:t xml:space="preserve">Our operations have been financed primarily through the issuance and sale of common stock and convertible preferred stock and our prior collaboration with Novartis. </w:t>
      </w:r>
      <w:r>
        <w:rPr>
          <w:rFonts w:ascii="Times New Roman" w:cs="Times New Roman" w:eastAsia="Times New Roman" w:hAnsi="Times New Roman"/>
          <w:sz w:val="14"/>
          <w:szCs w:val="14"/>
          <w:i w:val="1"/>
          <w:iCs w:val="1"/>
          <w:color w:val="auto"/>
        </w:rPr>
        <w:t>Funding Requirements</w:t>
      </w:r>
    </w:p>
    <w:p>
      <w:pPr>
        <w:spacing w:after="0" w:line="1" w:lineRule="exact"/>
        <w:rPr>
          <w:sz w:val="20"/>
          <w:szCs w:val="20"/>
          <w:color w:val="auto"/>
        </w:rPr>
      </w:pPr>
    </w:p>
    <w:p>
      <w:pPr>
        <w:ind w:right="80" w:firstLine="318"/>
        <w:spacing w:after="0" w:line="287" w:lineRule="auto"/>
        <w:rPr>
          <w:sz w:val="20"/>
          <w:szCs w:val="20"/>
          <w:color w:val="auto"/>
        </w:rPr>
      </w:pPr>
      <w:r>
        <w:rPr>
          <w:rFonts w:ascii="Times New Roman" w:cs="Times New Roman" w:eastAsia="Times New Roman" w:hAnsi="Times New Roman"/>
          <w:sz w:val="14"/>
          <w:szCs w:val="14"/>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future funding requirements will depend on many factors, including the following:</w:t>
      </w:r>
    </w:p>
    <w:p>
      <w:pPr>
        <w:spacing w:after="0" w:line="94" w:lineRule="exact"/>
        <w:rPr>
          <w:sz w:val="20"/>
          <w:szCs w:val="20"/>
          <w:color w:val="auto"/>
        </w:rPr>
      </w:pPr>
    </w:p>
    <w:p>
      <w:pPr>
        <w:ind w:left="960" w:hanging="433"/>
        <w:spacing w:after="0"/>
        <w:tabs>
          <w:tab w:leader="none" w:pos="9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costs and results of preclinical studies and clinical trials for our product candidates;</w:t>
      </w:r>
    </w:p>
    <w:p>
      <w:pPr>
        <w:spacing w:after="0" w:line="93"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the clinical development plans we establish for these product candidates;</w:t>
      </w:r>
    </w:p>
    <w:p>
      <w:pPr>
        <w:spacing w:after="0" w:line="93" w:lineRule="exact"/>
        <w:rPr>
          <w:rFonts w:ascii="Arial" w:cs="Arial" w:eastAsia="Arial" w:hAnsi="Arial"/>
          <w:sz w:val="14"/>
          <w:szCs w:val="14"/>
          <w:color w:val="auto"/>
        </w:rPr>
      </w:pPr>
    </w:p>
    <w:p>
      <w:pPr>
        <w:ind w:left="960" w:hanging="433"/>
        <w:spacing w:after="0"/>
        <w:tabs>
          <w:tab w:leader="none" w:pos="960"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the timelines of our clinical trials and the overall costs to conduct and complete the clinical trials, which may be impacted by health epidemics and pandemics, such as COVID-19;</w:t>
      </w:r>
    </w:p>
    <w:p>
      <w:pPr>
        <w:spacing w:after="0" w:line="93" w:lineRule="exact"/>
        <w:rPr>
          <w:rFonts w:ascii="Arial" w:cs="Arial" w:eastAsia="Arial" w:hAnsi="Arial"/>
          <w:sz w:val="14"/>
          <w:szCs w:val="14"/>
          <w:color w:val="auto"/>
        </w:rPr>
      </w:pPr>
    </w:p>
    <w:p>
      <w:pPr>
        <w:ind w:left="960" w:hanging="433"/>
        <w:spacing w:after="0"/>
        <w:tabs>
          <w:tab w:leader="none" w:pos="960"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the number and characteristics of product candidates that we develop;</w:t>
      </w:r>
    </w:p>
    <w:p>
      <w:pPr>
        <w:spacing w:after="0" w:line="93" w:lineRule="exact"/>
        <w:rPr>
          <w:rFonts w:ascii="Arial" w:cs="Arial" w:eastAsia="Arial" w:hAnsi="Arial"/>
          <w:sz w:val="14"/>
          <w:szCs w:val="14"/>
          <w:color w:val="auto"/>
        </w:rPr>
      </w:pPr>
    </w:p>
    <w:p>
      <w:pPr>
        <w:ind w:left="980" w:hanging="453"/>
        <w:spacing w:after="0" w:line="286" w:lineRule="auto"/>
        <w:tabs>
          <w:tab w:leader="none" w:pos="976"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the outcome, timing and cost of meeting regulatory requirements established by the U.S. Food and Drug Administration, or FDA, and other comparable foreign regulatory authorities including but not limited to the European Medicines Agency (EMA) and the U.K. Medicines and Healthcare products Regulatory Agency (MHRA);</w:t>
      </w:r>
    </w:p>
    <w:p>
      <w:pPr>
        <w:spacing w:after="0" w:line="39" w:lineRule="exact"/>
        <w:rPr>
          <w:rFonts w:ascii="Arial" w:cs="Arial" w:eastAsia="Arial" w:hAnsi="Arial"/>
          <w:sz w:val="14"/>
          <w:szCs w:val="14"/>
          <w:color w:val="auto"/>
        </w:rPr>
      </w:pPr>
    </w:p>
    <w:p>
      <w:pPr>
        <w:ind w:left="960" w:hanging="433"/>
        <w:spacing w:after="0"/>
        <w:tabs>
          <w:tab w:leader="none" w:pos="960"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whether we enter into any collaboration agreements and the terms of any such agreements;</w:t>
      </w:r>
    </w:p>
    <w:p>
      <w:pPr>
        <w:spacing w:after="0" w:line="93" w:lineRule="exact"/>
        <w:rPr>
          <w:rFonts w:ascii="Arial" w:cs="Arial" w:eastAsia="Arial" w:hAnsi="Arial"/>
          <w:sz w:val="14"/>
          <w:szCs w:val="14"/>
          <w:color w:val="auto"/>
        </w:rPr>
      </w:pPr>
    </w:p>
    <w:p>
      <w:pPr>
        <w:ind w:left="960" w:hanging="433"/>
        <w:spacing w:after="0"/>
        <w:tabs>
          <w:tab w:leader="none" w:pos="960"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the cost of filing, prosecuting, defending and enforcing our patent claims and other intellectual property rights;</w:t>
      </w:r>
    </w:p>
    <w:p>
      <w:pPr>
        <w:spacing w:after="0" w:line="93" w:lineRule="exact"/>
        <w:rPr>
          <w:rFonts w:ascii="Arial" w:cs="Arial" w:eastAsia="Arial" w:hAnsi="Arial"/>
          <w:sz w:val="14"/>
          <w:szCs w:val="14"/>
          <w:color w:val="auto"/>
        </w:rPr>
      </w:pPr>
    </w:p>
    <w:p>
      <w:pPr>
        <w:ind w:left="960" w:hanging="433"/>
        <w:spacing w:after="0"/>
        <w:tabs>
          <w:tab w:leader="none" w:pos="960"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the cost of defending intellectual property disputes, including patent infringement actions brought by third parties against us or our product candidates;</w:t>
      </w:r>
    </w:p>
    <w:p>
      <w:pPr>
        <w:spacing w:after="0" w:line="93" w:lineRule="exact"/>
        <w:rPr>
          <w:rFonts w:ascii="Arial" w:cs="Arial" w:eastAsia="Arial" w:hAnsi="Arial"/>
          <w:sz w:val="14"/>
          <w:szCs w:val="14"/>
          <w:color w:val="auto"/>
        </w:rPr>
      </w:pPr>
    </w:p>
    <w:p>
      <w:pPr>
        <w:ind w:left="960" w:hanging="433"/>
        <w:spacing w:after="0"/>
        <w:tabs>
          <w:tab w:leader="none" w:pos="960" w:val="left"/>
        </w:tabs>
        <w:numPr>
          <w:ilvl w:val="0"/>
          <w:numId w:val="52"/>
        </w:numPr>
        <w:rPr>
          <w:rFonts w:ascii="Arial" w:cs="Arial" w:eastAsia="Arial" w:hAnsi="Arial"/>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81" w:name="page82"/>
    <w:bookmarkEnd w:id="81"/>
    <w:p>
      <w:pPr>
        <w:ind w:left="960" w:hanging="433"/>
        <w:spacing w:after="0"/>
        <w:tabs>
          <w:tab w:leader="none" w:pos="960" w:val="left"/>
        </w:tabs>
        <w:numPr>
          <w:ilvl w:val="0"/>
          <w:numId w:val="53"/>
        </w:numPr>
        <w:rPr>
          <w:rFonts w:ascii="Arial" w:cs="Arial" w:eastAsia="Arial" w:hAnsi="Arial"/>
          <w:sz w:val="14"/>
          <w:szCs w:val="14"/>
          <w:color w:val="auto"/>
        </w:rPr>
      </w:pPr>
      <w:r>
        <w:rPr>
          <w:rFonts w:ascii="Times New Roman" w:cs="Times New Roman" w:eastAsia="Times New Roman" w:hAnsi="Times New Roman"/>
          <w:sz w:val="14"/>
          <w:szCs w:val="14"/>
          <w:color w:val="auto"/>
        </w:rPr>
        <w:t>the cost and timing of completion of commercial-scale outsourced manufacturing activities;</w:t>
      </w:r>
    </w:p>
    <w:p>
      <w:pPr>
        <w:spacing w:after="0" w:line="93" w:lineRule="exact"/>
        <w:rPr>
          <w:rFonts w:ascii="Arial" w:cs="Arial" w:eastAsia="Arial" w:hAnsi="Arial"/>
          <w:sz w:val="14"/>
          <w:szCs w:val="14"/>
          <w:color w:val="auto"/>
        </w:rPr>
      </w:pPr>
    </w:p>
    <w:p>
      <w:pPr>
        <w:ind w:left="980" w:right="780" w:hanging="453"/>
        <w:spacing w:after="0" w:line="287" w:lineRule="auto"/>
        <w:tabs>
          <w:tab w:leader="none" w:pos="97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spacing w:after="0" w:line="39" w:lineRule="exact"/>
        <w:rPr>
          <w:rFonts w:ascii="Times New Roman" w:cs="Times New Roman" w:eastAsia="Times New Roman" w:hAnsi="Times New Roman"/>
          <w:sz w:val="14"/>
          <w:szCs w:val="14"/>
          <w:color w:val="auto"/>
        </w:rPr>
      </w:pPr>
    </w:p>
    <w:p>
      <w:pPr>
        <w:ind w:left="980" w:right="480" w:hanging="453"/>
        <w:spacing w:after="0" w:line="286" w:lineRule="auto"/>
        <w:tabs>
          <w:tab w:leader="none" w:pos="976" w:val="left"/>
        </w:tabs>
        <w:numPr>
          <w:ilvl w:val="0"/>
          <w:numId w:val="53"/>
        </w:numPr>
        <w:rPr>
          <w:rFonts w:ascii="Arial" w:cs="Arial" w:eastAsia="Arial" w:hAnsi="Arial"/>
          <w:sz w:val="14"/>
          <w:szCs w:val="14"/>
          <w:color w:val="auto"/>
        </w:rPr>
      </w:pPr>
      <w:r>
        <w:rPr>
          <w:rFonts w:ascii="Times New Roman" w:cs="Times New Roman" w:eastAsia="Times New Roman" w:hAnsi="Times New Roman"/>
          <w:sz w:val="14"/>
          <w:szCs w:val="14"/>
          <w:color w:val="auto"/>
        </w:rPr>
        <w:t>the cost of establishing sales, marketing and distribution capabilities for any product candidates for which we may receive regulatory approval in regions where we choose to commercialize our products on our own; and</w:t>
      </w:r>
    </w:p>
    <w:p>
      <w:pPr>
        <w:spacing w:after="0" w:line="39" w:lineRule="exact"/>
        <w:rPr>
          <w:rFonts w:ascii="Arial" w:cs="Arial" w:eastAsia="Arial" w:hAnsi="Arial"/>
          <w:sz w:val="14"/>
          <w:szCs w:val="14"/>
          <w:color w:val="auto"/>
        </w:rPr>
      </w:pPr>
    </w:p>
    <w:p>
      <w:pPr>
        <w:ind w:left="960" w:hanging="433"/>
        <w:spacing w:after="0"/>
        <w:tabs>
          <w:tab w:leader="none" w:pos="960" w:val="left"/>
        </w:tabs>
        <w:numPr>
          <w:ilvl w:val="0"/>
          <w:numId w:val="53"/>
        </w:numPr>
        <w:rPr>
          <w:rFonts w:ascii="Arial" w:cs="Arial" w:eastAsia="Arial" w:hAnsi="Arial"/>
          <w:sz w:val="14"/>
          <w:szCs w:val="14"/>
          <w:color w:val="auto"/>
        </w:rPr>
      </w:pPr>
      <w:r>
        <w:rPr>
          <w:rFonts w:ascii="Times New Roman" w:cs="Times New Roman" w:eastAsia="Times New Roman" w:hAnsi="Times New Roman"/>
          <w:sz w:val="14"/>
          <w:szCs w:val="14"/>
          <w:color w:val="auto"/>
        </w:rPr>
        <w:t>the cost of operating as a public company.</w:t>
      </w:r>
    </w:p>
    <w:p>
      <w:pPr>
        <w:spacing w:after="0" w:line="93"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In addition, the discontinuation of our development of bexotegrast in IPF may intensify the risk that we will be unable to access capital on favorable terms, or at all, as and when needed.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summarizes our cash flows for the periods indicated (in thousands):</w:t>
      </w:r>
    </w:p>
    <w:p>
      <w:pPr>
        <w:spacing w:after="0" w:line="127" w:lineRule="exact"/>
        <w:rPr>
          <w:sz w:val="20"/>
          <w:szCs w:val="20"/>
          <w:color w:val="auto"/>
        </w:rPr>
      </w:pPr>
    </w:p>
    <w:tbl>
      <w:tblPr>
        <w:tblLayout w:type="fixed"/>
        <w:tblInd w:w="150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r>
      <w:tr>
        <w:trPr>
          <w:trHeight w:val="182"/>
        </w:trPr>
        <w:tc>
          <w:tcPr>
            <w:tcW w:w="5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5"/>
                <w:szCs w:val="15"/>
                <w:color w:val="auto"/>
              </w:rPr>
            </w:pPr>
          </w:p>
        </w:tc>
      </w:tr>
      <w:tr>
        <w:trPr>
          <w:trHeight w:val="200"/>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(128,336)</w:t>
            </w:r>
          </w:p>
        </w:tc>
        <w:tc>
          <w:tcPr>
            <w:tcW w:w="1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(155,503)</w:t>
            </w: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140,340</w:t>
            </w:r>
          </w:p>
        </w:tc>
      </w:tr>
      <w:tr>
        <w:trPr>
          <w:trHeight w:val="212"/>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(31,697)</w:t>
            </w:r>
          </w:p>
        </w:tc>
        <w:tc>
          <w:tcPr>
            <w:tcW w:w="12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23,117</w:t>
            </w:r>
          </w:p>
        </w:tc>
      </w:tr>
      <w:tr>
        <w:trPr>
          <w:trHeight w:val="203"/>
        </w:trPr>
        <w:tc>
          <w:tcPr>
            <w:tcW w:w="5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86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(25,743)</w:t>
            </w:r>
          </w:p>
        </w:tc>
        <w:tc>
          <w:tcPr>
            <w:tcW w:w="980" w:type="dxa"/>
            <w:vAlign w:val="bottom"/>
            <w:gridSpan w:val="2"/>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7,954</w:t>
            </w:r>
          </w:p>
        </w:tc>
      </w:tr>
      <w:tr>
        <w:trPr>
          <w:trHeight w:val="20"/>
        </w:trPr>
        <w:tc>
          <w:tcPr>
            <w:tcW w:w="5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Used in Operating Activities</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Net cash used in operating activities decreased due to an overall decrease in the volume of operations following our decision to discontinue development of bexotegrast in IPF and the related termination of our phase 2b/3 trial, BEACON-IPF.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Provided by (Used in) Investing Activities</w:t>
      </w:r>
    </w:p>
    <w:p>
      <w:pPr>
        <w:spacing w:after="0" w:line="96" w:lineRule="exact"/>
        <w:rPr>
          <w:sz w:val="20"/>
          <w:szCs w:val="20"/>
          <w:color w:val="auto"/>
        </w:rPr>
      </w:pPr>
    </w:p>
    <w:p>
      <w:pPr>
        <w:ind w:right="320" w:firstLine="318"/>
        <w:spacing w:after="0" w:line="287" w:lineRule="auto"/>
        <w:rPr>
          <w:sz w:val="20"/>
          <w:szCs w:val="20"/>
          <w:color w:val="auto"/>
        </w:rPr>
      </w:pPr>
      <w:r>
        <w:rPr>
          <w:rFonts w:ascii="Times New Roman" w:cs="Times New Roman" w:eastAsia="Times New Roman" w:hAnsi="Times New Roman"/>
          <w:sz w:val="14"/>
          <w:szCs w:val="14"/>
          <w:color w:val="auto"/>
        </w:rPr>
        <w:t>Net cash provided by investing activities decreased over the same period of prior year as maturities of marketable securities exceeded related purchases during the twelve months ended December 31, 2025 to a greater extent than exhibited in the twelve months ended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(Used in) Provided by Financing Activities</w:t>
      </w:r>
    </w:p>
    <w:p>
      <w:pPr>
        <w:spacing w:after="0" w:line="96" w:lineRule="exact"/>
        <w:rPr>
          <w:sz w:val="20"/>
          <w:szCs w:val="20"/>
          <w:color w:val="auto"/>
        </w:rPr>
      </w:pPr>
    </w:p>
    <w:p>
      <w:pPr>
        <w:ind w:right="20" w:firstLine="318"/>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increased by $54.8 million primarily due to our voluntary prepayment of the Amended Loan Agreement coupled with the lack of financing inflows from term loans compared to the twelve months ended December 31, 2024 associated with the Amended Loan Agreement.</w:t>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12" w:right="5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ind w:right="600" w:firstLine="318"/>
        <w:spacing w:after="0" w:line="287" w:lineRule="auto"/>
        <w:rPr>
          <w:sz w:val="20"/>
          <w:szCs w:val="20"/>
          <w:color w:val="auto"/>
        </w:rPr>
      </w:pPr>
      <w:r>
        <w:rPr>
          <w:rFonts w:ascii="Times New Roman" w:cs="Times New Roman" w:eastAsia="Times New Roman" w:hAnsi="Times New Roman"/>
          <w:sz w:val="14"/>
          <w:szCs w:val="14"/>
          <w:color w:val="auto"/>
        </w:rPr>
        <w:t>During the periods presented, we did not have, nor do we currently have, any off-balance sheet arrangements or holdings in any variable interest entities other than the operating lease commitments described in Note 15 to our financial statements appearing elsewhere in this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Cash Requirements</w:t>
      </w:r>
    </w:p>
    <w:p>
      <w:pPr>
        <w:spacing w:after="0" w:line="96"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At December 31, 2025, we have a non-cancelable operating lease for office and laboratory space, which expires March 31, 2031. Refer to Note 14 and Note 15 to our financial statements appearing elsewhere in this Annual Report for a discussion of material obligations and commitments.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enter into contracts in the normal course of business with third-party contract organizations for clinical trials, non-clinical studies and testing, manufacturing and other services and products.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contracts generally provide for termination following a certain period after notice and therefore we believe that our cancellable obligations under these agreements are not material.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Polices and Estimates</w:t>
      </w:r>
    </w:p>
    <w:p>
      <w:pPr>
        <w:spacing w:after="0" w:line="96"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8"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Note 2 to our financial statements appearing elsewhere in this Annual Report, we believe that the following accounting policies are those most critical to the judgments and estimates used in the preparation of our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and Prepaid Research and Development Expenses</w:t>
      </w:r>
    </w:p>
    <w:p>
      <w:pPr>
        <w:spacing w:after="0" w:line="96"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We record accrued expenses for estimated costs of our research and development activities which include the conduct of clinical studies and preclinical studies by third-party service providers. We record the estimated costs of research and development activities based upon the estimated amount of services provided but not yet invoiced and include these costs in accrued liabilities in the balance sheets and within research and development expenses in the statements of operations and comprehensive loss. These costs are a significant component of our research and development expenses. We record accrued expenses for these costs based on factors such as estimates of the work completed and in accordance with agreements established with these third-party service providers. Any payments made in advance of services provided are recorded as prepaid assets, which are expensed as the contracted services are performed.</w:t>
      </w:r>
    </w:p>
    <w:p>
      <w:pPr>
        <w:spacing w:after="0" w:line="58"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We estimate the amount of work completed through review of detailed budgets and timelines included in our contracts and agreements, and update these estimates with information obtained from third-party service providers and internal personnel on a quarterly basis. We make significant judgments and estimates in determining the accrued and/or prepaid balance in each reporting period. As actual costs become known, we adjust our estimates. Our accrued expenses and prepaid research and development expenses are dependent, in part, upon the receipt of timely and accurate reporting from contract research organizations, other third-party service providers and internal research and development personnel. If we under estimate or over-estimate the level of services performed or the costs of these services, our accrued expenses could differ from our estimates. For the periods presented, we have experienced no material differences between our accrued expenses and actual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information set forth under Note 2 to the financial statements under the caption “Recently Issued Accounting Pronouncements”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4"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6"/>
        </w:trPr>
        <w:tc>
          <w:tcPr>
            <w:tcW w:w="45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6740" w:type="dxa"/>
            <w:vAlign w:val="bottom"/>
          </w:tcPr>
          <w:p>
            <w:pPr>
              <w:spacing w:after="0"/>
              <w:rPr>
                <w:sz w:val="16"/>
                <w:szCs w:val="16"/>
                <w:color w:val="auto"/>
              </w:rPr>
            </w:pPr>
          </w:p>
        </w:tc>
      </w:tr>
      <w:tr>
        <w:trPr>
          <w:trHeight w:val="3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40" w:type="dxa"/>
            <w:vAlign w:val="bottom"/>
          </w:tcPr>
          <w:p>
            <w:pPr>
              <w:jc w:val="right"/>
              <w:ind w:right="4109"/>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r>
      <w:tr>
        <w:trPr>
          <w:trHeight w:val="234"/>
        </w:trPr>
        <w:tc>
          <w:tcPr>
            <w:tcW w:w="20" w:type="dxa"/>
            <w:vAlign w:val="bottom"/>
          </w:tcPr>
          <w:p>
            <w:pPr>
              <w:spacing w:after="0"/>
              <w:rPr>
                <w:sz w:val="20"/>
                <w:szCs w:val="20"/>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4"/>
                <w:szCs w:val="14"/>
                <w:color w:val="0E32E1"/>
              </w:rPr>
              <w:t>Report of Independent Registered Public Accounting Firm (PCAOB ID No.34)</w:t>
            </w:r>
          </w:p>
        </w:tc>
        <w:tc>
          <w:tcPr>
            <w:tcW w:w="6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3"/>
        </w:trPr>
        <w:tc>
          <w:tcPr>
            <w:tcW w:w="20" w:type="dxa"/>
            <w:vAlign w:val="bottom"/>
          </w:tcPr>
          <w:p>
            <w:pPr>
              <w:spacing w:after="0"/>
              <w:rPr>
                <w:sz w:val="17"/>
                <w:szCs w:val="17"/>
                <w:color w:val="auto"/>
              </w:rPr>
            </w:pPr>
          </w:p>
        </w:tc>
        <w:tc>
          <w:tcPr>
            <w:tcW w:w="860" w:type="dxa"/>
            <w:vAlign w:val="bottom"/>
            <w:tcBorders>
              <w:top w:val="single" w:sz="8" w:color="0E32E1"/>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Balance Sheets</w:t>
            </w:r>
          </w:p>
        </w:tc>
        <w:tc>
          <w:tcPr>
            <w:tcW w:w="3620" w:type="dxa"/>
            <w:vAlign w:val="bottom"/>
            <w:tcBorders>
              <w:top w:val="single" w:sz="8" w:color="0E32E1"/>
            </w:tcBorders>
            <w:gridSpan w:val="5"/>
          </w:tcPr>
          <w:p>
            <w:pPr>
              <w:spacing w:after="0"/>
              <w:rPr>
                <w:sz w:val="17"/>
                <w:szCs w:val="17"/>
                <w:color w:val="auto"/>
              </w:rPr>
            </w:pPr>
          </w:p>
        </w:tc>
        <w:tc>
          <w:tcPr>
            <w:tcW w:w="40" w:type="dxa"/>
            <w:vAlign w:val="bottom"/>
          </w:tcPr>
          <w:p>
            <w:pPr>
              <w:spacing w:after="0"/>
              <w:rPr>
                <w:sz w:val="17"/>
                <w:szCs w:val="17"/>
                <w:color w:val="auto"/>
              </w:rPr>
            </w:pPr>
          </w:p>
        </w:tc>
        <w:tc>
          <w:tcPr>
            <w:tcW w:w="6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03"/>
        </w:trPr>
        <w:tc>
          <w:tcPr>
            <w:tcW w:w="20" w:type="dxa"/>
            <w:vAlign w:val="bottom"/>
          </w:tcPr>
          <w:p>
            <w:pPr>
              <w:spacing w:after="0"/>
              <w:rPr>
                <w:sz w:val="17"/>
                <w:szCs w:val="17"/>
                <w:color w:val="auto"/>
              </w:rPr>
            </w:pPr>
          </w:p>
        </w:tc>
        <w:tc>
          <w:tcPr>
            <w:tcW w:w="2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Statements of Operations and Comprehensive Loss</w:t>
            </w:r>
          </w:p>
        </w:tc>
        <w:tc>
          <w:tcPr>
            <w:tcW w:w="1620" w:type="dxa"/>
            <w:vAlign w:val="bottom"/>
            <w:gridSpan w:val="2"/>
          </w:tcPr>
          <w:p>
            <w:pPr>
              <w:spacing w:after="0"/>
              <w:rPr>
                <w:sz w:val="17"/>
                <w:szCs w:val="17"/>
                <w:color w:val="auto"/>
              </w:rPr>
            </w:pPr>
          </w:p>
        </w:tc>
        <w:tc>
          <w:tcPr>
            <w:tcW w:w="6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3"/>
        </w:trPr>
        <w:tc>
          <w:tcPr>
            <w:tcW w:w="20" w:type="dxa"/>
            <w:vAlign w:val="bottom"/>
          </w:tcPr>
          <w:p>
            <w:pPr>
              <w:spacing w:after="0"/>
              <w:rPr>
                <w:sz w:val="17"/>
                <w:szCs w:val="17"/>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Statements of Stockholders’ Equity</w:t>
            </w:r>
          </w:p>
        </w:tc>
        <w:tc>
          <w:tcPr>
            <w:tcW w:w="6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3"/>
        </w:trPr>
        <w:tc>
          <w:tcPr>
            <w:tcW w:w="2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Statements of Cash Flows</w:t>
            </w:r>
          </w:p>
        </w:tc>
        <w:tc>
          <w:tcPr>
            <w:tcW w:w="520" w:type="dxa"/>
            <w:vAlign w:val="bottom"/>
            <w:tcBorders>
              <w:top w:val="single" w:sz="8" w:color="0000FF"/>
            </w:tcBorders>
            <w:gridSpan w:val="2"/>
          </w:tcPr>
          <w:p>
            <w:pPr>
              <w:spacing w:after="0"/>
              <w:rPr>
                <w:sz w:val="17"/>
                <w:szCs w:val="17"/>
                <w:color w:val="auto"/>
              </w:rPr>
            </w:pPr>
          </w:p>
        </w:tc>
        <w:tc>
          <w:tcPr>
            <w:tcW w:w="2520" w:type="dxa"/>
            <w:vAlign w:val="bottom"/>
            <w:gridSpan w:val="3"/>
          </w:tcPr>
          <w:p>
            <w:pPr>
              <w:spacing w:after="0"/>
              <w:rPr>
                <w:sz w:val="17"/>
                <w:szCs w:val="17"/>
                <w:color w:val="auto"/>
              </w:rPr>
            </w:pPr>
          </w:p>
        </w:tc>
        <w:tc>
          <w:tcPr>
            <w:tcW w:w="6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3"/>
        </w:trPr>
        <w:tc>
          <w:tcPr>
            <w:tcW w:w="20" w:type="dxa"/>
            <w:vAlign w:val="bottom"/>
          </w:tcPr>
          <w:p>
            <w:pPr>
              <w:spacing w:after="0"/>
              <w:rPr>
                <w:sz w:val="17"/>
                <w:szCs w:val="17"/>
                <w:color w:val="auto"/>
              </w:rPr>
            </w:pPr>
          </w:p>
        </w:tc>
        <w:tc>
          <w:tcPr>
            <w:tcW w:w="45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Notes to Financial Statements</w:t>
            </w:r>
          </w:p>
        </w:tc>
        <w:tc>
          <w:tcPr>
            <w:tcW w:w="6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913"/>
        </w:trPr>
        <w:tc>
          <w:tcPr>
            <w:tcW w:w="2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40" w:type="dxa"/>
            <w:vAlign w:val="bottom"/>
          </w:tcPr>
          <w:p>
            <w:pPr>
              <w:jc w:val="right"/>
              <w:ind w:right="5489"/>
              <w:spacing w:after="0"/>
              <w:rPr>
                <w:sz w:val="20"/>
                <w:szCs w:val="20"/>
                <w:color w:val="auto"/>
              </w:rPr>
            </w:pPr>
            <w:r>
              <w:rPr>
                <w:rFonts w:ascii="Times New Roman" w:cs="Times New Roman" w:eastAsia="Times New Roman" w:hAnsi="Times New Roman"/>
                <w:sz w:val="14"/>
                <w:szCs w:val="14"/>
                <w:color w:val="auto"/>
              </w:rPr>
              <w:t>83</w:t>
            </w:r>
          </w:p>
        </w:tc>
      </w:tr>
      <w:tr>
        <w:trPr>
          <w:trHeight w:val="87"/>
        </w:trPr>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Pliant 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balance sheets of Pliant Therapeutics, Inc. (the "Company") as of December 31, 2025 and 2024, the related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Accrued Research and Development and Prepaid Expenses and Other Current Assets – Accrued and Prepaid Research and Development Expenses related to Contract Research Organizations (CROs) — Refer to Notes 2 and 5 to the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records accrued expenses for costs of research and development activities which include the conduct of clinical studies by third-party CRO service providers, based upon the estimated amount of services provided but not yet invoiced. Any payments made in advance of services provided are recorded as prepaid assets, which are expensed as the contracted services are performed. The Company estimates the amount of work completed through the review of detailed budgets and timelines included in its contracts and agreements and updates these estimates with information obtained from third-party service providers and internal personnel on a quarterly basis.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Given the significant judgments made by management in estimating the progress or stage of completion of the services, auditing the Company’s accrued and prepaid research and development expenses related to CROs was especially challenging. Specifically, because the amount of accrued and prepaid research and development expenses is dependent on management’s receipt of timely and accurate reporting from third-party service providers, management’s estimates of work completed as of the balance sheet date, and management’s estimates of the period over which this work will be performed, auditing accrued and prepaid research and development expenses related to CROs required a high degree of auditor judgment and an increased extent of effort.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Company’s accrued and prepaid research and development expenses related to CROs included the following, among others:</w:t>
      </w:r>
    </w:p>
    <w:p>
      <w:pPr>
        <w:spacing w:after="0" w:line="94" w:lineRule="exact"/>
        <w:rPr>
          <w:sz w:val="20"/>
          <w:szCs w:val="20"/>
          <w:color w:val="auto"/>
        </w:rPr>
      </w:pPr>
    </w:p>
    <w:p>
      <w:pPr>
        <w:jc w:val="both"/>
        <w:ind w:left="520" w:hanging="260"/>
        <w:spacing w:after="0" w:line="270" w:lineRule="auto"/>
        <w:tabs>
          <w:tab w:leader="none" w:pos="5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sample of agreements and contracts, we read the related statement of work, purchase order, and inspected information the Company received from its third-party service providers. We tested the accuracy and completeness of the underlying information used in the estimates and evaluated the significant assumptions that are used by management to estimate the recorded amounts by performing the following procedures:</w:t>
      </w:r>
    </w:p>
    <w:p>
      <w:pPr>
        <w:spacing w:after="0" w:line="50" w:lineRule="exact"/>
        <w:rPr>
          <w:rFonts w:ascii="Times New Roman" w:cs="Times New Roman" w:eastAsia="Times New Roman" w:hAnsi="Times New Roman"/>
          <w:sz w:val="14"/>
          <w:szCs w:val="14"/>
          <w:color w:val="auto"/>
        </w:rPr>
      </w:pPr>
    </w:p>
    <w:p>
      <w:pPr>
        <w:ind w:left="1020" w:hanging="251"/>
        <w:spacing w:after="0" w:line="287" w:lineRule="auto"/>
        <w:tabs>
          <w:tab w:leader="none" w:pos="1017"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corroborating inquiries with the Company’s research and development personnel that oversee the CRO’s studies to obtain information regarding the nature and extent of progress of the clinical studies.</w:t>
      </w:r>
    </w:p>
    <w:p>
      <w:pPr>
        <w:spacing w:after="0" w:line="39" w:lineRule="exact"/>
        <w:rPr>
          <w:rFonts w:ascii="Times New Roman" w:cs="Times New Roman" w:eastAsia="Times New Roman" w:hAnsi="Times New Roman"/>
          <w:sz w:val="14"/>
          <w:szCs w:val="14"/>
          <w:color w:val="auto"/>
        </w:rPr>
      </w:pPr>
    </w:p>
    <w:p>
      <w:pPr>
        <w:ind w:left="1020" w:hanging="251"/>
        <w:spacing w:after="0" w:line="287" w:lineRule="auto"/>
        <w:tabs>
          <w:tab w:leader="none" w:pos="103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written confirmations directly from the Company’s third-party service providers regarding the accuracy and completeness of contracted amounts and percentage of completion.</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management’s judgments using the evidence obtained.</w:t>
      </w:r>
    </w:p>
    <w:p>
      <w:pPr>
        <w:spacing w:after="0" w:line="93" w:lineRule="exact"/>
        <w:rPr>
          <w:rFonts w:ascii="Times New Roman" w:cs="Times New Roman" w:eastAsia="Times New Roman" w:hAnsi="Times New Roman"/>
          <w:sz w:val="14"/>
          <w:szCs w:val="14"/>
          <w:color w:val="auto"/>
        </w:rPr>
      </w:pPr>
    </w:p>
    <w:p>
      <w:pPr>
        <w:ind w:left="1020" w:hanging="251"/>
        <w:spacing w:after="0" w:line="287" w:lineRule="auto"/>
        <w:tabs>
          <w:tab w:leader="none" w:pos="102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sample of agreements and contracts, we obtained the corresponding invoices and evidence of payment to test the Company’s disbursements made to third-party service providers as of December 31, 2025.</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compared invoices received by the Company subsequent to December 31, 2025, to the accrued research and development expenses related to CROs recognized by the Company as of that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7" w:name="page88"/>
    <w:bookmarkEnd w:id="87"/>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Pliant Therapeutics, Inc.</w:t>
      </w:r>
    </w:p>
    <w:p>
      <w:pPr>
        <w:spacing w:after="0" w:line="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i w:val="1"/>
          <w:iCs w:val="1"/>
          <w:color w:val="auto"/>
        </w:rPr>
        <w:t>(In thousands, except number of shares and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2"/>
                <w:szCs w:val="12"/>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7"/>
        </w:trPr>
        <w:tc>
          <w:tcPr>
            <w:tcW w:w="7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6"/>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71,188</w:t>
            </w:r>
          </w:p>
        </w:tc>
      </w:tr>
      <w:tr>
        <w:trPr>
          <w:trHeight w:val="180"/>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145,499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284,536</w:t>
            </w:r>
          </w:p>
        </w:tc>
      </w:tr>
      <w:tr>
        <w:trPr>
          <w:trHeight w:val="18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 (Note 5)</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6,540</w:t>
            </w:r>
          </w:p>
        </w:tc>
      </w:tr>
      <w:tr>
        <w:trPr>
          <w:trHeight w:val="180"/>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Property and equipment held for sale (Note 4)</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196,448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362,264</w:t>
            </w: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(Note 4)</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27,243</w:t>
            </w: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71"/>
        </w:trPr>
        <w:tc>
          <w:tcPr>
            <w:tcW w:w="78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225,228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396,949</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2"/>
        </w:trPr>
        <w:tc>
          <w:tcPr>
            <w:tcW w:w="78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w:t>
            </w:r>
          </w:p>
        </w:tc>
      </w:tr>
      <w:tr>
        <w:trPr>
          <w:trHeight w:val="180"/>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research and development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14,363</w:t>
            </w:r>
          </w:p>
        </w:tc>
      </w:tr>
      <w:tr>
        <w:trPr>
          <w:trHeight w:val="18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6)</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12,353</w:t>
            </w:r>
          </w:p>
        </w:tc>
      </w:tr>
      <w:tr>
        <w:trPr>
          <w:trHeight w:val="180"/>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171"/>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33,218</w:t>
            </w:r>
          </w:p>
        </w:tc>
      </w:tr>
      <w:tr>
        <w:trPr>
          <w:trHeight w:val="180"/>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29,439</w:t>
            </w:r>
          </w:p>
        </w:tc>
      </w:tr>
      <w:tr>
        <w:trPr>
          <w:trHeight w:val="18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 (Note 7)</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30,211</w:t>
            </w:r>
          </w:p>
        </w:tc>
      </w:tr>
      <w:tr>
        <w:trPr>
          <w:trHeight w:val="171"/>
        </w:trPr>
        <w:tc>
          <w:tcPr>
            <w:tcW w:w="7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44,023</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92,868</w:t>
            </w:r>
          </w:p>
        </w:tc>
      </w:tr>
      <w:tr>
        <w:trPr>
          <w:trHeight w:val="16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38"/>
        </w:trPr>
        <w:tc>
          <w:tcPr>
            <w:tcW w:w="78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at December 31, 2025 and 2024, none issued or outstanding at</w:t>
            </w: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91"/>
        </w:trPr>
        <w:tc>
          <w:tcPr>
            <w:tcW w:w="7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December 31, 2025 and 2024</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78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Common stock, $0.0001 par value; 300,000,000 shares authorized at December 31, 2025 and 2024; and 61,449,290 and 60,860,838</w:t>
            </w: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91"/>
        </w:trPr>
        <w:tc>
          <w:tcPr>
            <w:tcW w:w="7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shares issued and outstanding at December 31, 2025 and December 31, 2024, respectively;</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1,013,806</w:t>
            </w:r>
          </w:p>
        </w:tc>
      </w:tr>
      <w:tr>
        <w:trPr>
          <w:trHeight w:val="180"/>
        </w:trPr>
        <w:tc>
          <w:tcPr>
            <w:tcW w:w="7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(859,396)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(710,052)</w:t>
            </w:r>
          </w:p>
        </w:tc>
      </w:tr>
      <w:tr>
        <w:trPr>
          <w:trHeight w:val="18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 gain</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171"/>
        </w:trPr>
        <w:tc>
          <w:tcPr>
            <w:tcW w:w="7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181,205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304,081</w:t>
            </w:r>
          </w:p>
        </w:tc>
      </w:tr>
      <w:tr>
        <w:trPr>
          <w:trHeight w:val="196"/>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225,228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4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300" w:top="865" w:right="859"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Pliant Therapeutics,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thousands, except number of shares and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r>
      <w:tr>
        <w:trPr>
          <w:trHeight w:val="167"/>
        </w:trPr>
        <w:tc>
          <w:tcPr>
            <w:tcW w:w="68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(169,310)</w:t>
            </w:r>
          </w:p>
        </w:tc>
      </w:tr>
      <w:tr>
        <w:trPr>
          <w:trHeight w:val="180"/>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(47,216)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(59,055)</w:t>
            </w:r>
          </w:p>
        </w:tc>
      </w:tr>
      <w:tr>
        <w:trPr>
          <w:trHeight w:val="171"/>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(156,373)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(228,365)</w:t>
            </w:r>
          </w:p>
        </w:tc>
      </w:tr>
      <w:tr>
        <w:trPr>
          <w:trHeight w:val="171"/>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(228,365)</w:t>
            </w:r>
          </w:p>
        </w:tc>
      </w:tr>
      <w:tr>
        <w:trPr>
          <w:trHeight w:val="18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and other income (expense),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21,085</w:t>
            </w:r>
          </w:p>
        </w:tc>
      </w:tr>
      <w:tr>
        <w:trPr>
          <w:trHeight w:val="180"/>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r>
      <w:tr>
        <w:trPr>
          <w:trHeight w:val="18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 (Note 7)</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(149,344)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(210,304)</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8"/>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 basic and diluted</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8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Weighted average shares used in computing net loss per share - basic and diluted</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61,366,887</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60,538,639</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2"/>
        </w:trPr>
        <w:tc>
          <w:tcPr>
            <w:tcW w:w="6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Comprehensive loss: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0"/>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(149,344)</w:t>
            </w:r>
          </w:p>
        </w:tc>
        <w:tc>
          <w:tcPr>
            <w:tcW w:w="100" w:type="dxa"/>
            <w:vAlign w:val="bottom"/>
          </w:tcPr>
          <w:p>
            <w:pPr>
              <w:spacing w:after="0"/>
              <w:rPr>
                <w:sz w:val="15"/>
                <w:szCs w:val="15"/>
                <w:color w:val="auto"/>
              </w:rPr>
            </w:pPr>
          </w:p>
        </w:tc>
        <w:tc>
          <w:tcPr>
            <w:tcW w:w="3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(210,304)</w:t>
            </w:r>
          </w:p>
        </w:tc>
      </w:tr>
      <w:tr>
        <w:trPr>
          <w:trHeight w:val="18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unrealized loss on short-term investments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1"/>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other comprehensive loss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6"/>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(149,680)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(210,328)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540"/>
          </w:cols>
          <w:pgMar w:left="1180" w:top="865" w:right="1179" w:bottom="1440" w:gutter="0" w:footer="0" w:header="0"/>
        </w:sectPr>
      </w:pPr>
    </w:p>
    <w:bookmarkStart w:id="89" w:name="page90"/>
    <w:bookmarkEnd w:id="89"/>
    <w:p>
      <w:pPr>
        <w:jc w:val="center"/>
        <w:ind w:left="3680"/>
        <w:spacing w:after="0"/>
        <w:rPr>
          <w:sz w:val="20"/>
          <w:szCs w:val="20"/>
          <w:color w:val="auto"/>
        </w:rPr>
      </w:pPr>
      <w:r>
        <w:rPr>
          <w:rFonts w:ascii="Times New Roman" w:cs="Times New Roman" w:eastAsia="Times New Roman" w:hAnsi="Times New Roman"/>
          <w:sz w:val="14"/>
          <w:szCs w:val="14"/>
          <w:b w:val="1"/>
          <w:bCs w:val="1"/>
          <w:color w:val="auto"/>
        </w:rPr>
        <w:t>Pliant Therapeutics, Inc.</w:t>
      </w:r>
    </w:p>
    <w:p>
      <w:pPr>
        <w:spacing w:after="0" w:line="25"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4"/>
          <w:szCs w:val="14"/>
          <w:b w:val="1"/>
          <w:bCs w:val="1"/>
          <w:color w:val="auto"/>
        </w:rPr>
        <w:t>Statements of Stockholders’ Equity</w:t>
      </w:r>
    </w:p>
    <w:p>
      <w:pPr>
        <w:spacing w:after="0" w:line="9"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4"/>
          <w:szCs w:val="14"/>
          <w:i w:val="1"/>
          <w:iCs w:val="1"/>
          <w:color w:val="auto"/>
        </w:rPr>
        <w:t>(In thousands, except number of shares and per share amounts)</w:t>
      </w:r>
    </w:p>
    <w:p>
      <w:pPr>
        <w:spacing w:after="0" w:line="112" w:lineRule="exact"/>
        <w:rPr>
          <w:sz w:val="20"/>
          <w:szCs w:val="20"/>
          <w:color w:val="auto"/>
        </w:rPr>
      </w:pPr>
    </w:p>
    <w:tbl>
      <w:tblPr>
        <w:tblLayout w:type="fixed"/>
        <w:tblInd w:w="314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0" w:type="dxa"/>
            <w:vAlign w:val="bottom"/>
          </w:tcPr>
          <w:p>
            <w:pPr>
              <w:spacing w:after="0"/>
              <w:rPr>
                <w:sz w:val="1"/>
                <w:szCs w:val="1"/>
                <w:color w:val="auto"/>
              </w:rPr>
            </w:pPr>
          </w:p>
        </w:tc>
      </w:tr>
      <w:tr>
        <w:trPr>
          <w:trHeight w:val="159"/>
        </w:trPr>
        <w:tc>
          <w:tcPr>
            <w:tcW w:w="22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160" w:type="dxa"/>
            <w:vAlign w:val="bottom"/>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8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5"/>
        </w:trPr>
        <w:tc>
          <w:tcPr>
            <w:tcW w:w="2220" w:type="dxa"/>
            <w:vAlign w:val="bottom"/>
            <w:tcBorders>
              <w:bottom w:val="single" w:sz="8" w:color="auto"/>
            </w:tcBorders>
            <w:gridSpan w:val="2"/>
            <w:vMerge w:val="continue"/>
          </w:tcPr>
          <w:p>
            <w:pPr>
              <w:spacing w:after="0"/>
              <w:rPr>
                <w:sz w:val="12"/>
                <w:szCs w:val="12"/>
                <w:color w:val="auto"/>
              </w:rPr>
            </w:pPr>
          </w:p>
        </w:tc>
        <w:tc>
          <w:tcPr>
            <w:tcW w:w="1160" w:type="dxa"/>
            <w:vAlign w:val="bottom"/>
          </w:tcPr>
          <w:p>
            <w:pPr>
              <w:jc w:val="center"/>
              <w:ind w:left="56"/>
              <w:spacing w:after="0" w:line="140"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80" w:type="dxa"/>
            <w:vAlign w:val="bottom"/>
          </w:tcPr>
          <w:p>
            <w:pPr>
              <w:jc w:val="center"/>
              <w:ind w:left="156"/>
              <w:spacing w:after="0" w:line="140"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0" w:type="dxa"/>
            <w:vAlign w:val="bottom"/>
          </w:tcPr>
          <w:p>
            <w:pPr>
              <w:spacing w:after="0"/>
              <w:rPr>
                <w:sz w:val="1"/>
                <w:szCs w:val="1"/>
                <w:color w:val="auto"/>
              </w:rPr>
            </w:pPr>
          </w:p>
        </w:tc>
      </w:tr>
      <w:tr>
        <w:trPr>
          <w:trHeight w:val="167"/>
        </w:trPr>
        <w:tc>
          <w:tcPr>
            <w:tcW w:w="108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60" w:type="dxa"/>
            <w:vAlign w:val="bottom"/>
          </w:tcPr>
          <w:p>
            <w:pPr>
              <w:jc w:val="center"/>
              <w:ind w:left="56"/>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8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5"/>
              </w:rPr>
              <w:t>(Loss) Gain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182" w:lineRule="auto"/>
        <w:tabs>
          <w:tab w:leader="none" w:pos="1160" w:val="left"/>
        </w:tabs>
        <w:rPr>
          <w:sz w:val="20"/>
          <w:szCs w:val="20"/>
          <w:color w:val="auto"/>
        </w:rPr>
      </w:pPr>
      <w:r>
        <w:rPr>
          <w:rFonts w:ascii="Times New Roman" w:cs="Times New Roman" w:eastAsia="Times New Roman" w:hAnsi="Times New Roman"/>
          <w:sz w:val="19"/>
          <w:szCs w:val="19"/>
          <w:b w:val="1"/>
          <w:bCs w:val="1"/>
          <w:color w:val="auto"/>
          <w:vertAlign w:val="subscript"/>
        </w:rPr>
        <w:t>Accumulated</w:t>
      </w:r>
      <w:r>
        <w:rPr>
          <w:sz w:val="20"/>
          <w:szCs w:val="20"/>
          <w:color w:val="auto"/>
        </w:rPr>
        <w:tab/>
      </w:r>
      <w:r>
        <w:rPr>
          <w:rFonts w:ascii="Times New Roman" w:cs="Times New Roman" w:eastAsia="Times New Roman" w:hAnsi="Times New Roman"/>
          <w:sz w:val="10"/>
          <w:szCs w:val="10"/>
          <w:b w:val="1"/>
          <w:bCs w:val="1"/>
          <w:color w:val="auto"/>
        </w:rPr>
        <w:t>Stockholders'</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3"/>
          <w:szCs w:val="13"/>
          <w:b w:val="1"/>
          <w:bCs w:val="1"/>
          <w:color w:val="auto"/>
        </w:rPr>
        <w:t>Deficit</w:t>
      </w:r>
      <w:r>
        <w:rPr>
          <w:sz w:val="20"/>
          <w:szCs w:val="20"/>
          <w:color w:val="auto"/>
        </w:rPr>
        <w:tab/>
      </w:r>
      <w:r>
        <w:rPr>
          <w:rFonts w:ascii="Times New Roman" w:cs="Times New Roman" w:eastAsia="Times New Roman" w:hAnsi="Times New Roman"/>
          <w:sz w:val="13"/>
          <w:szCs w:val="13"/>
          <w:b w:val="1"/>
          <w:bCs w:val="1"/>
          <w:color w:val="auto"/>
        </w:rPr>
        <w:t>Equity</w:t>
      </w:r>
    </w:p>
    <w:p>
      <w:pPr>
        <w:spacing w:after="0" w:line="12" w:lineRule="exact"/>
        <w:rPr>
          <w:sz w:val="20"/>
          <w:szCs w:val="20"/>
          <w:color w:val="auto"/>
        </w:rPr>
      </w:pPr>
    </w:p>
    <w:p>
      <w:pPr>
        <w:sectPr>
          <w:pgSz w:w="11900" w:h="16838" w:orient="portrait"/>
          <w:cols w:equalWidth="0" w:num="2">
            <w:col w:w="7600" w:space="380"/>
            <w:col w:w="2179"/>
          </w:cols>
          <w:pgMar w:left="300" w:top="865" w:right="1440" w:bottom="1440" w:gutter="0" w:footer="0" w:header="0"/>
        </w:sectPr>
      </w:pPr>
    </w:p>
    <w:tbl>
      <w:tblPr>
        <w:tblLayout w:type="fixed"/>
        <w:tblInd w:w="0" w:type="dxa"/>
        <w:tblCellMar>
          <w:top w:w="0" w:type="dxa"/>
          <w:left w:w="0" w:type="dxa"/>
          <w:bottom w:w="0" w:type="dxa"/>
          <w:right w:w="0" w:type="dxa"/>
        </w:tblCellMar>
      </w:tblPr>
      <w:tr>
        <w:trPr>
          <w:trHeight w:val="17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59,921,002</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972,973</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8"/>
              </w:rPr>
              <w:t>(499,748)</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473,576</w:t>
            </w: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benefit plans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939,836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w:t>
            </w: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37,626</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37,626</w:t>
            </w: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loss on short-term investments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8"/>
              </w:rPr>
              <w:t>(210,304)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(210,304)</w:t>
            </w:r>
          </w:p>
        </w:tc>
      </w:tr>
      <w:tr>
        <w:trPr>
          <w:trHeight w:val="17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60,860,838</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1,013,806</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8"/>
              </w:rPr>
              <w:t>(710,052)</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304,081</w:t>
            </w: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benefit plans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26,234</w:t>
            </w: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loss on short-term investments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(149,344)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(149,344)</w:t>
            </w:r>
          </w:p>
        </w:tc>
      </w:tr>
      <w:tr>
        <w:trPr>
          <w:trHeight w:val="196"/>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61,449,290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8"/>
              </w:rPr>
              <w:t>(859,396)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181,205</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65" w:right="1440" w:bottom="1440" w:gutter="0" w:footer="0" w:header="0"/>
          <w:type w:val="continuous"/>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Pliant Therapeutics,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8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(149,344)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(210,304)</w:t>
            </w: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expense</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26,234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37,626</w:t>
            </w:r>
          </w:p>
        </w:tc>
        <w:tc>
          <w:tcPr>
            <w:tcW w:w="0" w:type="dxa"/>
            <w:vAlign w:val="bottom"/>
          </w:tcPr>
          <w:p>
            <w:pPr>
              <w:spacing w:after="0"/>
              <w:rPr>
                <w:sz w:val="1"/>
                <w:szCs w:val="1"/>
                <w:color w:val="auto"/>
              </w:rPr>
            </w:pPr>
          </w:p>
        </w:tc>
      </w:tr>
      <w:tr>
        <w:trPr>
          <w:trHeight w:val="183"/>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on sale of property plant and equipment</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operating lease expense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(accretion) on short-term investments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2,510</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 non-current assets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8"/>
        </w:trPr>
        <w:tc>
          <w:tcPr>
            <w:tcW w:w="68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Accrued liabilities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(128,336)</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(155,503)</w:t>
            </w:r>
          </w:p>
        </w:tc>
        <w:tc>
          <w:tcPr>
            <w:tcW w:w="0" w:type="dxa"/>
            <w:vAlign w:val="bottom"/>
          </w:tcPr>
          <w:p>
            <w:pPr>
              <w:spacing w:after="0"/>
              <w:rPr>
                <w:sz w:val="1"/>
                <w:szCs w:val="1"/>
                <w:color w:val="auto"/>
              </w:rPr>
            </w:pPr>
          </w:p>
        </w:tc>
      </w:tr>
      <w:tr>
        <w:trPr>
          <w:trHeight w:val="149"/>
        </w:trPr>
        <w:tc>
          <w:tcPr>
            <w:tcW w:w="680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short-term investments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(203,404)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(211,285)</w:t>
            </w: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Maturity of short-term investments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337,913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355,473</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(3,848)</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520"/>
              <w:spacing w:after="0" w:line="146"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134,290</w:t>
            </w: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140,340</w:t>
            </w:r>
          </w:p>
        </w:tc>
        <w:tc>
          <w:tcPr>
            <w:tcW w:w="0" w:type="dxa"/>
            <w:vAlign w:val="bottom"/>
          </w:tcPr>
          <w:p>
            <w:pPr>
              <w:spacing w:after="0"/>
              <w:rPr>
                <w:sz w:val="1"/>
                <w:szCs w:val="1"/>
                <w:color w:val="auto"/>
              </w:rPr>
            </w:pPr>
          </w:p>
        </w:tc>
      </w:tr>
      <w:tr>
        <w:trPr>
          <w:trHeight w:val="149"/>
        </w:trPr>
        <w:tc>
          <w:tcPr>
            <w:tcW w:w="680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issuances of common stock under benefit plans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3,207</w:t>
            </w:r>
          </w:p>
        </w:tc>
        <w:tc>
          <w:tcPr>
            <w:tcW w:w="0" w:type="dxa"/>
            <w:vAlign w:val="bottom"/>
          </w:tcPr>
          <w:p>
            <w:pPr>
              <w:spacing w:after="0"/>
              <w:rPr>
                <w:sz w:val="1"/>
                <w:szCs w:val="1"/>
                <w:color w:val="auto"/>
              </w:rPr>
            </w:pPr>
          </w:p>
        </w:tc>
      </w:tr>
      <w:tr>
        <w:trPr>
          <w:trHeight w:val="168"/>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Payment of debt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(32,267)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term loan, net of issuance costs</w:t>
            </w:r>
          </w:p>
        </w:tc>
        <w:tc>
          <w:tcPr>
            <w:tcW w:w="8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19,910</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520"/>
              <w:spacing w:after="0" w:line="146"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8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(31,697)</w:t>
            </w:r>
          </w:p>
        </w:tc>
        <w:tc>
          <w:tcPr>
            <w:tcW w:w="10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23,117</w:t>
            </w: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7,954</w:t>
            </w: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72,670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64,716</w:t>
            </w: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46,927</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72,670</w:t>
            </w:r>
          </w:p>
        </w:tc>
        <w:tc>
          <w:tcPr>
            <w:tcW w:w="0" w:type="dxa"/>
            <w:vAlign w:val="bottom"/>
          </w:tcPr>
          <w:p>
            <w:pPr>
              <w:spacing w:after="0"/>
              <w:rPr>
                <w:sz w:val="1"/>
                <w:szCs w:val="1"/>
                <w:color w:val="auto"/>
              </w:rPr>
            </w:pPr>
          </w:p>
        </w:tc>
      </w:tr>
      <w:tr>
        <w:trPr>
          <w:trHeight w:val="149"/>
        </w:trPr>
        <w:tc>
          <w:tcPr>
            <w:tcW w:w="680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0" w:type="dxa"/>
            <w:vAlign w:val="bottom"/>
          </w:tcPr>
          <w:p>
            <w:pPr>
              <w:spacing w:after="0"/>
              <w:rPr>
                <w:sz w:val="1"/>
                <w:szCs w:val="1"/>
                <w:color w:val="auto"/>
              </w:rPr>
            </w:pPr>
          </w:p>
        </w:tc>
      </w:tr>
      <w:tr>
        <w:trPr>
          <w:trHeight w:val="169"/>
        </w:trPr>
        <w:tc>
          <w:tcPr>
            <w:tcW w:w="6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reported in the balance sheets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71,188</w:t>
            </w: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1,482</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1,482</w:t>
            </w:r>
          </w:p>
        </w:tc>
        <w:tc>
          <w:tcPr>
            <w:tcW w:w="0" w:type="dxa"/>
            <w:vAlign w:val="bottom"/>
          </w:tcPr>
          <w:p>
            <w:pPr>
              <w:spacing w:after="0"/>
              <w:rPr>
                <w:sz w:val="1"/>
                <w:szCs w:val="1"/>
                <w:color w:val="auto"/>
              </w:rPr>
            </w:pPr>
          </w:p>
        </w:tc>
      </w:tr>
      <w:tr>
        <w:trPr>
          <w:trHeight w:val="185"/>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 shown in the statements of cash flows</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46,927</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72,670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noncash investing and financing activities: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68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property and equipment in accounts payable</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69"/>
        </w:trPr>
        <w:tc>
          <w:tcPr>
            <w:tcW w:w="6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 related to leases: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operating lease liabilities in operating cash flows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4,698</w:t>
            </w:r>
          </w:p>
        </w:tc>
        <w:tc>
          <w:tcPr>
            <w:tcW w:w="0" w:type="dxa"/>
            <w:vAlign w:val="bottom"/>
          </w:tcPr>
          <w:p>
            <w:pPr>
              <w:spacing w:after="0"/>
              <w:rPr>
                <w:sz w:val="1"/>
                <w:szCs w:val="1"/>
                <w:color w:val="auto"/>
              </w:rPr>
            </w:pPr>
          </w:p>
        </w:tc>
      </w:tr>
      <w:tr>
        <w:trPr>
          <w:trHeight w:val="165"/>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29,779</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740"/>
          </w:cols>
          <w:pgMar w:left="1080" w:top="865" w:right="107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Pliant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Description of Business</w:t>
      </w:r>
    </w:p>
    <w:p>
      <w:pPr>
        <w:spacing w:after="0" w:line="9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Pliant Therapeutics, Inc. (the “Company” or "Pliant" or “we” or “our” or “us”) is a clinical-stage biopharmaceutical company focused on discovering and developing integrin-based therapeutics. Our lead program is focused on the development of treatments for solid tumors by inhibiting integrin-mediated activation of transforming growth factor-β (TGF-β) and we also continue to explore the full potential of our drug discovery platform consisting of a proprietary library of over 15,000 integrin binding molecules, focusing on integrin-based target-mediated drug delivery. The Company is located in South San Francisco, California, and was incorporated in the state of Delaware in June 2015.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accompanying financial statements have been prepared in conformity with accounting principles generally accepted in the United States of America (“U.S.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liabilities, and expenses as well as the disclosure of contingent assets and liabilities in the financial statements and accompanying notes. On an ongoing basis, management evaluates its estimates, including those related to revenue recognition, accruals for research and development costs, fair value of assets, stock-based compensation, income taxes and uncertain tax positions. Management bases its estimates on historical experience and on various other market-specific and relevant assumptions that management believes to be reasonable under the circumstances, however, actual results may differ from those estimates.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6" w:lineRule="exact"/>
        <w:rPr>
          <w:sz w:val="20"/>
          <w:szCs w:val="20"/>
          <w:color w:val="auto"/>
        </w:rPr>
      </w:pPr>
    </w:p>
    <w:p>
      <w:pPr>
        <w:ind w:right="140" w:firstLine="318"/>
        <w:spacing w:after="0" w:line="261" w:lineRule="auto"/>
        <w:rPr>
          <w:sz w:val="20"/>
          <w:szCs w:val="20"/>
          <w:color w:val="auto"/>
        </w:rPr>
      </w:pPr>
      <w:r>
        <w:rPr>
          <w:rFonts w:ascii="Times New Roman" w:cs="Times New Roman" w:eastAsia="Times New Roman" w:hAnsi="Times New Roman"/>
          <w:sz w:val="14"/>
          <w:szCs w:val="14"/>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Fair value accounting is applied for all financial assets and liabilities and non-financial assets and liabilities that are recognized or disclosed at fair value in the financial statements on a recurring basis. The carrying amount of the Company’s financial instruments, including cash and cash equivalents, tax credit receivable, accounts receivable, prepaid expenses and other current assets, accounts payable and accrued liabilities approximate fair value due to their short-term maturities.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Other Risks and Uncertainties</w:t>
      </w:r>
    </w:p>
    <w:p>
      <w:pPr>
        <w:spacing w:after="0" w:line="9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a concentration of credit risk consist of cash and cash equivalents, short-term investments and accounts receivable. The Company invests in Money Market Funds, United States (“U.S.”) Treasury securities, government notes and corporate debt securities. The Company limits its credit risk associated with its cash and cash equivalents by placing them with banks and institutions it believes are highly credit worthy and in highly rated investments. However, the Company had deposits in excess of the Federal Deposit Insurance Corporation (“FDIC”) insured limit of $250,000. The Company performs credit evaluations of its customer, and the risk with respect to accounts receivable is further mitigated by the short duration of customer payment terms, generally within 60 days, and the pedigree of the customer base. During the year ended December 31, 2025 and 2024, the Company had no revenue or accounts receivable.</w:t>
      </w:r>
    </w:p>
    <w:p>
      <w:pPr>
        <w:spacing w:after="0" w:line="61" w:lineRule="exact"/>
        <w:rPr>
          <w:sz w:val="20"/>
          <w:szCs w:val="20"/>
          <w:color w:val="auto"/>
        </w:rPr>
      </w:pPr>
    </w:p>
    <w:p>
      <w:pPr>
        <w:ind w:right="160" w:firstLine="318"/>
        <w:spacing w:after="0" w:line="264" w:lineRule="auto"/>
        <w:rPr>
          <w:sz w:val="20"/>
          <w:szCs w:val="20"/>
          <w:color w:val="auto"/>
        </w:rPr>
      </w:pPr>
      <w:r>
        <w:rPr>
          <w:rFonts w:ascii="Times New Roman" w:cs="Times New Roman" w:eastAsia="Times New Roman" w:hAnsi="Times New Roman"/>
          <w:sz w:val="14"/>
          <w:szCs w:val="14"/>
          <w:color w:val="auto"/>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spacing w:after="0" w:line="56"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color w:val="auto"/>
        </w:rPr>
        <w:t>delayed or the Company is unable to maintain approval for any product candidate, it can have a materially adverse impact on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w:t>
      </w:r>
    </w:p>
    <w:p>
      <w:pPr>
        <w:spacing w:after="0" w:line="96"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4"/>
          <w:szCs w:val="14"/>
          <w:color w:val="auto"/>
        </w:rPr>
        <w:t>The Company operates and manages its business as one reportable and operating segment, which is the business of developing and commercializing novel integrin-based therapies. The Company’s chief executive officer, who is the chief operating decision maker ("CODM"), reviews financial information on an aggregate basis for allocating and evaluating financial performance; however, our CODM is regularly provided with more detailed expense information than what is included in our Statement of Operations and Comprehensive Loss. See Note 13 for further details. The single operating segment constitutes all of the Company activity, the chief operating decision maker regularly reviews the entity-wide operating results and performance</w:t>
      </w:r>
      <w:r>
        <w:rPr>
          <w:rFonts w:ascii="Times New Roman" w:cs="Times New Roman" w:eastAsia="Times New Roman" w:hAnsi="Times New Roman"/>
          <w:sz w:val="15"/>
          <w:szCs w:val="15"/>
          <w:color w:val="EE2724"/>
        </w:rPr>
        <w:t>.</w:t>
      </w:r>
      <w:r>
        <w:rPr>
          <w:rFonts w:ascii="Times New Roman" w:cs="Times New Roman" w:eastAsia="Times New Roman" w:hAnsi="Times New Roman"/>
          <w:sz w:val="14"/>
          <w:szCs w:val="14"/>
          <w:color w:val="auto"/>
        </w:rPr>
        <w:t xml:space="preserve"> All long-lived assets are maintained in the United States of America.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6" w:lineRule="exact"/>
        <w:rPr>
          <w:sz w:val="20"/>
          <w:szCs w:val="20"/>
          <w:color w:val="auto"/>
        </w:rPr>
      </w:pPr>
    </w:p>
    <w:p>
      <w:pPr>
        <w:ind w:right="420" w:firstLine="318"/>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purchased with original maturities of three months or less from the purchase date to be cash equivalents. Cash equivalents consist of amounts invested in money market funds and are stated at fair value.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6"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Our restricted cash balance of $1.4 million as of December 31, 2025 and 2024 represented cash required to be held as collateral by a financial institution to guarantee lease payments due to our landlord at Oyster Point Blvd, South San Francisco, California (the "Oyster Point Lease").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Short-Term Investments</w:t>
      </w:r>
    </w:p>
    <w:p>
      <w:pPr>
        <w:spacing w:after="0" w:line="96"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The Company’s short-term investments consist of U.S. Treasury securities, U.S. government agency securities and corporate debt securities with remaining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As of December 31, 2025 and 2024, all of the Company’s short-term investments were classified as available-for-sale and were carried at fair market value with unrealized losses recorded in other comprehensive (loss) gain in the statements of operations and comprehensive loss. See Note 3 for further details.</w:t>
      </w:r>
    </w:p>
    <w:p>
      <w:pPr>
        <w:spacing w:after="0" w:line="58"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an allowance for credit losses using an expected loss model. Credit losses are limited to the amount by which the amortized cost of an investment exceeds its fair value. A previously recognized credit loss may be decreased in subsequent periods if the Company’s estimate of fair value for the investment increases. To determine whether to record a credit loss, the Company considers issuer specific credit ratings and historical losses as well as current economic conditions and its expectations for future economic conditions. The Company has not recorded any credit losses during the years ended December 31, 2025 and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6"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7460" w:type="dxa"/>
            <w:vAlign w:val="bottom"/>
            <w:shd w:val="clear" w:color="auto" w:fill="CFF0FC"/>
          </w:tcPr>
          <w:p>
            <w:pPr>
              <w:ind w:left="1820"/>
              <w:spacing w:after="0"/>
              <w:rPr>
                <w:sz w:val="20"/>
                <w:szCs w:val="20"/>
                <w:color w:val="auto"/>
              </w:rPr>
            </w:pPr>
            <w:r>
              <w:rPr>
                <w:rFonts w:ascii="Times New Roman" w:cs="Times New Roman" w:eastAsia="Times New Roman" w:hAnsi="Times New Roman"/>
                <w:sz w:val="14"/>
                <w:szCs w:val="14"/>
                <w:color w:val="auto"/>
              </w:rPr>
              <w:t>5 years</w:t>
            </w:r>
          </w:p>
        </w:tc>
      </w:tr>
      <w:tr>
        <w:trPr>
          <w:trHeight w:val="19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746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3 years</w:t>
            </w:r>
          </w:p>
        </w:tc>
      </w:tr>
      <w:tr>
        <w:trPr>
          <w:trHeight w:val="22"/>
        </w:trPr>
        <w:tc>
          <w:tcPr>
            <w:tcW w:w="38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91"/>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7460" w:type="dxa"/>
            <w:vAlign w:val="bottom"/>
            <w:shd w:val="clear" w:color="auto" w:fill="CFF0FC"/>
          </w:tcPr>
          <w:p>
            <w:pPr>
              <w:ind w:left="1820"/>
              <w:spacing w:after="0"/>
              <w:rPr>
                <w:sz w:val="20"/>
                <w:szCs w:val="20"/>
                <w:color w:val="auto"/>
              </w:rPr>
            </w:pPr>
            <w:r>
              <w:rPr>
                <w:rFonts w:ascii="Times New Roman" w:cs="Times New Roman" w:eastAsia="Times New Roman" w:hAnsi="Times New Roman"/>
                <w:sz w:val="14"/>
                <w:szCs w:val="14"/>
                <w:color w:val="auto"/>
              </w:rPr>
              <w:t>Shorter of remaining lease term or estimated useful life</w:t>
            </w:r>
          </w:p>
        </w:tc>
      </w:tr>
      <w:tr>
        <w:trPr>
          <w:trHeight w:val="22"/>
        </w:trPr>
        <w:tc>
          <w:tcPr>
            <w:tcW w:w="3820" w:type="dxa"/>
            <w:vAlign w:val="bottom"/>
            <w:shd w:val="clear" w:color="auto" w:fill="CFF0FC"/>
          </w:tcPr>
          <w:p>
            <w:pPr>
              <w:spacing w:after="0" w:line="20" w:lineRule="exact"/>
              <w:rPr>
                <w:sz w:val="1"/>
                <w:szCs w:val="1"/>
                <w:color w:val="auto"/>
              </w:rPr>
            </w:pPr>
          </w:p>
        </w:tc>
        <w:tc>
          <w:tcPr>
            <w:tcW w:w="7460" w:type="dxa"/>
            <w:vAlign w:val="bottom"/>
            <w:shd w:val="clear" w:color="auto" w:fill="CFF0FC"/>
          </w:tcPr>
          <w:p>
            <w:pPr>
              <w:spacing w:after="0" w:line="20" w:lineRule="exact"/>
              <w:rPr>
                <w:sz w:val="1"/>
                <w:szCs w:val="1"/>
                <w:color w:val="auto"/>
              </w:rPr>
            </w:pPr>
          </w:p>
        </w:tc>
      </w:tr>
    </w:tbl>
    <w:p>
      <w:pPr>
        <w:spacing w:after="0" w:line="144"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Upon retirement or sale of the assets, the cost and related accumulated depreciation and amortization are removed from the balance sheets and the resulting gain or loss is recorded to the statements of operations and comprehensive loss. Repairs and maintenance are expensed as incurred.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The Company determines if an arrangement contains a lease at the inception of the contract and a records right-of-use (“ROU”) asset and lease liability on the balance sheet at lease commencement based on the present value of remaining lease payments over the lease term. The Company only considers payments that are fixed and determinable at the time of commencement.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3" w:name="page94"/>
    <w:bookmarkEnd w:id="93"/>
    <w:p>
      <w:pPr>
        <w:ind w:firstLine="318"/>
        <w:spacing w:after="0" w:line="264" w:lineRule="auto"/>
        <w:rPr>
          <w:sz w:val="20"/>
          <w:szCs w:val="20"/>
          <w:color w:val="auto"/>
        </w:rPr>
      </w:pPr>
      <w:r>
        <w:rPr>
          <w:rFonts w:ascii="Times New Roman" w:cs="Times New Roman" w:eastAsia="Times New Roman" w:hAnsi="Times New Roman"/>
          <w:sz w:val="14"/>
          <w:szCs w:val="14"/>
          <w:color w:val="auto"/>
        </w:rPr>
        <w:t>For leases with an initial term greater than 12 months, lease liabilities are recognized based on the present value of the future minimum lease payments discounted by the Company’s estimated incremental borrowing rate.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56"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The Company calculates the present value of future minimum lease payments using its estimated incremental borrowing rate when the discount rate implicit in the lease is not known. The incremental borrowing rate is the rate of interest that a lessee would have to pay to borrow on a collateralized basis over a similar term at an amount equal to the lease payments in a similar economic environment. In determining its incremental borrowing rate, the Company gives consideration to its credit risk, term of the lease, total lease payments and an analysis of peer companies with profiles similar to its own.</w:t>
      </w:r>
    </w:p>
    <w:p>
      <w:pPr>
        <w:spacing w:after="0" w:line="56"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4"/>
          <w:szCs w:val="14"/>
          <w:color w:val="auto"/>
        </w:rPr>
        <w:t>The Company has elected the short-term lease practical expedient to exclude leases with a term less than 12 months from its ROU assets and lease liabilities. The Company records rent expense for short-term leases in its statements of operations on a straight-line basis over the lease term and records variable lease payments as incurred. The Company has also elected to not separate lease and non-lease components and, as a result, accounts for any lease and non-lease components as a single lease component.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6"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years ended December 31, 2025 and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ind w:right="220" w:firstLine="318"/>
        <w:spacing w:after="0" w:line="258"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expenses consist primarily of personnel costs for the Company’s research and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facility related costs. The Company estimates preclinical and clinical studies and research expenses based on the services performed, pursuant to contracts with research institutions that conduct and manage preclinical and clinical studies and research services on its behalf. We estimate the amount of work completed through review of detailed budgets and timelines included in our contracts and agreements, and update these estimates with information obtained from third-party service providers and internal personnel on a quarterly basis.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and are expensed as services are rendered.</w:t>
      </w:r>
    </w:p>
    <w:p>
      <w:pPr>
        <w:spacing w:after="0" w:line="62"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4"/>
          <w:szCs w:val="14"/>
          <w:color w:val="auto"/>
        </w:rPr>
        <w:t>The Company’s stock-based equity awards include restricted stock awards, stock options, restricted stock units ("RSUs") and performance-based restricted stock units ("PSUs"), issued under the Company's 2020 Stock Option and Incentive Plan (the "2020 Plan"), 2022 Inducement Plan ("Inducement Plan") and shares issued under the Company’s 2020 Employee Stock Purchase Plan ("ESPP"). Stock-based compensation for awards that are granted to employees is accounted at fair value on the award grant date and the expense is recognized over the period the employee is required to provide service in exchange for the award, which is generally on a straight-line basis over the vesting period of the award. The expense is recorded in either research and development or general and administrative expenses in the statements of operations and comprehensive loss based on the function to which the related services are provided. Forfeitures are accounted for as they occur.</w:t>
      </w:r>
    </w:p>
    <w:p>
      <w:pPr>
        <w:spacing w:after="0" w:line="231" w:lineRule="exact"/>
        <w:rPr>
          <w:sz w:val="20"/>
          <w:szCs w:val="20"/>
          <w:color w:val="auto"/>
        </w:rPr>
      </w:pPr>
    </w:p>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The Company utilizes the Monte Carlo simulation model with significant inputs including volatility and closing price of stock on grant for estimating the fair value of equity awards with market-based vesting conditions and uses the closing price of common stock on the date of grant for PSUs and RSUs with a performance or service-based vesting condition.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4" w:name="page95"/>
    <w:bookmarkEnd w:id="94"/>
    <w:p>
      <w:pPr>
        <w:ind w:left="320"/>
        <w:spacing w:after="0"/>
        <w:rPr>
          <w:sz w:val="20"/>
          <w:szCs w:val="20"/>
          <w:color w:val="auto"/>
        </w:rPr>
      </w:pPr>
      <w:r>
        <w:rPr>
          <w:rFonts w:ascii="Times New Roman" w:cs="Times New Roman" w:eastAsia="Times New Roman" w:hAnsi="Times New Roman"/>
          <w:sz w:val="14"/>
          <w:szCs w:val="14"/>
          <w:color w:val="auto"/>
        </w:rPr>
        <w:t>The Black-Scholes option-pricing model, used to estimate fair value of stock options with service-based vesting conditions, requires the use of the following assumptions:</w:t>
      </w:r>
    </w:p>
    <w:p>
      <w:pPr>
        <w:spacing w:after="0" w:line="92" w:lineRule="exact"/>
        <w:rPr>
          <w:sz w:val="20"/>
          <w:szCs w:val="20"/>
          <w:color w:val="auto"/>
        </w:rPr>
      </w:pPr>
    </w:p>
    <w:p>
      <w:pPr>
        <w:ind w:left="980" w:right="80" w:hanging="453"/>
        <w:spacing w:after="0" w:line="271" w:lineRule="auto"/>
        <w:tabs>
          <w:tab w:leader="none" w:pos="97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—The expected term represents the period that the stock-based awards are expected to be outstanding. The expected term for the Company’s stock options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calculated utilizing the simplified method, which represents the average of the weighted-average vesting term and the contract period of the awards. The expected term for the ESPP is the offering period.</w:t>
      </w:r>
    </w:p>
    <w:p>
      <w:pPr>
        <w:spacing w:after="0" w:line="48" w:lineRule="exact"/>
        <w:rPr>
          <w:rFonts w:ascii="Times New Roman" w:cs="Times New Roman" w:eastAsia="Times New Roman" w:hAnsi="Times New Roman"/>
          <w:sz w:val="14"/>
          <w:szCs w:val="14"/>
          <w:color w:val="auto"/>
        </w:rPr>
      </w:pPr>
    </w:p>
    <w:p>
      <w:pPr>
        <w:ind w:left="980" w:right="80" w:hanging="453"/>
        <w:spacing w:after="0" w:line="265" w:lineRule="auto"/>
        <w:tabs>
          <w:tab w:leader="none" w:pos="97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—Prior to the Company being public, the Company did not have any trading history for its common stock, the expected volatility was estimated based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average historical volatilities of common stock of comparable publicly traded entities over a period equal to the expected term of the stock option grants. The comparable companies were chosen based on their size, stage in the life cycle or area of specialty. As the Company went public in June 2020, the Company will continue to apply this process for stock options and ESPP awards until enough historical information regarding the volatility of its stock price becomes available.</w:t>
      </w:r>
    </w:p>
    <w:p>
      <w:pPr>
        <w:spacing w:after="0" w:line="52" w:lineRule="exact"/>
        <w:rPr>
          <w:rFonts w:ascii="Times New Roman" w:cs="Times New Roman" w:eastAsia="Times New Roman" w:hAnsi="Times New Roman"/>
          <w:sz w:val="14"/>
          <w:szCs w:val="14"/>
          <w:color w:val="auto"/>
        </w:rPr>
      </w:pPr>
    </w:p>
    <w:p>
      <w:pPr>
        <w:ind w:left="980" w:right="60" w:hanging="453"/>
        <w:spacing w:after="0" w:line="290" w:lineRule="auto"/>
        <w:tabs>
          <w:tab w:leader="none" w:pos="97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Risk-free interest rate</w:t>
      </w:r>
      <w:r>
        <w:rPr>
          <w:rFonts w:ascii="Times New Roman" w:cs="Times New Roman" w:eastAsia="Times New Roman" w:hAnsi="Times New Roman"/>
          <w:sz w:val="14"/>
          <w:szCs w:val="14"/>
          <w:color w:val="auto"/>
        </w:rPr>
        <w:t>—The risk-free interest rate is based on the U.S. Treasury yield in effect at the time of grant for zero-coupon U.S. Treasury notes with maturities approximately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equal to the expected term of the awards.</w:t>
      </w:r>
    </w:p>
    <w:p>
      <w:pPr>
        <w:spacing w:after="0" w:line="35" w:lineRule="exact"/>
        <w:rPr>
          <w:rFonts w:ascii="Times New Roman" w:cs="Times New Roman" w:eastAsia="Times New Roman" w:hAnsi="Times New Roman"/>
          <w:sz w:val="14"/>
          <w:szCs w:val="14"/>
          <w:color w:val="auto"/>
        </w:rPr>
      </w:pPr>
    </w:p>
    <w:p>
      <w:pPr>
        <w:ind w:left="980" w:right="520" w:hanging="453"/>
        <w:spacing w:after="0" w:line="290" w:lineRule="auto"/>
        <w:tabs>
          <w:tab w:leader="none" w:pos="97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Expected dividend</w:t>
      </w:r>
      <w:r>
        <w:rPr>
          <w:rFonts w:ascii="Times New Roman" w:cs="Times New Roman" w:eastAsia="Times New Roman" w:hAnsi="Times New Roman"/>
          <w:sz w:val="14"/>
          <w:szCs w:val="14"/>
          <w:color w:val="auto"/>
        </w:rPr>
        <w:t>—The Company has never paid dividends on the common stock and has no plans to pay dividends on the common stock. Therefore, the Company used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dividend yield of zero.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pacing w:after="0" w:line="54"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4"/>
          <w:szCs w:val="14"/>
          <w:color w:val="auto"/>
        </w:rPr>
        <w:t>The Company accounts for uncertain tax positions in accordance with ASC 740</w:t>
      </w:r>
      <w:r>
        <w:rPr>
          <w:rFonts w:ascii="Times New Roman" w:cs="Times New Roman" w:eastAsia="Times New Roman" w:hAnsi="Times New Roman"/>
          <w:sz w:val="14"/>
          <w:szCs w:val="14"/>
          <w:i w:val="1"/>
          <w:iCs w:val="1"/>
          <w:color w:val="auto"/>
        </w:rPr>
        <w:t>, Income Taxes</w:t>
      </w:r>
      <w:r>
        <w:rPr>
          <w:rFonts w:ascii="Times New Roman" w:cs="Times New Roman" w:eastAsia="Times New Roman" w:hAnsi="Times New Roman"/>
          <w:sz w:val="14"/>
          <w:szCs w:val="14"/>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includes any penalties and interest expense related to income taxes as a component of income tax expense, as necessary.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96"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Comprehensive loss includes net loss as well as other changes in stockholders' equity that result from transactions and economic events other than those with stockholders. The Company's comprehensive gain (loss) represents unrealized losses and gains on short-term investments.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(expense)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Interest and other income (expense) includes interest income from our short-term investment portfolio.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6"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Basic net loss per share is computed by dividing net loss attributed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w:t>
      </w:r>
    </w:p>
    <w:p>
      <w:pPr>
        <w:spacing w:after="0" w:line="51" w:lineRule="exact"/>
        <w:rPr>
          <w:sz w:val="20"/>
          <w:szCs w:val="20"/>
          <w:color w:val="auto"/>
        </w:rPr>
      </w:pPr>
    </w:p>
    <w:p>
      <w:pPr>
        <w:ind w:right="340" w:firstLine="318"/>
        <w:spacing w:after="0" w:line="287" w:lineRule="auto"/>
        <w:rPr>
          <w:sz w:val="20"/>
          <w:szCs w:val="20"/>
          <w:color w:val="auto"/>
        </w:rPr>
      </w:pPr>
      <w:r>
        <w:rPr>
          <w:rFonts w:ascii="Times New Roman" w:cs="Times New Roman" w:eastAsia="Times New Roman" w:hAnsi="Times New Roman"/>
          <w:sz w:val="14"/>
          <w:szCs w:val="14"/>
          <w:color w:val="auto"/>
        </w:rPr>
        <w:t>Common stock equivalent shares are excluded from the computation of diluted net loss or income per share if their effect is antidilutive. In periods in which the Company reports a net loss attributable to common stockholders, diluted net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5" w:name="page96"/>
    <w:bookmarkEnd w:id="95"/>
    <w:p>
      <w:pPr>
        <w:ind w:right="100"/>
        <w:spacing w:after="0" w:line="287" w:lineRule="auto"/>
        <w:rPr>
          <w:sz w:val="20"/>
          <w:szCs w:val="20"/>
          <w:color w:val="auto"/>
        </w:rPr>
      </w:pPr>
      <w:r>
        <w:rPr>
          <w:rFonts w:ascii="Times New Roman" w:cs="Times New Roman" w:eastAsia="Times New Roman" w:hAnsi="Times New Roman"/>
          <w:sz w:val="14"/>
          <w:szCs w:val="14"/>
          <w:color w:val="auto"/>
        </w:rPr>
        <w:t>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during the years ended December 31, 2025 and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96"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ASU 2023-07 “Segment Reporting - Improvements to Reportable Segment Disclosures”, which updates reportable segment disclosure requirements, primarily through enhanced disclosures about significant segment expenses and information used to assess segment performance. The guidance is effective for the Company's annual periods beginning in 2024 and interim periods beginning in the first quarter of fiscal year 2025. The Company adopted the standard on December 31, 2024. The adoption of this standard did not have a material impact on the Company's financial statements. See Note 13, Segment, for the updated segment disclosures as a result of adopting this ASU.</w:t>
      </w:r>
    </w:p>
    <w:p>
      <w:pPr>
        <w:spacing w:after="0" w:line="5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ASU 2023-09 is effective for fiscal years beginning after December 15, 2024 on a prospective basis and retrospective application is permitted. The Company adopted this standard on December 31, 2025. The adoption of this standard did not have a material impact on the Company's financial statements. See Note 12, Income Taxes, for the updated income taxes disclosures as a result of adopting this ASU.</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Not Yet Adopted</w:t>
      </w:r>
    </w:p>
    <w:p>
      <w:pPr>
        <w:spacing w:after="0" w:line="96" w:lineRule="exact"/>
        <w:rPr>
          <w:sz w:val="20"/>
          <w:szCs w:val="20"/>
          <w:color w:val="auto"/>
        </w:rPr>
      </w:pPr>
    </w:p>
    <w:p>
      <w:pPr>
        <w:jc w:val="both"/>
        <w:ind w:right="340" w:firstLine="318"/>
        <w:spacing w:after="0" w:line="270" w:lineRule="auto"/>
        <w:rPr>
          <w:sz w:val="20"/>
          <w:szCs w:val="20"/>
          <w:color w:val="auto"/>
        </w:rPr>
      </w:pPr>
      <w:r>
        <w:rPr>
          <w:rFonts w:ascii="Times New Roman" w:cs="Times New Roman" w:eastAsia="Times New Roman" w:hAnsi="Times New Roman"/>
          <w:sz w:val="14"/>
          <w:szCs w:val="14"/>
          <w:color w:val="auto"/>
        </w:rPr>
        <w:t>In November 2024, the FASB issued ASU 2024-03 “Disaggregation of Income Statement Expenses,”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w:t>
      </w:r>
    </w:p>
    <w:p>
      <w:pPr>
        <w:spacing w:after="0" w:line="10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Financial Instruments</w:t>
      </w:r>
    </w:p>
    <w:p>
      <w:pPr>
        <w:spacing w:after="0" w:line="96"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4"/>
          <w:szCs w:val="14"/>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gain or loss recognized in other comprehensive gain (loss).</w:t>
      </w:r>
    </w:p>
    <w:p>
      <w:pPr>
        <w:spacing w:after="0" w:line="58"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Fair value is defined as the price that would be received upon the sale of an asset or paid to transfer a liability (an exit price) in an orderly transaction between market participants at the measurement date. Accounting guidance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56" w:lineRule="exact"/>
        <w:rPr>
          <w:sz w:val="20"/>
          <w:szCs w:val="20"/>
          <w:color w:val="auto"/>
        </w:rPr>
      </w:pPr>
    </w:p>
    <w:p>
      <w:pPr>
        <w:ind w:left="960" w:hanging="433"/>
        <w:spacing w:after="0"/>
        <w:tabs>
          <w:tab w:leader="none" w:pos="9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Level 1</w:t>
      </w:r>
      <w:r>
        <w:rPr>
          <w:rFonts w:ascii="Times New Roman" w:cs="Times New Roman" w:eastAsia="Times New Roman" w:hAnsi="Times New Roman"/>
          <w:sz w:val="14"/>
          <w:szCs w:val="14"/>
          <w:color w:val="auto"/>
        </w:rPr>
        <w:t>—Inputs are unadjusted, quoted prices in active markets for identical assets or liabilities at the measurement date;</w:t>
      </w:r>
    </w:p>
    <w:p>
      <w:pPr>
        <w:spacing w:after="0" w:line="93" w:lineRule="exact"/>
        <w:rPr>
          <w:rFonts w:ascii="Times New Roman" w:cs="Times New Roman" w:eastAsia="Times New Roman" w:hAnsi="Times New Roman"/>
          <w:sz w:val="14"/>
          <w:szCs w:val="14"/>
          <w:color w:val="auto"/>
        </w:rPr>
      </w:pPr>
    </w:p>
    <w:p>
      <w:pPr>
        <w:ind w:left="980" w:right="100" w:hanging="453"/>
        <w:spacing w:after="0" w:line="290" w:lineRule="auto"/>
        <w:tabs>
          <w:tab w:leader="none" w:pos="97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Level 2</w:t>
      </w:r>
      <w:r>
        <w:rPr>
          <w:rFonts w:ascii="Times New Roman" w:cs="Times New Roman" w:eastAsia="Times New Roman" w:hAnsi="Times New Roman"/>
          <w:sz w:val="14"/>
          <w:szCs w:val="14"/>
          <w:color w:val="auto"/>
        </w:rPr>
        <w:t>—Inputs are observable, unadjusted quoted prices in active markets for similar assets or liabilities, unadjusted quoted prices for identical or similar assets or liabilities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 that are not active, or other inputs that are observable or can be corroborated by observable market data for substantially the full term of the related assets or liabilities; and</w:t>
      </w:r>
    </w:p>
    <w:p>
      <w:pPr>
        <w:spacing w:after="0" w:line="35" w:lineRule="exact"/>
        <w:rPr>
          <w:rFonts w:ascii="Times New Roman" w:cs="Times New Roman" w:eastAsia="Times New Roman" w:hAnsi="Times New Roman"/>
          <w:sz w:val="14"/>
          <w:szCs w:val="14"/>
          <w:color w:val="auto"/>
        </w:rPr>
      </w:pPr>
    </w:p>
    <w:p>
      <w:pPr>
        <w:ind w:left="960" w:hanging="433"/>
        <w:spacing w:after="0"/>
        <w:tabs>
          <w:tab w:leader="none" w:pos="9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Level 3</w:t>
      </w:r>
      <w:r>
        <w:rPr>
          <w:rFonts w:ascii="Times New Roman" w:cs="Times New Roman" w:eastAsia="Times New Roman" w:hAnsi="Times New Roman"/>
          <w:sz w:val="14"/>
          <w:szCs w:val="14"/>
          <w:color w:val="auto"/>
        </w:rPr>
        <w:t>—Unobservable inputs that are significant to the measurement of the fair value of the assets or liabilities that are supported by little or no market data.</w:t>
      </w:r>
    </w:p>
    <w:p>
      <w:pPr>
        <w:spacing w:after="0" w:line="96"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The fair value of the Company’s cash equivalent Money Market Funds are classified as Level 1 because they are valued using quoted market prices. The fair value of the Company’s U.S. Treasury securities, U.S. government agency</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46" w:right="379" w:bottom="1440" w:gutter="0" w:footer="0" w:header="0"/>
        </w:sectPr>
      </w:pPr>
    </w:p>
    <w:bookmarkStart w:id="96" w:name="page97"/>
    <w:bookmarkEnd w:id="96"/>
    <w:p>
      <w:pPr>
        <w:ind w:right="20"/>
        <w:spacing w:after="0" w:line="264" w:lineRule="auto"/>
        <w:rPr>
          <w:sz w:val="20"/>
          <w:szCs w:val="20"/>
          <w:color w:val="auto"/>
        </w:rPr>
      </w:pPr>
      <w:r>
        <w:rPr>
          <w:rFonts w:ascii="Times New Roman" w:cs="Times New Roman" w:eastAsia="Times New Roman" w:hAnsi="Times New Roman"/>
          <w:sz w:val="14"/>
          <w:szCs w:val="14"/>
          <w:color w:val="auto"/>
        </w:rPr>
        <w:t>securities and corporate debt securities are classified as Level 2 because they are valued using observable inputs to quoted market prices, benchmark yields, reported trades, broker/dealer quotes or alternative pricing sources with reasonable levels of price transparency. These Level 2 instruments require more management judgment and subjectivity compared to Level 1 instruments which include determining which instruments are most similar to the instrument being priced, determining whether the market is active and determining which model-derived valuations are to be used when calculating fair value. The Company performs its analysis with the assistance of investment advisors.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assets or liabilities recorded at fair value using Level 3 inputs as of December 31, 2025 and 2024.</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the Company’s cash and cash equivalents and short-term investments by significant investment category as of December 31, 2025 and 2024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88"/>
        </w:trPr>
        <w:tc>
          <w:tcPr>
            <w:tcW w:w="2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tcPr>
          <w:p>
            <w:pPr>
              <w:jc w:val="center"/>
              <w:ind w:right="260"/>
              <w:spacing w:after="0" w:line="89" w:lineRule="exact"/>
              <w:rPr>
                <w:sz w:val="20"/>
                <w:szCs w:val="20"/>
                <w:color w:val="auto"/>
              </w:rPr>
            </w:pPr>
            <w:r>
              <w:rPr>
                <w:rFonts w:ascii="Times New Roman" w:cs="Times New Roman" w:eastAsia="Times New Roman" w:hAnsi="Times New Roman"/>
                <w:sz w:val="10"/>
                <w:szCs w:val="10"/>
                <w:b w:val="1"/>
                <w:bCs w:val="1"/>
                <w:color w:val="auto"/>
                <w:w w:val="97"/>
              </w:rPr>
              <w:t>Adjusted</w:t>
            </w:r>
          </w:p>
        </w:tc>
        <w:tc>
          <w:tcPr>
            <w:tcW w:w="120" w:type="dxa"/>
            <w:vAlign w:val="bottom"/>
          </w:tcPr>
          <w:p>
            <w:pPr>
              <w:spacing w:after="0"/>
              <w:rPr>
                <w:sz w:val="7"/>
                <w:szCs w:val="7"/>
                <w:color w:val="auto"/>
              </w:rPr>
            </w:pPr>
          </w:p>
        </w:tc>
        <w:tc>
          <w:tcPr>
            <w:tcW w:w="80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20" w:type="dxa"/>
            <w:vAlign w:val="bottom"/>
          </w:tcPr>
          <w:p>
            <w:pPr>
              <w:spacing w:after="0"/>
              <w:rPr>
                <w:sz w:val="7"/>
                <w:szCs w:val="7"/>
                <w:color w:val="auto"/>
              </w:rPr>
            </w:pPr>
          </w:p>
        </w:tc>
        <w:tc>
          <w:tcPr>
            <w:tcW w:w="80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80" w:type="dxa"/>
            <w:vAlign w:val="bottom"/>
          </w:tcPr>
          <w:p>
            <w:pPr>
              <w:spacing w:after="0"/>
              <w:rPr>
                <w:sz w:val="7"/>
                <w:szCs w:val="7"/>
                <w:color w:val="auto"/>
              </w:rPr>
            </w:pPr>
          </w:p>
        </w:tc>
        <w:tc>
          <w:tcPr>
            <w:tcW w:w="800" w:type="dxa"/>
            <w:vAlign w:val="bottom"/>
            <w:gridSpan w:val="2"/>
          </w:tcPr>
          <w:p>
            <w:pPr>
              <w:jc w:val="center"/>
              <w:ind w:right="320"/>
              <w:spacing w:after="0" w:line="89" w:lineRule="exact"/>
              <w:rPr>
                <w:sz w:val="20"/>
                <w:szCs w:val="20"/>
                <w:color w:val="auto"/>
              </w:rPr>
            </w:pPr>
            <w:r>
              <w:rPr>
                <w:rFonts w:ascii="Times New Roman" w:cs="Times New Roman" w:eastAsia="Times New Roman" w:hAnsi="Times New Roman"/>
                <w:sz w:val="10"/>
                <w:szCs w:val="10"/>
                <w:b w:val="1"/>
                <w:bCs w:val="1"/>
                <w:color w:val="auto"/>
                <w:w w:val="99"/>
              </w:rPr>
              <w:t>Market</w:t>
            </w:r>
          </w:p>
        </w:tc>
        <w:tc>
          <w:tcPr>
            <w:tcW w:w="160" w:type="dxa"/>
            <w:vAlign w:val="bottom"/>
          </w:tcPr>
          <w:p>
            <w:pPr>
              <w:spacing w:after="0"/>
              <w:rPr>
                <w:sz w:val="7"/>
                <w:szCs w:val="7"/>
                <w:color w:val="auto"/>
              </w:rPr>
            </w:pPr>
          </w:p>
        </w:tc>
        <w:tc>
          <w:tcPr>
            <w:tcW w:w="780" w:type="dxa"/>
            <w:vAlign w:val="bottom"/>
            <w:gridSpan w:val="2"/>
          </w:tcPr>
          <w:p>
            <w:pPr>
              <w:jc w:val="center"/>
              <w:ind w:right="240"/>
              <w:spacing w:after="0" w:line="89" w:lineRule="exact"/>
              <w:rPr>
                <w:sz w:val="20"/>
                <w:szCs w:val="20"/>
                <w:color w:val="auto"/>
              </w:rPr>
            </w:pPr>
            <w:r>
              <w:rPr>
                <w:rFonts w:ascii="Times New Roman" w:cs="Times New Roman" w:eastAsia="Times New Roman" w:hAnsi="Times New Roman"/>
                <w:sz w:val="10"/>
                <w:szCs w:val="10"/>
                <w:b w:val="1"/>
                <w:bCs w:val="1"/>
                <w:color w:val="auto"/>
                <w:w w:val="97"/>
              </w:rPr>
              <w:t>Adjusted</w:t>
            </w:r>
          </w:p>
        </w:tc>
        <w:tc>
          <w:tcPr>
            <w:tcW w:w="120" w:type="dxa"/>
            <w:vAlign w:val="bottom"/>
          </w:tcPr>
          <w:p>
            <w:pPr>
              <w:spacing w:after="0"/>
              <w:rPr>
                <w:sz w:val="7"/>
                <w:szCs w:val="7"/>
                <w:color w:val="auto"/>
              </w:rPr>
            </w:pPr>
          </w:p>
        </w:tc>
        <w:tc>
          <w:tcPr>
            <w:tcW w:w="80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20" w:type="dxa"/>
            <w:vAlign w:val="bottom"/>
          </w:tcPr>
          <w:p>
            <w:pPr>
              <w:spacing w:after="0"/>
              <w:rPr>
                <w:sz w:val="7"/>
                <w:szCs w:val="7"/>
                <w:color w:val="auto"/>
              </w:rPr>
            </w:pPr>
          </w:p>
        </w:tc>
        <w:tc>
          <w:tcPr>
            <w:tcW w:w="780" w:type="dxa"/>
            <w:vAlign w:val="bottom"/>
            <w:gridSpan w:val="2"/>
          </w:tcPr>
          <w:p>
            <w:pPr>
              <w:jc w:val="center"/>
              <w:ind w:right="200"/>
              <w:spacing w:after="0" w:line="89"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80" w:type="dxa"/>
            <w:vAlign w:val="bottom"/>
          </w:tcPr>
          <w:p>
            <w:pPr>
              <w:spacing w:after="0"/>
              <w:rPr>
                <w:sz w:val="7"/>
                <w:szCs w:val="7"/>
                <w:color w:val="auto"/>
              </w:rPr>
            </w:pPr>
          </w:p>
        </w:tc>
        <w:tc>
          <w:tcPr>
            <w:tcW w:w="680" w:type="dxa"/>
            <w:vAlign w:val="bottom"/>
          </w:tcPr>
          <w:p>
            <w:pPr>
              <w:jc w:val="right"/>
              <w:ind w:right="200"/>
              <w:spacing w:after="0" w:line="89" w:lineRule="exact"/>
              <w:rPr>
                <w:sz w:val="20"/>
                <w:szCs w:val="20"/>
                <w:color w:val="auto"/>
              </w:rPr>
            </w:pPr>
            <w:r>
              <w:rPr>
                <w:rFonts w:ascii="Times New Roman" w:cs="Times New Roman" w:eastAsia="Times New Roman" w:hAnsi="Times New Roman"/>
                <w:sz w:val="10"/>
                <w:szCs w:val="10"/>
                <w:b w:val="1"/>
                <w:bCs w:val="1"/>
                <w:color w:val="auto"/>
              </w:rPr>
              <w:t>Market</w:t>
            </w:r>
          </w:p>
        </w:tc>
      </w:tr>
      <w:tr>
        <w:trPr>
          <w:trHeight w:val="139"/>
        </w:trPr>
        <w:tc>
          <w:tcPr>
            <w:tcW w:w="2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180" w:type="dxa"/>
            <w:vAlign w:val="bottom"/>
          </w:tcPr>
          <w:p>
            <w:pPr>
              <w:spacing w:after="0"/>
              <w:rPr>
                <w:sz w:val="12"/>
                <w:szCs w:val="12"/>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6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80" w:type="dxa"/>
            <w:vAlign w:val="bottom"/>
          </w:tcPr>
          <w:p>
            <w:pPr>
              <w:spacing w:after="0"/>
              <w:rPr>
                <w:sz w:val="12"/>
                <w:szCs w:val="12"/>
                <w:color w:val="auto"/>
              </w:rPr>
            </w:pPr>
          </w:p>
        </w:tc>
        <w:tc>
          <w:tcPr>
            <w:tcW w:w="680" w:type="dxa"/>
            <w:vAlign w:val="bottom"/>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Value</w:t>
            </w:r>
          </w:p>
        </w:tc>
      </w:tr>
      <w:tr>
        <w:trPr>
          <w:trHeight w:val="170"/>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Market Funds</w:t>
            </w:r>
          </w:p>
        </w:tc>
        <w:tc>
          <w:tcPr>
            <w:tcW w:w="124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Level 1</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24,811</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54,825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center"/>
              <w:ind w:left="4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54,825</w:t>
            </w:r>
          </w:p>
        </w:tc>
      </w:tr>
      <w:tr>
        <w:trPr>
          <w:trHeight w:val="189"/>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U.S. Treasury securities</w:t>
            </w:r>
          </w:p>
        </w:tc>
        <w:tc>
          <w:tcPr>
            <w:tcW w:w="12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Level 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9,975</w:t>
            </w:r>
          </w:p>
        </w:tc>
      </w:tr>
      <w:tr>
        <w:trPr>
          <w:trHeight w:val="19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Government Agency Securities</w:t>
            </w:r>
          </w:p>
        </w:tc>
        <w:tc>
          <w:tcPr>
            <w:tcW w:w="1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Level 2</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78,004</w:t>
            </w:r>
          </w:p>
        </w:tc>
      </w:tr>
      <w:tr>
        <w:trPr>
          <w:trHeight w:val="189"/>
        </w:trPr>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2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3"/>
                <w:szCs w:val="13"/>
                <w:color w:val="auto"/>
              </w:rPr>
              <w:t>Level 2</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139,941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196,479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196,557</w:t>
            </w:r>
          </w:p>
        </w:tc>
      </w:tr>
      <w:tr>
        <w:trPr>
          <w:trHeight w:val="188"/>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financial assets</w:t>
            </w:r>
          </w:p>
        </w:tc>
        <w:tc>
          <w:tcPr>
            <w:tcW w:w="1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173,802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center"/>
              <w:ind w:left="380"/>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339,361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Classified as:</w:t>
            </w:r>
          </w:p>
        </w:tc>
        <w:tc>
          <w:tcPr>
            <w:tcW w:w="160" w:type="dxa"/>
            <w:vAlign w:val="bottom"/>
          </w:tcPr>
          <w:p>
            <w:pPr>
              <w:spacing w:after="0"/>
              <w:rPr>
                <w:sz w:val="7"/>
                <w:szCs w:val="7"/>
                <w:color w:val="auto"/>
              </w:rPr>
            </w:pPr>
          </w:p>
        </w:tc>
        <w:tc>
          <w:tcPr>
            <w:tcW w:w="800" w:type="dxa"/>
            <w:vAlign w:val="bottom"/>
            <w:gridSpan w:val="2"/>
          </w:tcPr>
          <w:p>
            <w:pPr>
              <w:jc w:val="center"/>
              <w:ind w:right="240"/>
              <w:spacing w:after="0" w:line="89" w:lineRule="exact"/>
              <w:rPr>
                <w:sz w:val="20"/>
                <w:szCs w:val="20"/>
                <w:color w:val="auto"/>
              </w:rPr>
            </w:pPr>
            <w:r>
              <w:rPr>
                <w:rFonts w:ascii="Times New Roman" w:cs="Times New Roman" w:eastAsia="Times New Roman" w:hAnsi="Times New Roman"/>
                <w:sz w:val="10"/>
                <w:szCs w:val="10"/>
                <w:b w:val="1"/>
                <w:bCs w:val="1"/>
                <w:color w:val="auto"/>
              </w:rPr>
              <w:t>Adjusted</w:t>
            </w:r>
          </w:p>
        </w:tc>
        <w:tc>
          <w:tcPr>
            <w:tcW w:w="140" w:type="dxa"/>
            <w:vAlign w:val="bottom"/>
          </w:tcPr>
          <w:p>
            <w:pPr>
              <w:spacing w:after="0"/>
              <w:rPr>
                <w:sz w:val="7"/>
                <w:szCs w:val="7"/>
                <w:color w:val="auto"/>
              </w:rPr>
            </w:pPr>
          </w:p>
        </w:tc>
        <w:tc>
          <w:tcPr>
            <w:tcW w:w="780" w:type="dxa"/>
            <w:vAlign w:val="bottom"/>
            <w:gridSpan w:val="2"/>
          </w:tcPr>
          <w:p>
            <w:pPr>
              <w:jc w:val="center"/>
              <w:ind w:right="240"/>
              <w:spacing w:after="0" w:line="89"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40" w:type="dxa"/>
            <w:vAlign w:val="bottom"/>
          </w:tcPr>
          <w:p>
            <w:pPr>
              <w:spacing w:after="0"/>
              <w:rPr>
                <w:sz w:val="7"/>
                <w:szCs w:val="7"/>
                <w:color w:val="auto"/>
              </w:rPr>
            </w:pPr>
          </w:p>
        </w:tc>
        <w:tc>
          <w:tcPr>
            <w:tcW w:w="80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60" w:type="dxa"/>
            <w:vAlign w:val="bottom"/>
          </w:tcPr>
          <w:p>
            <w:pPr>
              <w:spacing w:after="0"/>
              <w:rPr>
                <w:sz w:val="7"/>
                <w:szCs w:val="7"/>
                <w:color w:val="auto"/>
              </w:rPr>
            </w:pPr>
          </w:p>
        </w:tc>
        <w:tc>
          <w:tcPr>
            <w:tcW w:w="680" w:type="dxa"/>
            <w:vAlign w:val="bottom"/>
          </w:tcPr>
          <w:p>
            <w:pPr>
              <w:jc w:val="center"/>
              <w:ind w:right="102"/>
              <w:spacing w:after="0" w:line="89" w:lineRule="exact"/>
              <w:rPr>
                <w:sz w:val="20"/>
                <w:szCs w:val="20"/>
                <w:color w:val="auto"/>
              </w:rPr>
            </w:pPr>
            <w:r>
              <w:rPr>
                <w:rFonts w:ascii="Times New Roman" w:cs="Times New Roman" w:eastAsia="Times New Roman" w:hAnsi="Times New Roman"/>
                <w:sz w:val="10"/>
                <w:szCs w:val="10"/>
                <w:b w:val="1"/>
                <w:bCs w:val="1"/>
                <w:color w:val="auto"/>
                <w:w w:val="99"/>
              </w:rPr>
              <w:t>Market</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2"/>
          </w:tcPr>
          <w:p>
            <w:pPr>
              <w:jc w:val="center"/>
              <w:ind w:right="240"/>
              <w:spacing w:after="0" w:line="89" w:lineRule="exact"/>
              <w:rPr>
                <w:sz w:val="20"/>
                <w:szCs w:val="20"/>
                <w:color w:val="auto"/>
              </w:rPr>
            </w:pPr>
            <w:r>
              <w:rPr>
                <w:rFonts w:ascii="Times New Roman" w:cs="Times New Roman" w:eastAsia="Times New Roman" w:hAnsi="Times New Roman"/>
                <w:sz w:val="10"/>
                <w:szCs w:val="10"/>
                <w:b w:val="1"/>
                <w:bCs w:val="1"/>
                <w:color w:val="auto"/>
                <w:w w:val="97"/>
              </w:rPr>
              <w:t>Adjusted</w:t>
            </w:r>
          </w:p>
        </w:tc>
        <w:tc>
          <w:tcPr>
            <w:tcW w:w="140" w:type="dxa"/>
            <w:vAlign w:val="bottom"/>
          </w:tcPr>
          <w:p>
            <w:pPr>
              <w:spacing w:after="0"/>
              <w:rPr>
                <w:sz w:val="7"/>
                <w:szCs w:val="7"/>
                <w:color w:val="auto"/>
              </w:rPr>
            </w:pPr>
          </w:p>
        </w:tc>
        <w:tc>
          <w:tcPr>
            <w:tcW w:w="760" w:type="dxa"/>
            <w:vAlign w:val="bottom"/>
            <w:gridSpan w:val="2"/>
          </w:tcPr>
          <w:p>
            <w:pPr>
              <w:ind w:left="40"/>
              <w:spacing w:after="0" w:line="89"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40" w:type="dxa"/>
            <w:vAlign w:val="bottom"/>
          </w:tcPr>
          <w:p>
            <w:pPr>
              <w:spacing w:after="0"/>
              <w:rPr>
                <w:sz w:val="7"/>
                <w:szCs w:val="7"/>
                <w:color w:val="auto"/>
              </w:rPr>
            </w:pPr>
          </w:p>
        </w:tc>
        <w:tc>
          <w:tcPr>
            <w:tcW w:w="760" w:type="dxa"/>
            <w:vAlign w:val="bottom"/>
            <w:gridSpan w:val="2"/>
          </w:tcPr>
          <w:p>
            <w:pPr>
              <w:jc w:val="center"/>
              <w:ind w:right="220"/>
              <w:spacing w:after="0" w:line="89"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80" w:type="dxa"/>
            <w:vAlign w:val="bottom"/>
          </w:tcPr>
          <w:p>
            <w:pPr>
              <w:spacing w:after="0"/>
              <w:rPr>
                <w:sz w:val="7"/>
                <w:szCs w:val="7"/>
                <w:color w:val="auto"/>
              </w:rPr>
            </w:pPr>
          </w:p>
        </w:tc>
        <w:tc>
          <w:tcPr>
            <w:tcW w:w="680" w:type="dxa"/>
            <w:vAlign w:val="bottom"/>
          </w:tcPr>
          <w:p>
            <w:pPr>
              <w:jc w:val="right"/>
              <w:ind w:right="202"/>
              <w:spacing w:after="0" w:line="89" w:lineRule="exact"/>
              <w:rPr>
                <w:sz w:val="20"/>
                <w:szCs w:val="20"/>
                <w:color w:val="auto"/>
              </w:rPr>
            </w:pPr>
            <w:r>
              <w:rPr>
                <w:rFonts w:ascii="Times New Roman" w:cs="Times New Roman" w:eastAsia="Times New Roman" w:hAnsi="Times New Roman"/>
                <w:sz w:val="10"/>
                <w:szCs w:val="10"/>
                <w:b w:val="1"/>
                <w:bCs w:val="1"/>
                <w:color w:val="auto"/>
              </w:rPr>
              <w:t>Market</w:t>
            </w:r>
          </w:p>
        </w:tc>
        <w:tc>
          <w:tcPr>
            <w:tcW w:w="0" w:type="dxa"/>
            <w:vAlign w:val="bottom"/>
          </w:tcPr>
          <w:p>
            <w:pPr>
              <w:spacing w:after="0"/>
              <w:rPr>
                <w:sz w:val="1"/>
                <w:szCs w:val="1"/>
                <w:color w:val="auto"/>
              </w:rPr>
            </w:pPr>
          </w:p>
        </w:tc>
      </w:tr>
      <w:tr>
        <w:trPr>
          <w:trHeight w:val="146"/>
        </w:trPr>
        <w:tc>
          <w:tcPr>
            <w:tcW w:w="3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6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40" w:type="dxa"/>
            <w:vAlign w:val="bottom"/>
          </w:tcPr>
          <w:p>
            <w:pPr>
              <w:spacing w:after="0"/>
              <w:rPr>
                <w:sz w:val="12"/>
                <w:szCs w:val="12"/>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14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80" w:type="dxa"/>
            <w:vAlign w:val="bottom"/>
          </w:tcPr>
          <w:p>
            <w:pPr>
              <w:spacing w:after="0"/>
              <w:rPr>
                <w:sz w:val="12"/>
                <w:szCs w:val="12"/>
                <w:color w:val="auto"/>
              </w:rPr>
            </w:pPr>
          </w:p>
        </w:tc>
        <w:tc>
          <w:tcPr>
            <w:tcW w:w="68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63"/>
        </w:trPr>
        <w:tc>
          <w:tcPr>
            <w:tcW w:w="3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equivalents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center"/>
              <w:ind w:left="402"/>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28,303</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54,825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center"/>
              <w:ind w:left="40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54,825</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Short-term investments</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145,514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left="382"/>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145,499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284,216</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382"/>
              <w:spacing w:after="0"/>
              <w:rPr>
                <w:sz w:val="20"/>
                <w:szCs w:val="20"/>
                <w:color w:val="auto"/>
              </w:rPr>
            </w:pPr>
            <w:r>
              <w:rPr>
                <w:rFonts w:ascii="Times New Roman" w:cs="Times New Roman" w:eastAsia="Times New Roman" w:hAnsi="Times New Roman"/>
                <w:sz w:val="13"/>
                <w:szCs w:val="13"/>
                <w:color w:val="auto"/>
                <w:w w:val="92"/>
              </w:rPr>
              <w:t>(82)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284,536</w:t>
            </w:r>
          </w:p>
        </w:tc>
        <w:tc>
          <w:tcPr>
            <w:tcW w:w="0" w:type="dxa"/>
            <w:vAlign w:val="bottom"/>
          </w:tcPr>
          <w:p>
            <w:pPr>
              <w:spacing w:after="0"/>
              <w:rPr>
                <w:sz w:val="1"/>
                <w:szCs w:val="1"/>
                <w:color w:val="auto"/>
              </w:rPr>
            </w:pPr>
          </w:p>
        </w:tc>
      </w:tr>
      <w:tr>
        <w:trPr>
          <w:trHeight w:val="188"/>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center"/>
              <w:ind w:left="382"/>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173,802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339,041</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center"/>
              <w:ind w:left="382"/>
              <w:spacing w:after="0"/>
              <w:rPr>
                <w:sz w:val="20"/>
                <w:szCs w:val="20"/>
                <w:color w:val="auto"/>
              </w:rPr>
            </w:pPr>
            <w:r>
              <w:rPr>
                <w:rFonts w:ascii="Times New Roman" w:cs="Times New Roman" w:eastAsia="Times New Roman" w:hAnsi="Times New Roman"/>
                <w:sz w:val="13"/>
                <w:szCs w:val="13"/>
                <w:color w:val="auto"/>
                <w:w w:val="92"/>
              </w:rPr>
              <w:t>(82)</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339,361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may sell certain of its short-term securities prior to their stated maturities for reasons including, but not limited to, managing liquidity, credit risk, duration and asset allocation.</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summarizes the remaining contractual maturities of the Company’s short-term investments as of December 31, 2025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Adjusted Cost</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Market Value</w:t>
            </w:r>
          </w:p>
        </w:tc>
      </w:tr>
      <w:tr>
        <w:trPr>
          <w:trHeight w:val="18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Mature in 1 year or less</w:t>
            </w:r>
          </w:p>
        </w:tc>
        <w:tc>
          <w:tcPr>
            <w:tcW w:w="158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115,920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115,926</w:t>
            </w:r>
          </w:p>
        </w:tc>
      </w:tr>
      <w:tr>
        <w:trPr>
          <w:trHeight w:val="18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Mature in 1 to 2 years</w:t>
            </w:r>
          </w:p>
        </w:tc>
        <w:tc>
          <w:tcPr>
            <w:tcW w:w="1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29,594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29,573</w:t>
            </w:r>
          </w:p>
        </w:tc>
      </w:tr>
      <w:tr>
        <w:trPr>
          <w:trHeight w:val="201"/>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580" w:type="dxa"/>
            <w:vAlign w:val="bottom"/>
            <w:tcBorders>
              <w:bottom w:val="single" w:sz="8" w:color="auto"/>
            </w:tcBorders>
            <w:shd w:val="clear" w:color="auto" w:fill="CCEEFF"/>
          </w:tcPr>
          <w:p>
            <w:pPr>
              <w:jc w:val="right"/>
              <w:ind w:right="14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145,514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145,499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There were no liabilities measured at fair value on a recurring basis as of December 31, 2025 and 2024. There have been no transfers between fair value measurement levels during the years ended December 31, 2025 and 2024. In addition, there were no assets or liabilities measured at fair value on a non-recurring basis as of December 31, 2025 and 2024.</w:t>
      </w:r>
    </w:p>
    <w:p>
      <w:pPr>
        <w:spacing w:after="0" w:line="39"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interest income and accretion income earned on Money Market Funds and U.S. Treasury, U.S. government agency and corporate debt securities to interest and other income (expense), net in its statement of operations and comprehensive loss.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7" w:name="page98"/>
    <w:bookmarkEnd w:id="97"/>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Property and Equipment, net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60" w:type="dxa"/>
            <w:vAlign w:val="bottom"/>
            <w:tcBorders>
              <w:bottom w:val="single" w:sz="8" w:color="auto"/>
            </w:tcBorders>
          </w:tcPr>
          <w:p>
            <w:pPr>
              <w:spacing w:after="0"/>
              <w:rPr>
                <w:sz w:val="15"/>
                <w:szCs w:val="15"/>
                <w:color w:val="auto"/>
              </w:rPr>
            </w:pPr>
          </w:p>
        </w:tc>
      </w:tr>
      <w:tr>
        <w:trPr>
          <w:trHeight w:val="182"/>
        </w:trPr>
        <w:tc>
          <w:tcPr>
            <w:tcW w:w="78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10,988</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Construction-in-progress</w:t>
            </w:r>
          </w:p>
        </w:tc>
        <w:tc>
          <w:tcPr>
            <w:tcW w:w="10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71"/>
        </w:trPr>
        <w:tc>
          <w:tcPr>
            <w:tcW w:w="7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 gross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16,332</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(10,807)</w:t>
            </w:r>
          </w:p>
        </w:tc>
      </w:tr>
      <w:tr>
        <w:trPr>
          <w:trHeight w:val="171"/>
        </w:trPr>
        <w:tc>
          <w:tcPr>
            <w:tcW w:w="7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06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5,525</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Depreciation expense during the years ended December 31, 2025 and 2024 was $1.7 million and $2.1 million, respectively.</w:t>
      </w:r>
    </w:p>
    <w:p>
      <w:pPr>
        <w:spacing w:after="0" w:line="94"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4"/>
          <w:szCs w:val="14"/>
          <w:color w:val="auto"/>
        </w:rPr>
        <w:t>In the fourth quarter of 2025, the Company committed to a plan to sell certain laboratory equipment that was no longer required following the restructuring of operations initiated May 1, 2025. Management determined that the asset met the criteria for classification as held for sale in accordance with ASC 360, "Property, Plant and Equipment."</w:t>
      </w:r>
    </w:p>
    <w:p>
      <w:pPr>
        <w:spacing w:after="0" w:line="40"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The Company intends to divest these assets as part of their strategic realignment of resources, focusing on the development of PLN-101095 and the drug discovery platform. The assets were measured at the lower of their carrying value or fair value less cost to sell, and reclassified to "Property and equipment held for sale" within current assets on the Balance Sheets as of December 31, 2025. Depreciation ceased to be recognized on the assets after the date of its held-for-sale classification.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3640" w:type="dxa"/>
            <w:vAlign w:val="bottom"/>
            <w:gridSpan w:val="2"/>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 held for sale</w:t>
            </w:r>
          </w:p>
        </w:tc>
        <w:tc>
          <w:tcPr>
            <w:tcW w:w="25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loss recognized</w:t>
            </w:r>
          </w:p>
        </w:tc>
        <w:tc>
          <w:tcPr>
            <w:tcW w:w="2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held for sale, net</w:t>
            </w:r>
          </w:p>
        </w:tc>
        <w:tc>
          <w:tcPr>
            <w:tcW w:w="25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Prepaid Expenses and Other Current Assets</w:t>
            </w:r>
          </w:p>
        </w:tc>
        <w:tc>
          <w:tcPr>
            <w:tcW w:w="2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32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tc>
        <w:tc>
          <w:tcPr>
            <w:tcW w:w="2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32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research and development</w:t>
            </w:r>
          </w:p>
        </w:tc>
        <w:tc>
          <w:tcPr>
            <w:tcW w:w="364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insurance</w:t>
            </w: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licenses</w:t>
            </w:r>
          </w:p>
        </w:tc>
        <w:tc>
          <w:tcPr>
            <w:tcW w:w="2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5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5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2520" w:type="dxa"/>
            <w:vAlign w:val="bottom"/>
          </w:tcPr>
          <w:p>
            <w:pPr>
              <w:spacing w:after="0"/>
              <w:rPr>
                <w:sz w:val="14"/>
                <w:szCs w:val="14"/>
                <w:color w:val="auto"/>
              </w:rPr>
            </w:pPr>
          </w:p>
        </w:tc>
        <w:tc>
          <w:tcPr>
            <w:tcW w:w="112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4,464</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6,540</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Accrued Liabilities</w:t>
            </w:r>
          </w:p>
        </w:tc>
        <w:tc>
          <w:tcPr>
            <w:tcW w:w="2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532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liabilities consisted of the following (in thousands):</w:t>
            </w:r>
          </w:p>
        </w:tc>
        <w:tc>
          <w:tcPr>
            <w:tcW w:w="2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32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64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0" w:type="dxa"/>
            <w:vAlign w:val="bottom"/>
          </w:tcPr>
          <w:p>
            <w:pPr>
              <w:spacing w:after="0"/>
              <w:rPr>
                <w:sz w:val="1"/>
                <w:szCs w:val="1"/>
                <w:color w:val="auto"/>
              </w:rPr>
            </w:pPr>
          </w:p>
        </w:tc>
      </w:tr>
      <w:tr>
        <w:trPr>
          <w:trHeight w:val="212"/>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5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2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2051"/>
              <w:spacing w:after="0"/>
              <w:rPr>
                <w:sz w:val="20"/>
                <w:szCs w:val="20"/>
                <w:color w:val="auto"/>
              </w:rPr>
            </w:pPr>
            <w:r>
              <w:rPr>
                <w:rFonts w:ascii="Times New Roman" w:cs="Times New Roman" w:eastAsia="Times New Roman" w:hAnsi="Times New Roman"/>
                <w:sz w:val="14"/>
                <w:szCs w:val="14"/>
                <w:color w:val="auto"/>
              </w:rPr>
              <w:t>96</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32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4"/>
          <w:szCs w:val="14"/>
          <w:color w:val="auto"/>
        </w:rPr>
        <w:t>Accrued compensation and benefits consist primarily of accrued bonuses, accrued restructuring cost and accrued vacation.</w:t>
      </w:r>
    </w:p>
    <w:p>
      <w:pPr>
        <w:spacing w:after="0" w:line="14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Debt</w:t>
      </w:r>
    </w:p>
    <w:p>
      <w:pPr>
        <w:spacing w:after="0" w:line="85"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4"/>
          <w:szCs w:val="14"/>
          <w:color w:val="auto"/>
        </w:rPr>
        <w:t>In May 2022, as amended in October 2022, we entered into a term loan facility (the “Oxford Loan Agreement”) with Oxford Finance LLC (the "Lender") for up to $100.0 million. In connection with the Oxford Loan Agreement, we granted a security interest in substantially all of our current and future assets. At closing, we entered into a term loan for $10.0 million and we decided not to draw upon the additional $65.0 million that became available to us over the course of 2023 as certain conditions related to the development of bexotegrast and one of our preclinical product candidates were satisfied. As of December 31, 2023, the time period to draw upon the additional $65.0 million had lapsed.</w:t>
      </w:r>
    </w:p>
    <w:p>
      <w:pPr>
        <w:spacing w:after="0" w:line="67" w:lineRule="exact"/>
        <w:rPr>
          <w:sz w:val="20"/>
          <w:szCs w:val="20"/>
          <w:color w:val="auto"/>
        </w:rPr>
      </w:pPr>
    </w:p>
    <w:p>
      <w:pPr>
        <w:ind w:right="420" w:firstLine="318"/>
        <w:spacing w:after="0" w:line="287" w:lineRule="auto"/>
        <w:rPr>
          <w:sz w:val="20"/>
          <w:szCs w:val="20"/>
          <w:color w:val="auto"/>
        </w:rPr>
      </w:pPr>
      <w:r>
        <w:rPr>
          <w:rFonts w:ascii="Times New Roman" w:cs="Times New Roman" w:eastAsia="Times New Roman" w:hAnsi="Times New Roman"/>
          <w:sz w:val="14"/>
          <w:szCs w:val="14"/>
          <w:color w:val="auto"/>
        </w:rPr>
        <w:t>On March 11, 2024, we entered into an Amended and Restated Loan and Security Agreement (the “Amended Loan Agreement”) with the Lender to borrow a series of term loans up to an aggregate principal amount of $150.0 million (the “Term Loans”), of which $50.0 million is subject to the Lender’s sole discretion.</w:t>
      </w:r>
    </w:p>
    <w:p>
      <w:pPr>
        <w:spacing w:after="0" w:line="39" w:lineRule="exact"/>
        <w:rPr>
          <w:sz w:val="20"/>
          <w:szCs w:val="20"/>
          <w:color w:val="auto"/>
        </w:rPr>
      </w:pPr>
    </w:p>
    <w:p>
      <w:pPr>
        <w:ind w:right="240" w:firstLine="318"/>
        <w:spacing w:after="0" w:line="264" w:lineRule="auto"/>
        <w:rPr>
          <w:sz w:val="20"/>
          <w:szCs w:val="20"/>
          <w:color w:val="auto"/>
        </w:rPr>
      </w:pPr>
      <w:r>
        <w:rPr>
          <w:rFonts w:ascii="Times New Roman" w:cs="Times New Roman" w:eastAsia="Times New Roman" w:hAnsi="Times New Roman"/>
          <w:sz w:val="14"/>
          <w:szCs w:val="14"/>
          <w:color w:val="auto"/>
        </w:rPr>
        <w:t>Pursuant to the Amended Loan Agreement, we drew an initial Term Loan of $30.0 million, inclusive of $10.0 million in principal amount previously outstanding under the Oxford Loan Agreement. Under the agreement, additional borrowing of up to an additional $70.0 million of Term Loans would be available at our option, $35.0 million being available commencing October 1, 2025 contingent upon the continued operation of the BEACON-IPF study and a further $35.0 million being available upon demonstrating that BEACON-IPF had achieved positive Phase 2b data sufficient to support continued development, in the sole discretion of Oxford.</w:t>
      </w:r>
    </w:p>
    <w:p>
      <w:pPr>
        <w:spacing w:after="0" w:line="56" w:lineRule="exact"/>
        <w:rPr>
          <w:sz w:val="20"/>
          <w:szCs w:val="20"/>
          <w:color w:val="auto"/>
        </w:rPr>
      </w:pPr>
    </w:p>
    <w:p>
      <w:pPr>
        <w:jc w:val="both"/>
        <w:ind w:right="160" w:firstLine="318"/>
        <w:spacing w:after="0" w:line="270" w:lineRule="auto"/>
        <w:rPr>
          <w:sz w:val="20"/>
          <w:szCs w:val="20"/>
          <w:color w:val="auto"/>
        </w:rPr>
      </w:pPr>
      <w:r>
        <w:rPr>
          <w:rFonts w:ascii="Times New Roman" w:cs="Times New Roman" w:eastAsia="Times New Roman" w:hAnsi="Times New Roman"/>
          <w:sz w:val="14"/>
          <w:szCs w:val="14"/>
          <w:color w:val="auto"/>
        </w:rPr>
        <w:t>The principal amount outstanding under the Term Loans accrued interest at a floating per annum rate equal to (i) the greater of (a) 1-month term Chicago Mercantile Exchange (“CME”) Term Secured Overnight Financing Rate (“SOFR”) on the last business day of the month that immediately precedes the month in which the interest will accrue and (b) three and one-half percent (3.50%) plus (ii) five and one-quarter percent (5.25%).</w:t>
      </w:r>
    </w:p>
    <w:p>
      <w:pPr>
        <w:spacing w:after="0" w:line="51"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On October 14, 2025, the Company made a full voluntary prepayment of $32.4 million and recorded a loss on extinguishment of debt of $1.8 million, representing the difference between the prepayment amount and the carrying value of debt including accrued interest as of the extinguishment date. Upon prepayment, the term loan, related security interests, and all other obligations, covenants, debts and liabilities under the Amended Loan Agreement were satisfied and discharged in full and the Amended Loan Agreement and all other documents entered into in connection with the Amended Loan Agreement were terminated.</w:t>
      </w:r>
    </w:p>
    <w:p>
      <w:pPr>
        <w:spacing w:after="0" w:line="5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effective interest rate for the term loan through the prepayment date was 10.64% and 11.51% for the year ended December 31, 2025 and 2024, respectively. Interest expense during the years ended December 31, 2025 and 2024 was $2.5 million and $3.0 million,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Preferred Stock</w:t>
      </w:r>
    </w:p>
    <w:p>
      <w:pPr>
        <w:spacing w:after="0" w:line="96" w:lineRule="exact"/>
        <w:rPr>
          <w:sz w:val="20"/>
          <w:szCs w:val="20"/>
          <w:color w:val="auto"/>
        </w:rPr>
      </w:pPr>
    </w:p>
    <w:p>
      <w:pPr>
        <w:jc w:val="both"/>
        <w:ind w:right="20" w:firstLine="318"/>
        <w:spacing w:after="0" w:line="264" w:lineRule="auto"/>
        <w:rPr>
          <w:sz w:val="20"/>
          <w:szCs w:val="20"/>
          <w:color w:val="auto"/>
        </w:rPr>
      </w:pPr>
      <w:r>
        <w:rPr>
          <w:rFonts w:ascii="Times New Roman" w:cs="Times New Roman" w:eastAsia="Times New Roman" w:hAnsi="Times New Roman"/>
          <w:sz w:val="14"/>
          <w:szCs w:val="14"/>
          <w:color w:val="auto"/>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December 31, 2025 and 2024, the Company was authorized to issue 10,000,000 shares of preferred stock and there was no preferred stock outstanding as of December 31, 2025 and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Common Stock</w:t>
      </w:r>
    </w:p>
    <w:p>
      <w:pPr>
        <w:spacing w:after="0" w:line="96"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 Company had 300,000,000 authorized shares of common stock, at a par value of $0.0001 per share. The common stock has the following rights and privileges: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holders of shares of common stock are entitled to one vote for each share of common stock held at any meeting of stockholders and at the time of any written action in lieu of a meeting.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96"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Shares reserved for future issuance</w:t>
      </w:r>
    </w:p>
    <w:p>
      <w:pPr>
        <w:spacing w:after="0" w:line="4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78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stock options</w:t>
            </w: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7,456,066</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8,300,804</w:t>
            </w:r>
          </w:p>
        </w:tc>
      </w:tr>
      <w:tr>
        <w:trPr>
          <w:trHeight w:val="18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858,247</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932,634</w:t>
            </w:r>
          </w:p>
        </w:tc>
      </w:tr>
      <w:tr>
        <w:trPr>
          <w:trHeight w:val="18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available for future grants under the 2020 Stock Option and Incentive Plan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7,832,167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4,212,229</w:t>
            </w:r>
          </w:p>
        </w:tc>
      </w:tr>
      <w:tr>
        <w:trPr>
          <w:trHeight w:val="18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of common stock available for future issuance under the 2020 ESPP</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1,692,136</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1,294,745</w:t>
            </w:r>
          </w:p>
        </w:tc>
      </w:tr>
      <w:tr>
        <w:trPr>
          <w:trHeight w:val="18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available for future issuance under the 2022 Inducement Plan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1,425,000</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1,460,000</w:t>
            </w:r>
          </w:p>
        </w:tc>
      </w:tr>
      <w:tr>
        <w:trPr>
          <w:trHeight w:val="17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shares reserved for future issuance</w:t>
            </w:r>
          </w:p>
        </w:tc>
        <w:tc>
          <w:tcPr>
            <w:tcW w:w="9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19,263,616</w:t>
            </w:r>
          </w:p>
        </w:tc>
        <w:tc>
          <w:tcPr>
            <w:tcW w:w="8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16,200,412</w:t>
            </w:r>
          </w:p>
        </w:tc>
      </w:tr>
      <w:tr>
        <w:trPr>
          <w:trHeight w:val="20"/>
        </w:trPr>
        <w:tc>
          <w:tcPr>
            <w:tcW w:w="7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Stockholder Rights Agreement</w:t>
      </w:r>
    </w:p>
    <w:p>
      <w:pPr>
        <w:spacing w:after="0" w:line="96"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On March 12, 2025, the Company's board of directors adopted the Rights Plan and declared a dividend of one right (each, a “Right”) for each outstanding share of our common stock to stockholders of record at the close of business on March 25, 2025. Each Right entitles its holder, subject to the terms of the Rights Plan, to purchase from the Company one one-thousandth of a share of Series A Junior Participating Preferred Stock, par value $0.0001 per share, of the Company at an exercise price of $12.64 per Right, subject to adjustment. The description and terms of the Rights are set forth in the Rights Plan, dated as of March 12, 2025, by and between the Company and Computershare Trust Company, N.A., a federally chartered trust company, as rights agent. Subject to certain exceptions, Rights become exercisable and trade separately from our common stock only upon the earlier of (i) the close of business on the tenth business day following the public announcement of an Acquiring Person (as defined in the Rights Plan) beneficially owning 20%, when referring to a passive investor, and 10%, when referring to a person that is not a passive investor, or more of our common stock, and (ii) the close of business on the tenth business day after the commencement of a tender offer or exchange offer that, if consummated, would result in a person or group becoming an Acquiring Person. On March 3, 2026, the Company entered into an Amendment to the Stockholder Rights Agreement to extend the expiration time of the Rights for one year from March 11, 2026 to March 11, 2027, unless the Rights are earlier redeemed, exchanged, or terminated in accordance with the terms and conditions of the Rights Agreement.</w:t>
      </w:r>
    </w:p>
    <w:p>
      <w:pPr>
        <w:spacing w:after="0" w:line="61"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4"/>
          <w:szCs w:val="14"/>
          <w:color w:val="auto"/>
        </w:rPr>
        <w:t>The Rights Plan is intended to reduce the likelihood that any entity, person or group is able to gain control of the Company through open market accumulation without paying all stockholders an appropriate control premium or providing the board of directors sufficient opportunity to make informed judgments and take actions that are in the best interests of the Company and all stockholders. The Rights Plan is not intended to interfere with any merger or other business combination approved by the board of directors.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11.Stock-Based Compensation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96"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4"/>
          <w:szCs w:val="14"/>
          <w:color w:val="auto"/>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spacing w:after="0" w:line="61"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As of December 31, 2025, the 2020 Plan had 7,832,167 shares of common stock available for future issuance.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100" w:name="page101"/>
    <w:bookmarkEnd w:id="100"/>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In 2022, the Board of Directors adopted the 2022 Inducement Plan ("Inducement Plan"), under which the Company may grant nonqualified stock options or other awards including stock appreciation rights and restricted stock awards. As of December 31, 2025, 1,425,000 shares of common stock were available for issuance.</w:t>
      </w:r>
    </w:p>
    <w:p>
      <w:pPr>
        <w:spacing w:after="0" w:line="39" w:lineRule="exact"/>
        <w:rPr>
          <w:sz w:val="20"/>
          <w:szCs w:val="20"/>
          <w:color w:val="auto"/>
        </w:rPr>
      </w:pPr>
    </w:p>
    <w:p>
      <w:pPr>
        <w:jc w:val="both"/>
        <w:ind w:right="40" w:firstLine="318"/>
        <w:spacing w:after="0" w:line="270" w:lineRule="auto"/>
        <w:rPr>
          <w:sz w:val="20"/>
          <w:szCs w:val="20"/>
          <w:color w:val="auto"/>
        </w:rPr>
      </w:pPr>
      <w:r>
        <w:rPr>
          <w:rFonts w:ascii="Times New Roman" w:cs="Times New Roman" w:eastAsia="Times New Roman" w:hAnsi="Times New Roman"/>
          <w:sz w:val="14"/>
          <w:szCs w:val="14"/>
          <w:color w:val="auto"/>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Incentive Stock Options and Nonqualified Stock Options</w:t>
      </w:r>
    </w:p>
    <w:p>
      <w:pPr>
        <w:spacing w:after="0" w:line="96"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used Black-Scholes option pricing model to estimate stock-based compensation expense for stock option awards with the following assumptions: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0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0"/>
        </w:trPr>
        <w:tc>
          <w:tcPr>
            <w:tcW w:w="51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Min</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Max</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Min</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Max</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center"/>
              <w:ind w:left="252"/>
              <w:spacing w:after="0"/>
              <w:rPr>
                <w:sz w:val="20"/>
                <w:szCs w:val="20"/>
                <w:color w:val="auto"/>
              </w:rPr>
            </w:pPr>
            <w:r>
              <w:rPr>
                <w:rFonts w:ascii="Times New Roman" w:cs="Times New Roman" w:eastAsia="Times New Roman" w:hAnsi="Times New Roman"/>
                <w:sz w:val="14"/>
                <w:szCs w:val="14"/>
                <w:color w:val="auto"/>
              </w:rPr>
              <w:t>86.82%</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w w:val="97"/>
              </w:rPr>
              <w:t>89.30%</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338"/>
              <w:spacing w:after="0"/>
              <w:rPr>
                <w:sz w:val="20"/>
                <w:szCs w:val="20"/>
                <w:color w:val="auto"/>
              </w:rPr>
            </w:pPr>
            <w:r>
              <w:rPr>
                <w:rFonts w:ascii="Times New Roman" w:cs="Times New Roman" w:eastAsia="Times New Roman" w:hAnsi="Times New Roman"/>
                <w:sz w:val="14"/>
                <w:szCs w:val="14"/>
                <w:color w:val="auto"/>
              </w:rPr>
              <w:t>85.02%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88.02%</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780" w:type="dxa"/>
            <w:vAlign w:val="bottom"/>
            <w:gridSpan w:val="4"/>
          </w:tcPr>
          <w:p>
            <w:pPr>
              <w:jc w:val="center"/>
              <w:ind w:left="1093"/>
              <w:spacing w:after="0"/>
              <w:rPr>
                <w:sz w:val="20"/>
                <w:szCs w:val="20"/>
                <w:color w:val="auto"/>
              </w:rPr>
            </w:pPr>
            <w:r>
              <w:rPr>
                <w:rFonts w:ascii="Times New Roman" w:cs="Times New Roman" w:eastAsia="Times New Roman" w:hAnsi="Times New Roman"/>
                <w:sz w:val="14"/>
                <w:szCs w:val="14"/>
                <w:color w:val="auto"/>
              </w:rPr>
              <w:t>3.98%</w:t>
            </w:r>
          </w:p>
        </w:tc>
        <w:tc>
          <w:tcPr>
            <w:tcW w:w="1220" w:type="dxa"/>
            <w:vAlign w:val="bottom"/>
            <w:gridSpan w:val="3"/>
          </w:tcPr>
          <w:p>
            <w:pPr>
              <w:jc w:val="center"/>
              <w:ind w:left="773"/>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left="433"/>
              <w:spacing w:after="0"/>
              <w:rPr>
                <w:sz w:val="20"/>
                <w:szCs w:val="20"/>
                <w:color w:val="auto"/>
              </w:rPr>
            </w:pPr>
            <w:r>
              <w:rPr>
                <w:rFonts w:ascii="Times New Roman" w:cs="Times New Roman" w:eastAsia="Times New Roman" w:hAnsi="Times New Roman"/>
                <w:sz w:val="14"/>
                <w:szCs w:val="14"/>
                <w:color w:val="auto"/>
                <w:w w:val="99"/>
              </w:rPr>
              <w:t>3.45%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4.60%</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58"/>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780" w:type="dxa"/>
            <w:vAlign w:val="bottom"/>
            <w:gridSpan w:val="4"/>
          </w:tcPr>
          <w:p>
            <w:pPr>
              <w:jc w:val="center"/>
              <w:ind w:left="1093"/>
              <w:spacing w:after="0"/>
              <w:rPr>
                <w:sz w:val="20"/>
                <w:szCs w:val="20"/>
                <w:color w:val="auto"/>
              </w:rPr>
            </w:pPr>
            <w:r>
              <w:rPr>
                <w:rFonts w:ascii="Times New Roman" w:cs="Times New Roman" w:eastAsia="Times New Roman" w:hAnsi="Times New Roman"/>
                <w:sz w:val="14"/>
                <w:szCs w:val="14"/>
                <w:color w:val="auto"/>
              </w:rPr>
              <w:t>5.34</w:t>
            </w:r>
          </w:p>
        </w:tc>
        <w:tc>
          <w:tcPr>
            <w:tcW w:w="1220" w:type="dxa"/>
            <w:vAlign w:val="bottom"/>
            <w:gridSpan w:val="3"/>
          </w:tcPr>
          <w:p>
            <w:pPr>
              <w:jc w:val="center"/>
              <w:ind w:left="773"/>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left="433"/>
              <w:spacing w:after="0"/>
              <w:rPr>
                <w:sz w:val="20"/>
                <w:szCs w:val="20"/>
                <w:color w:val="auto"/>
              </w:rPr>
            </w:pPr>
            <w:r>
              <w:rPr>
                <w:rFonts w:ascii="Times New Roman" w:cs="Times New Roman" w:eastAsia="Times New Roman" w:hAnsi="Times New Roman"/>
                <w:sz w:val="14"/>
                <w:szCs w:val="14"/>
                <w:color w:val="auto"/>
                <w:w w:val="97"/>
              </w:rPr>
              <w:t>5.31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6.08</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Underlying common stock fair value</w:t>
            </w:r>
          </w:p>
        </w:tc>
        <w:tc>
          <w:tcPr>
            <w:tcW w:w="1780" w:type="dxa"/>
            <w:vAlign w:val="bottom"/>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$1.37</w:t>
            </w:r>
          </w:p>
        </w:tc>
        <w:tc>
          <w:tcPr>
            <w:tcW w:w="1220" w:type="dxa"/>
            <w:vAlign w:val="bottom"/>
            <w:gridSpan w:val="3"/>
            <w:shd w:val="clear" w:color="auto" w:fill="CCEEFF"/>
          </w:tcPr>
          <w:p>
            <w:pPr>
              <w:jc w:val="center"/>
              <w:ind w:left="773"/>
              <w:spacing w:after="0"/>
              <w:rPr>
                <w:sz w:val="20"/>
                <w:szCs w:val="20"/>
                <w:color w:val="auto"/>
              </w:rPr>
            </w:pPr>
            <w:r>
              <w:rPr>
                <w:rFonts w:ascii="Times New Roman" w:cs="Times New Roman" w:eastAsia="Times New Roman" w:hAnsi="Times New Roman"/>
                <w:sz w:val="14"/>
                <w:szCs w:val="14"/>
                <w:color w:val="auto"/>
                <w:w w:val="98"/>
              </w:rPr>
              <w:t>$12.63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left="453"/>
              <w:spacing w:after="0"/>
              <w:rPr>
                <w:sz w:val="20"/>
                <w:szCs w:val="20"/>
                <w:color w:val="auto"/>
              </w:rPr>
            </w:pPr>
            <w:r>
              <w:rPr>
                <w:rFonts w:ascii="Times New Roman" w:cs="Times New Roman" w:eastAsia="Times New Roman" w:hAnsi="Times New Roman"/>
                <w:sz w:val="14"/>
                <w:szCs w:val="14"/>
                <w:color w:val="auto"/>
                <w:w w:val="98"/>
              </w:rPr>
              <w:t>$11.09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328"/>
        </w:trPr>
        <w:tc>
          <w:tcPr>
            <w:tcW w:w="674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A summary of option activity under the 2015 Plan, 2020 Plan and Inducement Plan is as follows: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5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180" w:type="dxa"/>
            <w:vAlign w:val="bottom"/>
          </w:tcPr>
          <w:p>
            <w:pPr>
              <w:spacing w:after="0"/>
              <w:rPr>
                <w:sz w:val="11"/>
                <w:szCs w:val="11"/>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20" w:type="dxa"/>
            <w:vAlign w:val="bottom"/>
          </w:tcPr>
          <w:p>
            <w:pPr>
              <w:spacing w:after="0"/>
              <w:rPr>
                <w:sz w:val="11"/>
                <w:szCs w:val="11"/>
                <w:color w:val="auto"/>
              </w:rPr>
            </w:pPr>
          </w:p>
        </w:tc>
        <w:tc>
          <w:tcPr>
            <w:tcW w:w="1640" w:type="dxa"/>
            <w:vAlign w:val="bottom"/>
            <w:gridSpan w:val="5"/>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w w:val="98"/>
              </w:rPr>
              <w:t>Weighted-</w:t>
            </w:r>
          </w:p>
        </w:tc>
        <w:tc>
          <w:tcPr>
            <w:tcW w:w="100" w:type="dxa"/>
            <w:vAlign w:val="bottom"/>
          </w:tcPr>
          <w:p>
            <w:pPr>
              <w:spacing w:after="0"/>
              <w:rPr>
                <w:sz w:val="11"/>
                <w:szCs w:val="11"/>
                <w:color w:val="auto"/>
              </w:rPr>
            </w:pPr>
          </w:p>
        </w:tc>
        <w:tc>
          <w:tcPr>
            <w:tcW w:w="8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38"/>
        </w:trPr>
        <w:tc>
          <w:tcPr>
            <w:tcW w:w="5180" w:type="dxa"/>
            <w:vAlign w:val="bottom"/>
          </w:tcPr>
          <w:p>
            <w:pPr>
              <w:spacing w:after="0"/>
              <w:rPr>
                <w:sz w:val="11"/>
                <w:szCs w:val="11"/>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1"/>
                <w:szCs w:val="11"/>
                <w:color w:val="auto"/>
              </w:rPr>
            </w:pPr>
          </w:p>
        </w:tc>
        <w:tc>
          <w:tcPr>
            <w:tcW w:w="1640" w:type="dxa"/>
            <w:vAlign w:val="bottom"/>
            <w:gridSpan w:val="5"/>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Average Exercise</w:t>
            </w:r>
          </w:p>
        </w:tc>
        <w:tc>
          <w:tcPr>
            <w:tcW w:w="100" w:type="dxa"/>
            <w:vAlign w:val="bottom"/>
          </w:tcPr>
          <w:p>
            <w:pPr>
              <w:spacing w:after="0"/>
              <w:rPr>
                <w:sz w:val="11"/>
                <w:szCs w:val="11"/>
                <w:color w:val="auto"/>
              </w:rPr>
            </w:pPr>
          </w:p>
        </w:tc>
        <w:tc>
          <w:tcPr>
            <w:tcW w:w="8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20" w:type="dxa"/>
            <w:vAlign w:val="bottom"/>
          </w:tcPr>
          <w:p>
            <w:pPr>
              <w:spacing w:after="0"/>
              <w:rPr>
                <w:sz w:val="12"/>
                <w:szCs w:val="12"/>
                <w:color w:val="auto"/>
              </w:rPr>
            </w:pPr>
          </w:p>
        </w:tc>
        <w:tc>
          <w:tcPr>
            <w:tcW w:w="1640" w:type="dxa"/>
            <w:vAlign w:val="bottom"/>
            <w:gridSpan w:val="5"/>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940" w:type="dxa"/>
            <w:vAlign w:val="bottom"/>
            <w:gridSpan w:val="2"/>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7"/>
              </w:rPr>
              <w:t>Term (in Years)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Value (in thousands)</w:t>
            </w:r>
          </w:p>
        </w:tc>
        <w:tc>
          <w:tcPr>
            <w:tcW w:w="0" w:type="dxa"/>
            <w:vAlign w:val="bottom"/>
          </w:tcPr>
          <w:p>
            <w:pPr>
              <w:spacing w:after="0"/>
              <w:rPr>
                <w:sz w:val="1"/>
                <w:szCs w:val="1"/>
                <w:color w:val="auto"/>
              </w:rPr>
            </w:pPr>
          </w:p>
        </w:tc>
      </w:tr>
      <w:tr>
        <w:trPr>
          <w:trHeight w:val="30"/>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8,300,804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13,769</w:t>
            </w:r>
          </w:p>
        </w:tc>
        <w:tc>
          <w:tcPr>
            <w:tcW w:w="0" w:type="dxa"/>
            <w:vAlign w:val="bottom"/>
          </w:tcPr>
          <w:p>
            <w:pPr>
              <w:spacing w:after="0"/>
              <w:rPr>
                <w:sz w:val="1"/>
                <w:szCs w:val="1"/>
                <w:color w:val="auto"/>
              </w:rPr>
            </w:pPr>
          </w:p>
        </w:tc>
      </w:tr>
      <w:tr>
        <w:trPr>
          <w:trHeight w:val="180"/>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2,271,680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(3,111,497)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7,456,066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5.6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2025</w:t>
            </w: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vMerge w:val="continue"/>
          </w:tcPr>
          <w:p>
            <w:pPr>
              <w:spacing w:after="0"/>
              <w:rPr>
                <w:sz w:val="12"/>
                <w:szCs w:val="12"/>
                <w:color w:val="auto"/>
              </w:rPr>
            </w:pPr>
          </w:p>
        </w:tc>
        <w:tc>
          <w:tcPr>
            <w:tcW w:w="146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5,305,752</w:t>
            </w:r>
          </w:p>
        </w:tc>
        <w:tc>
          <w:tcPr>
            <w:tcW w:w="100" w:type="dxa"/>
            <w:vAlign w:val="bottom"/>
          </w:tcPr>
          <w:p>
            <w:pPr>
              <w:spacing w:after="0"/>
              <w:rPr>
                <w:sz w:val="12"/>
                <w:szCs w:val="12"/>
                <w:color w:val="auto"/>
              </w:rPr>
            </w:pPr>
          </w:p>
        </w:tc>
        <w:tc>
          <w:tcPr>
            <w:tcW w:w="22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1"/>
              </w:rPr>
              <w:t>4.8</w:t>
            </w:r>
          </w:p>
        </w:tc>
        <w:tc>
          <w:tcPr>
            <w:tcW w:w="8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as of December 31, 2025</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7,456,066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5.6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2025, there was $18.8 million of unrecognized compensation costs that is expected to be recognized over the weighted-average periods of 2.3 years related to stock options. The total intrinsic value of stock options exercised was $5 thousand, and $1.9 million for December 31, 2025, and 2024, respectively. Intrinsic value represents the difference between the current fair value of the underlying stock and the exercise price of the stock option at the respective balance sheet dates. The weighted-average grant date fair value of options granted during the years ended December 31, 2025, and 2024 was $7.25 and $15.00 per share,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service-based condition for restricted stock units ("RSUs") is satisfied over three years. The following table sets forth the outstanding RSUs and related activity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40" w:type="dxa"/>
            <w:vAlign w:val="bottom"/>
          </w:tcPr>
          <w:p>
            <w:pPr>
              <w:spacing w:after="0"/>
              <w:rPr>
                <w:sz w:val="11"/>
                <w:szCs w:val="11"/>
                <w:color w:val="auto"/>
              </w:rPr>
            </w:pP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Restricted Stock Units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0" w:type="dxa"/>
            <w:vAlign w:val="bottom"/>
          </w:tcPr>
          <w:p>
            <w:pPr>
              <w:spacing w:after="0"/>
              <w:rPr>
                <w:sz w:val="1"/>
                <w:szCs w:val="1"/>
                <w:color w:val="auto"/>
              </w:rPr>
            </w:pPr>
          </w:p>
        </w:tc>
      </w:tr>
      <w:tr>
        <w:trPr>
          <w:trHeight w:val="153"/>
        </w:trPr>
        <w:tc>
          <w:tcPr>
            <w:tcW w:w="784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and outstanding as of December 31, 2024</w:t>
            </w:r>
          </w:p>
        </w:tc>
        <w:tc>
          <w:tcPr>
            <w:tcW w:w="1680" w:type="dxa"/>
            <w:vAlign w:val="bottom"/>
            <w:shd w:val="clear" w:color="auto" w:fill="CCEEFF"/>
          </w:tcPr>
          <w:p>
            <w:pPr>
              <w:jc w:val="center"/>
              <w:ind w:left="1032"/>
              <w:spacing w:after="0"/>
              <w:rPr>
                <w:sz w:val="20"/>
                <w:szCs w:val="20"/>
                <w:color w:val="auto"/>
              </w:rPr>
            </w:pPr>
            <w:r>
              <w:rPr>
                <w:rFonts w:ascii="Times New Roman" w:cs="Times New Roman" w:eastAsia="Times New Roman" w:hAnsi="Times New Roman"/>
                <w:sz w:val="14"/>
                <w:szCs w:val="14"/>
                <w:color w:val="auto"/>
              </w:rPr>
              <w:t>932,634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80" w:type="dxa"/>
            <w:vAlign w:val="bottom"/>
          </w:tcPr>
          <w:p>
            <w:pPr>
              <w:jc w:val="center"/>
              <w:ind w:left="1032"/>
              <w:spacing w:after="0"/>
              <w:rPr>
                <w:sz w:val="20"/>
                <w:szCs w:val="20"/>
                <w:color w:val="auto"/>
              </w:rPr>
            </w:pPr>
            <w:r>
              <w:rPr>
                <w:rFonts w:ascii="Times New Roman" w:cs="Times New Roman" w:eastAsia="Times New Roman" w:hAnsi="Times New Roman"/>
                <w:sz w:val="14"/>
                <w:szCs w:val="14"/>
                <w:color w:val="auto"/>
              </w:rPr>
              <w:t>840,341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Released</w:t>
            </w:r>
          </w:p>
        </w:tc>
        <w:tc>
          <w:tcPr>
            <w:tcW w:w="1680" w:type="dxa"/>
            <w:vAlign w:val="bottom"/>
            <w:shd w:val="clear" w:color="auto" w:fill="CCEEFF"/>
          </w:tcPr>
          <w:p>
            <w:pPr>
              <w:jc w:val="center"/>
              <w:ind w:left="1012"/>
              <w:spacing w:after="0"/>
              <w:rPr>
                <w:sz w:val="20"/>
                <w:szCs w:val="20"/>
                <w:color w:val="auto"/>
              </w:rPr>
            </w:pPr>
            <w:r>
              <w:rPr>
                <w:rFonts w:ascii="Times New Roman" w:cs="Times New Roman" w:eastAsia="Times New Roman" w:hAnsi="Times New Roman"/>
                <w:sz w:val="14"/>
                <w:szCs w:val="14"/>
                <w:color w:val="auto"/>
              </w:rPr>
              <w:t>(372,313)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680" w:type="dxa"/>
            <w:vAlign w:val="bottom"/>
            <w:tcBorders>
              <w:bottom w:val="single" w:sz="8" w:color="auto"/>
            </w:tcBorders>
          </w:tcPr>
          <w:p>
            <w:pPr>
              <w:jc w:val="center"/>
              <w:ind w:left="1012"/>
              <w:spacing w:after="0"/>
              <w:rPr>
                <w:sz w:val="20"/>
                <w:szCs w:val="20"/>
                <w:color w:val="auto"/>
              </w:rPr>
            </w:pPr>
            <w:r>
              <w:rPr>
                <w:rFonts w:ascii="Times New Roman" w:cs="Times New Roman" w:eastAsia="Times New Roman" w:hAnsi="Times New Roman"/>
                <w:sz w:val="14"/>
                <w:szCs w:val="14"/>
                <w:color w:val="auto"/>
              </w:rPr>
              <w:t>(542,415)</w:t>
            </w:r>
          </w:p>
        </w:tc>
        <w:tc>
          <w:tcPr>
            <w:tcW w:w="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and outstanding as of December 31, 2025</w:t>
            </w:r>
          </w:p>
        </w:tc>
        <w:tc>
          <w:tcPr>
            <w:tcW w:w="1680" w:type="dxa"/>
            <w:vAlign w:val="bottom"/>
            <w:tcBorders>
              <w:bottom w:val="single" w:sz="8" w:color="auto"/>
            </w:tcBorders>
            <w:shd w:val="clear" w:color="auto" w:fill="CCEEFF"/>
          </w:tcPr>
          <w:p>
            <w:pPr>
              <w:jc w:val="center"/>
              <w:ind w:left="1032"/>
              <w:spacing w:after="0"/>
              <w:rPr>
                <w:sz w:val="20"/>
                <w:szCs w:val="20"/>
                <w:color w:val="auto"/>
              </w:rPr>
            </w:pPr>
            <w:r>
              <w:rPr>
                <w:rFonts w:ascii="Times New Roman" w:cs="Times New Roman" w:eastAsia="Times New Roman" w:hAnsi="Times New Roman"/>
                <w:sz w:val="14"/>
                <w:szCs w:val="14"/>
                <w:color w:val="auto"/>
              </w:rPr>
              <w:t>858,247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$5.8 million of unrecognized stock-based compensation expense related to outstanding RSUs expected to be recognized over a weighted-average period of 1.5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Units</w:t>
      </w:r>
    </w:p>
    <w:p>
      <w:pPr>
        <w:spacing w:after="0" w:line="96"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4"/>
          <w:szCs w:val="14"/>
          <w:color w:val="auto"/>
        </w:rPr>
        <w:t>In July 2022 the Company granted performance-based restricted stock units ("PSUs") that vested upon the achievement of market and performance conditions. Market conditions included the Company's total shareholder return ("TSR") relative to the NASDAQ Biotechnology Index over the term of the award ending on June 30, 2024, and performance conditions consisted of multiple clinical development milestones associated with bexotegrast. The PSUs associated with clinical development milestones vested in 2023 and the market-based PSUs vested at 55% of their target in 2024. Stock based compensation associated with PSUs was nil for the twelve months ended December 31, 2025 and $1.3 million for the twelve months ended December 31, 2024. There were no PSUs outstanding as of December 31, 2025 and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Employee Stock Purchase Plan</w:t>
      </w:r>
    </w:p>
    <w:p>
      <w:pPr>
        <w:spacing w:after="0" w:line="96"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In June 2020, the Company adopted the 2020 Employee Stock Purchase Plan (the "2020 ESPP") and reserved 700,000 shares of common stock for future issuance under the plan. The 2020 ESPP is subject to automatic increases on January 1 of each calendar year, beginning January 1, 2021, by the lesser of (i) 1% of the outstanding shares on the immediately preceding December 31, (ii) 700,000 shares or (iii) such lesser amount as determined by, the compensation committee of the Board of Directors.</w:t>
      </w:r>
    </w:p>
    <w:p>
      <w:pPr>
        <w:spacing w:after="0" w:line="51"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Under the 2020 ESPP, eligible employees may purchase shares of our common stock through payroll deductions that cannot exceed 15% of the employee’s salary. The 2020 ESPP provides for a six-month offering period. At the end of the purchase period, eligible employees are permitted to purchase shares of common stock at the lower of 85% of the fair market value at the beginning or end of the offering period subject to tax limitations on the total value of the purchase. The 2020 ESPP is considered a compensatory plan, and the Company recorded $0.2 million, and $0.5 million in stock-based compensation expense for years ended December 31, 2025, and 2024, respectively. During the years ended December 31, 2025, and 2024, 211,218 shares, and 110,222 shares, respectively, of common stock were issued under the 2020 ESPP.</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used the Black-Scholes option pricing model to estimate stock-based compensation expense for the 2020 ESPP with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660" w:type="dxa"/>
            <w:vAlign w:val="bottom"/>
            <w:gridSpan w:val="4"/>
          </w:tcPr>
          <w:p>
            <w:pPr>
              <w:ind w:left="1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67"/>
        </w:trPr>
        <w:tc>
          <w:tcPr>
            <w:tcW w:w="720" w:type="dxa"/>
            <w:vAlign w:val="bottom"/>
          </w:tcPr>
          <w:p>
            <w:pPr>
              <w:spacing w:after="0"/>
              <w:rPr>
                <w:sz w:val="14"/>
                <w:szCs w:val="14"/>
                <w:color w:val="auto"/>
              </w:rPr>
            </w:pPr>
          </w:p>
        </w:tc>
        <w:tc>
          <w:tcPr>
            <w:tcW w:w="3420" w:type="dxa"/>
            <w:vAlign w:val="bottom"/>
            <w:tcBorders>
              <w:bottom w:val="single" w:sz="8" w:color="CFF0FC"/>
            </w:tcBorders>
          </w:tcPr>
          <w:p>
            <w:pPr>
              <w:spacing w:after="0"/>
              <w:rPr>
                <w:sz w:val="14"/>
                <w:szCs w:val="14"/>
                <w:color w:val="auto"/>
              </w:rPr>
            </w:pPr>
          </w:p>
        </w:tc>
        <w:tc>
          <w:tcPr>
            <w:tcW w:w="2480" w:type="dxa"/>
            <w:vAlign w:val="bottom"/>
            <w:tcBorders>
              <w:bottom w:val="single" w:sz="8" w:color="CFF0FC"/>
            </w:tcBorders>
          </w:tcPr>
          <w:p>
            <w:pPr>
              <w:spacing w:after="0"/>
              <w:rPr>
                <w:sz w:val="14"/>
                <w:szCs w:val="14"/>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Borders>
              <w:top w:val="single" w:sz="8" w:color="auto"/>
              <w:bottom w:val="single" w:sz="8" w:color="CFF0FC"/>
            </w:tcBorders>
          </w:tcPr>
          <w:p>
            <w:pPr>
              <w:spacing w:after="0"/>
              <w:rPr>
                <w:sz w:val="14"/>
                <w:szCs w:val="14"/>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700" w:type="dxa"/>
            <w:vAlign w:val="bottom"/>
          </w:tcPr>
          <w:p>
            <w:pPr>
              <w:spacing w:after="0"/>
              <w:rPr>
                <w:sz w:val="14"/>
                <w:szCs w:val="14"/>
                <w:color w:val="auto"/>
              </w:rPr>
            </w:pPr>
          </w:p>
        </w:tc>
      </w:tr>
      <w:tr>
        <w:trPr>
          <w:trHeight w:val="184"/>
        </w:trPr>
        <w:tc>
          <w:tcPr>
            <w:tcW w:w="720" w:type="dxa"/>
            <w:vAlign w:val="bottom"/>
          </w:tcPr>
          <w:p>
            <w:pPr>
              <w:spacing w:after="0"/>
              <w:rPr>
                <w:sz w:val="15"/>
                <w:szCs w:val="15"/>
                <w:color w:val="auto"/>
              </w:rPr>
            </w:pPr>
          </w:p>
        </w:tc>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480" w:type="dxa"/>
            <w:vAlign w:val="bottom"/>
            <w:tcBorders>
              <w:bottom w:val="single" w:sz="8" w:color="CFF0FC"/>
            </w:tcBorders>
            <w:shd w:val="clear" w:color="auto" w:fill="CFF0FC"/>
          </w:tcPr>
          <w:p>
            <w:pPr>
              <w:spacing w:after="0"/>
              <w:rPr>
                <w:sz w:val="15"/>
                <w:szCs w:val="15"/>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3.99% - 4.29%</w:t>
            </w:r>
          </w:p>
        </w:tc>
        <w:tc>
          <w:tcPr>
            <w:tcW w:w="2040" w:type="dxa"/>
            <w:vAlign w:val="bottom"/>
            <w:tcBorders>
              <w:bottom w:val="single" w:sz="8" w:color="CFF0FC"/>
            </w:tcBorders>
            <w:gridSpan w:val="2"/>
            <w:shd w:val="clear" w:color="auto" w:fill="CFF0FC"/>
          </w:tcPr>
          <w:p>
            <w:pPr>
              <w:jc w:val="center"/>
              <w:ind w:left="29"/>
              <w:spacing w:after="0"/>
              <w:rPr>
                <w:sz w:val="20"/>
                <w:szCs w:val="20"/>
                <w:color w:val="auto"/>
              </w:rPr>
            </w:pPr>
            <w:r>
              <w:rPr>
                <w:rFonts w:ascii="Times New Roman" w:cs="Times New Roman" w:eastAsia="Times New Roman" w:hAnsi="Times New Roman"/>
                <w:sz w:val="14"/>
                <w:szCs w:val="14"/>
                <w:color w:val="auto"/>
              </w:rPr>
              <w:t>4.80% -5.27%</w:t>
            </w:r>
          </w:p>
        </w:tc>
        <w:tc>
          <w:tcPr>
            <w:tcW w:w="700" w:type="dxa"/>
            <w:vAlign w:val="bottom"/>
          </w:tcPr>
          <w:p>
            <w:pPr>
              <w:spacing w:after="0"/>
              <w:rPr>
                <w:sz w:val="15"/>
                <w:szCs w:val="15"/>
                <w:color w:val="auto"/>
              </w:rPr>
            </w:pPr>
          </w:p>
        </w:tc>
      </w:tr>
      <w:tr>
        <w:trPr>
          <w:trHeight w:val="212"/>
        </w:trPr>
        <w:tc>
          <w:tcPr>
            <w:tcW w:w="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of options (in years)</w:t>
            </w:r>
          </w:p>
        </w:tc>
        <w:tc>
          <w:tcPr>
            <w:tcW w:w="4400" w:type="dxa"/>
            <w:vAlign w:val="bottom"/>
            <w:gridSpan w:val="2"/>
          </w:tcPr>
          <w:p>
            <w:pPr>
              <w:jc w:val="center"/>
              <w:ind w:left="2409"/>
              <w:spacing w:after="0"/>
              <w:rPr>
                <w:sz w:val="20"/>
                <w:szCs w:val="20"/>
                <w:color w:val="auto"/>
              </w:rPr>
            </w:pPr>
            <w:r>
              <w:rPr>
                <w:rFonts w:ascii="Times New Roman" w:cs="Times New Roman" w:eastAsia="Times New Roman" w:hAnsi="Times New Roman"/>
                <w:sz w:val="14"/>
                <w:szCs w:val="14"/>
                <w:color w:val="auto"/>
                <w:w w:val="97"/>
              </w:rPr>
              <w:t>0.50</w:t>
            </w:r>
          </w:p>
        </w:tc>
        <w:tc>
          <w:tcPr>
            <w:tcW w:w="20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0.50</w:t>
            </w:r>
          </w:p>
        </w:tc>
        <w:tc>
          <w:tcPr>
            <w:tcW w:w="700" w:type="dxa"/>
            <w:vAlign w:val="bottom"/>
          </w:tcPr>
          <w:p>
            <w:pPr>
              <w:spacing w:after="0"/>
              <w:rPr>
                <w:sz w:val="18"/>
                <w:szCs w:val="18"/>
                <w:color w:val="auto"/>
              </w:rPr>
            </w:pPr>
          </w:p>
        </w:tc>
      </w:tr>
      <w:tr>
        <w:trPr>
          <w:trHeight w:val="192"/>
        </w:trPr>
        <w:tc>
          <w:tcPr>
            <w:tcW w:w="720" w:type="dxa"/>
            <w:vAlign w:val="bottom"/>
          </w:tcPr>
          <w:p>
            <w:pPr>
              <w:spacing w:after="0"/>
              <w:rPr>
                <w:sz w:val="16"/>
                <w:szCs w:val="16"/>
                <w:color w:val="auto"/>
              </w:rPr>
            </w:pPr>
          </w:p>
        </w:tc>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2480" w:type="dxa"/>
            <w:vAlign w:val="bottom"/>
            <w:tcBorders>
              <w:bottom w:val="single" w:sz="8" w:color="CFF0FC"/>
            </w:tcBorders>
            <w:shd w:val="clear" w:color="auto" w:fill="CFF0FC"/>
          </w:tcPr>
          <w:p>
            <w:pPr>
              <w:spacing w:after="0"/>
              <w:rPr>
                <w:sz w:val="16"/>
                <w:szCs w:val="16"/>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70.91% - 208.00%</w:t>
            </w:r>
          </w:p>
        </w:tc>
        <w:tc>
          <w:tcPr>
            <w:tcW w:w="120" w:type="dxa"/>
            <w:vAlign w:val="bottom"/>
            <w:tcBorders>
              <w:bottom w:val="single" w:sz="8" w:color="CFF0FC"/>
            </w:tcBorders>
            <w:shd w:val="clear" w:color="auto" w:fill="CFF0FC"/>
          </w:tcPr>
          <w:p>
            <w:pPr>
              <w:spacing w:after="0"/>
              <w:rPr>
                <w:sz w:val="16"/>
                <w:szCs w:val="16"/>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50.95% - 63.92%</w:t>
            </w:r>
          </w:p>
        </w:tc>
        <w:tc>
          <w:tcPr>
            <w:tcW w:w="700" w:type="dxa"/>
            <w:vAlign w:val="bottom"/>
          </w:tcPr>
          <w:p>
            <w:pPr>
              <w:spacing w:after="0"/>
              <w:rPr>
                <w:sz w:val="16"/>
                <w:szCs w:val="16"/>
                <w:color w:val="auto"/>
              </w:rPr>
            </w:pPr>
          </w:p>
        </w:tc>
      </w:tr>
      <w:tr>
        <w:trPr>
          <w:trHeight w:val="212"/>
        </w:trPr>
        <w:tc>
          <w:tcPr>
            <w:tcW w:w="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24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6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w:t>
            </w:r>
          </w:p>
        </w:tc>
      </w:tr>
      <w:tr>
        <w:trPr>
          <w:trHeight w:val="700"/>
        </w:trPr>
        <w:tc>
          <w:tcPr>
            <w:tcW w:w="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8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100</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7"/>
        </w:trPr>
        <w:tc>
          <w:tcPr>
            <w:tcW w:w="72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classification of stock-based compensation expense during the years ended December 31, 2025, and 2024 (in thousands):</w:t>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r>
      <w:tr>
        <w:trPr>
          <w:trHeight w:val="167"/>
        </w:trPr>
        <w:tc>
          <w:tcPr>
            <w:tcW w:w="68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r>
      <w:tr>
        <w:trPr>
          <w:trHeight w:val="19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 and ESPP</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24,764</w:t>
            </w:r>
          </w:p>
        </w:tc>
      </w:tr>
      <w:tr>
        <w:trPr>
          <w:trHeight w:val="212"/>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11,585</w:t>
            </w:r>
          </w:p>
        </w:tc>
      </w:tr>
      <w:tr>
        <w:trPr>
          <w:trHeight w:val="21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r>
      <w:tr>
        <w:trPr>
          <w:trHeight w:val="171"/>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26,236</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37,626</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14,108</w:t>
            </w:r>
          </w:p>
        </w:tc>
      </w:tr>
      <w:tr>
        <w:trPr>
          <w:trHeight w:val="212"/>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16,253</w:t>
            </w:r>
          </w:p>
        </w:tc>
        <w:tc>
          <w:tcPr>
            <w:tcW w:w="100" w:type="dxa"/>
            <w:vAlign w:val="bottom"/>
          </w:tcPr>
          <w:p>
            <w:pPr>
              <w:spacing w:after="0"/>
              <w:rPr>
                <w:sz w:val="18"/>
                <w:szCs w:val="18"/>
                <w:color w:val="auto"/>
              </w:rPr>
            </w:pPr>
          </w:p>
        </w:tc>
        <w:tc>
          <w:tcPr>
            <w:tcW w:w="94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23,518</w:t>
            </w:r>
          </w:p>
        </w:tc>
      </w:tr>
    </w:tbl>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had a pre-tax U.S. book loss of $149.3 million and $210.3 million for the years ended December 31, 2025 and 2024, respectively. During the twelve months ended December 31, 2025 and 2024, the Company did not record an income tax provision. The Company continues to maintain a 100% valuation allowance on total deferred tax assets as the Company believes it is more likely than not that the related deferred tax assets will not be realized.</w:t>
      </w:r>
    </w:p>
    <w:p>
      <w:pPr>
        <w:spacing w:after="0" w:line="51" w:lineRule="exact"/>
        <w:rPr>
          <w:sz w:val="20"/>
          <w:szCs w:val="20"/>
          <w:color w:val="auto"/>
        </w:rPr>
      </w:pPr>
    </w:p>
    <w:p>
      <w:pPr>
        <w:ind w:right="60"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is a reconciliation of the U.S. federal statutory rate of 21.0% to our effective tax rate for the year ended December 31, 2025, in accordance with the guidance in ASU 2023-09 (in thousands, except percentages):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700" w:type="dxa"/>
            <w:vAlign w:val="bottom"/>
            <w:tcBorders>
              <w:bottom w:val="single" w:sz="8" w:color="auto"/>
            </w:tcBorders>
          </w:tcPr>
          <w:p>
            <w:pPr>
              <w:spacing w:after="0"/>
              <w:rPr>
                <w:sz w:val="15"/>
                <w:szCs w:val="15"/>
                <w:color w:val="auto"/>
              </w:rPr>
            </w:pPr>
          </w:p>
        </w:tc>
      </w:tr>
      <w:tr>
        <w:trPr>
          <w:trHeight w:val="182"/>
        </w:trPr>
        <w:tc>
          <w:tcPr>
            <w:tcW w:w="60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700" w:type="dxa"/>
            <w:vAlign w:val="bottom"/>
            <w:tcBorders>
              <w:bottom w:val="single" w:sz="8" w:color="auto"/>
            </w:tcBorders>
          </w:tcPr>
          <w:p>
            <w:pPr>
              <w:spacing w:after="0"/>
              <w:rPr>
                <w:sz w:val="15"/>
                <w:szCs w:val="15"/>
                <w:color w:val="auto"/>
              </w:rPr>
            </w:pPr>
          </w:p>
        </w:tc>
      </w:tr>
      <w:tr>
        <w:trPr>
          <w:trHeight w:val="210"/>
        </w:trPr>
        <w:tc>
          <w:tcPr>
            <w:tcW w:w="60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Federal Statutory Tax Rate</w:t>
            </w:r>
          </w:p>
        </w:tc>
        <w:tc>
          <w:tcPr>
            <w:tcW w:w="1640" w:type="dxa"/>
            <w:vAlign w:val="bottom"/>
            <w:tcBorders>
              <w:top w:val="single" w:sz="8" w:color="auto"/>
            </w:tcBorders>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(31,362)</w:t>
            </w: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22"/>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taxes, net of federal tax benefit *</w:t>
            </w:r>
          </w:p>
        </w:tc>
        <w:tc>
          <w:tcPr>
            <w:tcW w:w="16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w:t>
            </w:r>
          </w:p>
        </w:tc>
        <w:tc>
          <w:tcPr>
            <w:tcW w:w="1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R&amp;D Credits</w:t>
            </w:r>
          </w:p>
        </w:tc>
        <w:tc>
          <w:tcPr>
            <w:tcW w:w="16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(5,889)</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30,182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2"/>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Items:</w:t>
            </w:r>
          </w:p>
        </w:tc>
        <w:tc>
          <w:tcPr>
            <w:tcW w:w="16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r>
      <w:tr>
        <w:trPr>
          <w:trHeight w:val="19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2"/>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Section 162(m)</w:t>
            </w:r>
          </w:p>
        </w:tc>
        <w:tc>
          <w:tcPr>
            <w:tcW w:w="16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Permanent Items</w:t>
            </w:r>
          </w:p>
        </w:tc>
        <w:tc>
          <w:tcPr>
            <w:tcW w:w="1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6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Worldwide changes in unrecognized tax benefits</w:t>
            </w:r>
          </w:p>
        </w:tc>
        <w:tc>
          <w:tcPr>
            <w:tcW w:w="16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3"/>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640" w:type="dxa"/>
            <w:vAlign w:val="bottom"/>
            <w:tcBorders>
              <w:top w:val="single" w:sz="8" w:color="auto"/>
              <w:bottom w:val="single" w:sz="8" w:color="auto"/>
            </w:tcBorders>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21"/>
        </w:trPr>
        <w:tc>
          <w:tcPr>
            <w:tcW w:w="60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 California comprised the majority of tax effect in this category</w:t>
            </w:r>
          </w:p>
        </w:tc>
        <w:tc>
          <w:tcPr>
            <w:tcW w:w="16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pacing w:after="0" w:line="220"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is a reconciliation of the U.S. federal statutory tax rate of 21.0% to our effective tax rate for the year ended December 31, 2024 in accordance with the guidance prior to the adoption of ASU 2023-09:</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97" w:right="3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7"/>
        </w:trPr>
        <w:tc>
          <w:tcPr>
            <w:tcW w:w="7920" w:type="dxa"/>
            <w:vAlign w:val="bottom"/>
          </w:tcPr>
          <w:p>
            <w:pPr>
              <w:spacing w:after="0"/>
              <w:rPr>
                <w:sz w:val="14"/>
                <w:szCs w:val="14"/>
                <w:color w:val="auto"/>
              </w:rPr>
            </w:pPr>
          </w:p>
        </w:tc>
        <w:tc>
          <w:tcPr>
            <w:tcW w:w="3120" w:type="dxa"/>
            <w:vAlign w:val="bottom"/>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99"/>
        </w:trPr>
        <w:tc>
          <w:tcPr>
            <w:tcW w:w="7920" w:type="dxa"/>
            <w:vAlign w:val="bottom"/>
            <w:tcBorders>
              <w:bottom w:val="single" w:sz="8" w:color="CCEEFF"/>
            </w:tcBorders>
          </w:tcPr>
          <w:p>
            <w:pPr>
              <w:spacing w:after="0"/>
              <w:rPr>
                <w:sz w:val="17"/>
                <w:szCs w:val="17"/>
                <w:color w:val="auto"/>
              </w:rPr>
            </w:pPr>
          </w:p>
        </w:tc>
        <w:tc>
          <w:tcPr>
            <w:tcW w:w="3120" w:type="dxa"/>
            <w:vAlign w:val="bottom"/>
            <w:tcBorders>
              <w:bottom w:val="single" w:sz="8" w:color="auto"/>
            </w:tcBorders>
          </w:tcPr>
          <w:p>
            <w:pPr>
              <w:jc w:val="right"/>
              <w:ind w:right="137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computed at federal statutory rate</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taxes, net of federal tax benefit</w:t>
            </w: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2"/>
        </w:trPr>
        <w:tc>
          <w:tcPr>
            <w:tcW w:w="7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2"/>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business credit—federal</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2"/>
        </w:trPr>
        <w:tc>
          <w:tcPr>
            <w:tcW w:w="7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2"/>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Section 162(m)</w:t>
            </w: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2"/>
        </w:trPr>
        <w:tc>
          <w:tcPr>
            <w:tcW w:w="7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12"/>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81"/>
        </w:trPr>
        <w:tc>
          <w:tcPr>
            <w:tcW w:w="7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3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79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deferred tax assets and liabilities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operating losses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130,017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94,882</w:t>
            </w:r>
          </w:p>
        </w:tc>
        <w:tc>
          <w:tcPr>
            <w:tcW w:w="0" w:type="dxa"/>
            <w:vAlign w:val="bottom"/>
          </w:tcPr>
          <w:p>
            <w:pPr>
              <w:spacing w:after="0"/>
              <w:rPr>
                <w:sz w:val="1"/>
                <w:szCs w:val="1"/>
                <w:color w:val="auto"/>
              </w:rPr>
            </w:pPr>
          </w:p>
        </w:tc>
      </w:tr>
      <w:tr>
        <w:trPr>
          <w:trHeight w:val="19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37,740</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19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research and development</w:t>
            </w: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55,291</w:t>
            </w:r>
          </w:p>
        </w:tc>
        <w:tc>
          <w:tcPr>
            <w:tcW w:w="0" w:type="dxa"/>
            <w:vAlign w:val="bottom"/>
          </w:tcPr>
          <w:p>
            <w:pPr>
              <w:spacing w:after="0"/>
              <w:rPr>
                <w:sz w:val="1"/>
                <w:szCs w:val="1"/>
                <w:color w:val="auto"/>
              </w:rPr>
            </w:pPr>
          </w:p>
        </w:tc>
      </w:tr>
      <w:tr>
        <w:trPr>
          <w:trHeight w:val="19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liability</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0" w:type="dxa"/>
            <w:vAlign w:val="bottom"/>
          </w:tcPr>
          <w:p>
            <w:pPr>
              <w:spacing w:after="0"/>
              <w:rPr>
                <w:sz w:val="1"/>
                <w:szCs w:val="1"/>
                <w:color w:val="auto"/>
              </w:rPr>
            </w:pPr>
          </w:p>
        </w:tc>
      </w:tr>
      <w:tr>
        <w:trPr>
          <w:trHeight w:val="181"/>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234,886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204,554</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 of use asset</w:t>
            </w: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0" w:type="dxa"/>
            <w:vAlign w:val="bottom"/>
          </w:tcPr>
          <w:p>
            <w:pPr>
              <w:spacing w:after="0"/>
              <w:rPr>
                <w:sz w:val="1"/>
                <w:szCs w:val="1"/>
                <w:color w:val="auto"/>
              </w:rPr>
            </w:pPr>
          </w:p>
        </w:tc>
      </w:tr>
      <w:tr>
        <w:trPr>
          <w:trHeight w:val="181"/>
        </w:trPr>
        <w:tc>
          <w:tcPr>
            <w:tcW w:w="7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(6,056)</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229,548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198,498</w:t>
            </w:r>
          </w:p>
        </w:tc>
        <w:tc>
          <w:tcPr>
            <w:tcW w:w="0" w:type="dxa"/>
            <w:vAlign w:val="bottom"/>
          </w:tcPr>
          <w:p>
            <w:pPr>
              <w:spacing w:after="0"/>
              <w:rPr>
                <w:sz w:val="1"/>
                <w:szCs w:val="1"/>
                <w:color w:val="auto"/>
              </w:rPr>
            </w:pPr>
          </w:p>
        </w:tc>
      </w:tr>
      <w:tr>
        <w:trPr>
          <w:trHeight w:val="18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taxes</w:t>
            </w: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8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Net operating losses and tax credit carryforwards were as follows (in thousands):</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7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w w:val="99"/>
              </w:rPr>
              <w:t>Expiration Year</w:t>
            </w:r>
          </w:p>
        </w:tc>
        <w:tc>
          <w:tcPr>
            <w:tcW w:w="0" w:type="dxa"/>
            <w:vAlign w:val="bottom"/>
          </w:tcPr>
          <w:p>
            <w:pPr>
              <w:spacing w:after="0"/>
              <w:rPr>
                <w:sz w:val="1"/>
                <w:szCs w:val="1"/>
                <w:color w:val="auto"/>
              </w:rPr>
            </w:pPr>
          </w:p>
        </w:tc>
      </w:tr>
      <w:tr>
        <w:trPr>
          <w:trHeight w:val="190"/>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losses, federal (starting from January 1, 2018)</w:t>
            </w:r>
          </w:p>
        </w:tc>
        <w:tc>
          <w:tcPr>
            <w:tcW w:w="2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456,433</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Does not expire</w:t>
            </w: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losses, federal (before January 1, 2018)</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rPr>
              <w:t>2035-2037</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losses, state</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398,202</w:t>
            </w:r>
          </w:p>
        </w:tc>
        <w:tc>
          <w:tcPr>
            <w:tcW w:w="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rPr>
              <w:t>2035-2045</w:t>
            </w: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 federal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rPr>
              <w:t>2036-2045</w:t>
            </w:r>
          </w:p>
        </w:tc>
        <w:tc>
          <w:tcPr>
            <w:tcW w:w="0" w:type="dxa"/>
            <w:vAlign w:val="bottom"/>
          </w:tcPr>
          <w:p>
            <w:pPr>
              <w:spacing w:after="0"/>
              <w:rPr>
                <w:sz w:val="1"/>
                <w:szCs w:val="1"/>
                <w:color w:val="auto"/>
              </w:rPr>
            </w:pPr>
          </w:p>
        </w:tc>
      </w:tr>
      <w:tr>
        <w:trPr>
          <w:trHeight w:val="22"/>
        </w:trPr>
        <w:tc>
          <w:tcPr>
            <w:tcW w:w="7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 state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10,323</w:t>
            </w:r>
          </w:p>
        </w:tc>
        <w:tc>
          <w:tcPr>
            <w:tcW w:w="80" w:type="dxa"/>
            <w:vAlign w:val="bottom"/>
            <w:shd w:val="clear" w:color="auto" w:fill="CFF0FC"/>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Does not expire</w:t>
            </w:r>
          </w:p>
        </w:tc>
        <w:tc>
          <w:tcPr>
            <w:tcW w:w="0" w:type="dxa"/>
            <w:vAlign w:val="bottom"/>
          </w:tcPr>
          <w:p>
            <w:pPr>
              <w:spacing w:after="0"/>
              <w:rPr>
                <w:sz w:val="1"/>
                <w:szCs w:val="1"/>
                <w:color w:val="auto"/>
              </w:rPr>
            </w:pPr>
          </w:p>
        </w:tc>
      </w:tr>
      <w:tr>
        <w:trPr>
          <w:trHeight w:val="22"/>
        </w:trPr>
        <w:tc>
          <w:tcPr>
            <w:tcW w:w="7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Utilization of the net operating loss carryforwards and research credit carryforwards may be subject to an annual limitation due to the ownership percentage change limitations provided by the Internal Revenue Code (“IRC”) and similar state provisions. Annual limitations may result in the expiration of the net operating losses and tax credit carryforwards before they are utilized. The Company performed a IRC Section 382 analysis through December 31, 2025 and does not expect any previous ownership changes to result in a limitation that will reduce the total amount of net operating loss and tax credit carryforwards disclosed that can be utilized. Subsequent ownership changes may affect the limitation in future years.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1" w:right="319" w:bottom="1440" w:gutter="0" w:footer="0" w:header="0"/>
        </w:sectPr>
      </w:pPr>
    </w:p>
    <w:bookmarkStart w:id="104" w:name="page105"/>
    <w:bookmarkEnd w:id="104"/>
    <w:p>
      <w:pPr>
        <w:jc w:val="both"/>
        <w:ind w:right="40" w:firstLine="318"/>
        <w:spacing w:after="0" w:line="270"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recorded a full valuation allowance on federal and state deferred balances since management does not forecast the Company to be in a profitable position in the near future. Changes in the valuation allowance for deferred tax assets during the years ended December 31, 2025 and 2024 related primarily to the increases in net operating loss carryforwards and research and development tax credit carryforwards and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980" w:type="dxa"/>
            <w:vAlign w:val="bottom"/>
            <w:tcBorders>
              <w:bottom w:val="single" w:sz="8" w:color="auto"/>
            </w:tcBorders>
          </w:tcPr>
          <w:p>
            <w:pPr>
              <w:spacing w:after="0"/>
              <w:rPr>
                <w:sz w:val="15"/>
                <w:szCs w:val="15"/>
                <w:color w:val="auto"/>
              </w:rPr>
            </w:pPr>
          </w:p>
        </w:tc>
      </w:tr>
      <w:tr>
        <w:trPr>
          <w:trHeight w:val="182"/>
        </w:trPr>
        <w:tc>
          <w:tcPr>
            <w:tcW w:w="78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9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at the beginning of the year</w:t>
            </w:r>
          </w:p>
        </w:tc>
        <w:tc>
          <w:tcPr>
            <w:tcW w:w="98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198,498</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153,941</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recorded to income tax provision</w:t>
            </w:r>
          </w:p>
        </w:tc>
        <w:tc>
          <w:tcPr>
            <w:tcW w:w="9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44,557</w:t>
            </w: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 at the end of the year</w:t>
            </w:r>
          </w:p>
        </w:tc>
        <w:tc>
          <w:tcPr>
            <w:tcW w:w="98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229,548</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198,498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are generally subject to tax examinations for the tax years ended December 31, 2018 through December 31, 2025.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51" w:lineRule="exact"/>
        <w:rPr>
          <w:sz w:val="20"/>
          <w:szCs w:val="20"/>
          <w:color w:val="auto"/>
        </w:rPr>
      </w:pPr>
    </w:p>
    <w:p>
      <w:pPr>
        <w:jc w:val="both"/>
        <w:ind w:right="200" w:firstLine="318"/>
        <w:spacing w:after="0" w:line="270" w:lineRule="auto"/>
        <w:rPr>
          <w:sz w:val="20"/>
          <w:szCs w:val="20"/>
          <w:color w:val="auto"/>
        </w:rPr>
      </w:pPr>
      <w:r>
        <w:rPr>
          <w:rFonts w:ascii="Times New Roman" w:cs="Times New Roman" w:eastAsia="Times New Roman" w:hAnsi="Times New Roman"/>
          <w:sz w:val="14"/>
          <w:szCs w:val="14"/>
          <w:color w:val="auto"/>
        </w:rPr>
        <w:t>The entire amount of the unrecognized tax benefits would not impact the Company’s effective tax rate if recognized. The Company's accounting policy is to include interest and penalties as a component of tax expense. During the years ended December 31, 2025 and 2024,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is as follows (in thousands):</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020" w:type="dxa"/>
            <w:vAlign w:val="bottom"/>
            <w:tcBorders>
              <w:bottom w:val="single" w:sz="8" w:color="auto"/>
            </w:tcBorders>
          </w:tcPr>
          <w:p>
            <w:pPr>
              <w:spacing w:after="0"/>
              <w:rPr>
                <w:sz w:val="15"/>
                <w:szCs w:val="15"/>
                <w:color w:val="auto"/>
              </w:rPr>
            </w:pPr>
          </w:p>
        </w:tc>
      </w:tr>
      <w:tr>
        <w:trPr>
          <w:trHeight w:val="182"/>
        </w:trPr>
        <w:tc>
          <w:tcPr>
            <w:tcW w:w="76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90"/>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w:t>
            </w:r>
          </w:p>
        </w:tc>
        <w:tc>
          <w:tcPr>
            <w:tcW w:w="102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7,974</w:t>
            </w:r>
          </w:p>
        </w:tc>
      </w:tr>
      <w:tr>
        <w:trPr>
          <w:trHeight w:val="191"/>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Additions based on tax positions related to current year</w:t>
            </w:r>
          </w:p>
        </w:tc>
        <w:tc>
          <w:tcPr>
            <w:tcW w:w="10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r>
      <w:tr>
        <w:trPr>
          <w:trHeight w:val="22"/>
        </w:trPr>
        <w:tc>
          <w:tcPr>
            <w:tcW w:w="7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(Reductions) additions for tax positions of prior year</w:t>
            </w:r>
          </w:p>
        </w:tc>
        <w:tc>
          <w:tcPr>
            <w:tcW w:w="10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1"/>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020" w:type="dxa"/>
            <w:vAlign w:val="bottom"/>
            <w:tcBorders>
              <w:top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10,239</w:t>
            </w:r>
          </w:p>
        </w:tc>
      </w:tr>
      <w:tr>
        <w:trPr>
          <w:trHeight w:val="22"/>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did not make cash payment for income taxes in the years ended December 31, 2025 and 2024.</w:t>
      </w: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Segment</w:t>
      </w:r>
    </w:p>
    <w:p>
      <w:pPr>
        <w:spacing w:after="0" w:line="96" w:lineRule="exact"/>
        <w:rPr>
          <w:sz w:val="20"/>
          <w:szCs w:val="20"/>
          <w:color w:val="auto"/>
        </w:rPr>
      </w:pPr>
    </w:p>
    <w:p>
      <w:pPr>
        <w:ind w:right="220" w:firstLine="318"/>
        <w:spacing w:after="0" w:line="264" w:lineRule="auto"/>
        <w:rPr>
          <w:sz w:val="20"/>
          <w:szCs w:val="20"/>
          <w:color w:val="auto"/>
        </w:rPr>
      </w:pPr>
      <w:r>
        <w:rPr>
          <w:rFonts w:ascii="Times New Roman" w:cs="Times New Roman" w:eastAsia="Times New Roman" w:hAnsi="Times New Roman"/>
          <w:sz w:val="14"/>
          <w:szCs w:val="14"/>
          <w:color w:val="auto"/>
        </w:rPr>
        <w:t>The Company operates and manages its business as one reportable and operating segment, which is the business of developing and commercializing novel therapies for patients. The CODM reviews financial information on an aggregate basis for allocating and evaluating financial performance. The Company defines its segments based on the way in which internally reported financial information is regularly reviewed by the CODM to analyze financial performance, make decisions, and allocate resources. The CODM assesses performance for the segment and decides how to allocate resources based on net loss which is also reported on the Statement of Operations and Comprehensive Loss as consolidated net loss.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All long-lived assets are maintained in the United States of America.</w:t>
      </w:r>
    </w:p>
    <w:p>
      <w:pPr>
        <w:spacing w:after="0" w:line="94"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Our CODM is regularly provided with more detailed expense information than what is included in our Statement of Operations and Comprehensive Loss. The table below shows a reconciliation of the Company’s net loss, including the significant expense categories regularly provided to and reviewed by the CODM, as computed under U.S. GAAP to the Company’s total net loss in the statements of operations (in thousands)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5" w:name="page106"/>
    <w:bookmarkEnd w:id="105"/>
    <w:tbl>
      <w:tblPr>
        <w:tblLayout w:type="fixed"/>
        <w:tblInd w:w="320" w:type="dxa"/>
        <w:tblCellMar>
          <w:top w:w="0" w:type="dxa"/>
          <w:left w:w="0" w:type="dxa"/>
          <w:bottom w:w="0" w:type="dxa"/>
          <w:right w:w="0" w:type="dxa"/>
        </w:tblCellMar>
      </w:tblPr>
      <w:tr>
        <w:trPr>
          <w:trHeight w:val="170"/>
        </w:trPr>
        <w:tc>
          <w:tcPr>
            <w:tcW w:w="7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60" w:type="dxa"/>
            <w:vAlign w:val="bottom"/>
            <w:tcBorders>
              <w:bottom w:val="single" w:sz="8" w:color="auto"/>
            </w:tcBorders>
          </w:tcPr>
          <w:p>
            <w:pPr>
              <w:spacing w:after="0"/>
              <w:rPr>
                <w:sz w:val="14"/>
                <w:szCs w:val="14"/>
                <w:color w:val="auto"/>
              </w:rPr>
            </w:pPr>
          </w:p>
        </w:tc>
      </w:tr>
      <w:tr>
        <w:trPr>
          <w:trHeight w:val="161"/>
        </w:trPr>
        <w:tc>
          <w:tcPr>
            <w:tcW w:w="75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Bexotegrast - clinical trial and outside service third party contracting costs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86,365</w:t>
            </w:r>
          </w:p>
        </w:tc>
      </w:tr>
      <w:tr>
        <w:trPr>
          <w:trHeight w:val="180"/>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Employee-related expenses - research and development (excluding stock-based compensation)</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35,489</w:t>
            </w:r>
          </w:p>
        </w:tc>
      </w:tr>
      <w:tr>
        <w:trPr>
          <w:trHeight w:val="18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 costs (excluding stock-based compensation)</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35,537</w:t>
            </w:r>
          </w:p>
        </w:tc>
      </w:tr>
      <w:tr>
        <w:trPr>
          <w:trHeight w:val="180"/>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segment items</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51,449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70,974</w:t>
            </w:r>
          </w:p>
        </w:tc>
      </w:tr>
      <w:tr>
        <w:trPr>
          <w:trHeight w:val="171"/>
        </w:trPr>
        <w:tc>
          <w:tcPr>
            <w:tcW w:w="7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Segment loss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156,373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228,365</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segment loss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 expense, net</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(21,085)</w:t>
            </w: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w:t>
            </w: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5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149,344</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210,304</w:t>
            </w:r>
          </w:p>
        </w:tc>
      </w:tr>
      <w:tr>
        <w:trPr>
          <w:trHeight w:val="20"/>
        </w:trPr>
        <w:tc>
          <w:tcPr>
            <w:tcW w:w="7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Other segment items include total stock-based compensation and research and development costs related to other pipeline programs and other non-program costs (excluding employee-related expenses).</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Commitments and Contingencies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Commitments</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6"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us is required to determine both probability and the estimated amount. Management is currently not aware of any legal matters that could have a material adverse effect on our financial position, results of operations or cash flows.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96"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Leases</w:t>
      </w:r>
    </w:p>
    <w:p>
      <w:pPr>
        <w:spacing w:after="0" w:line="96" w:lineRule="exact"/>
        <w:rPr>
          <w:sz w:val="20"/>
          <w:szCs w:val="20"/>
          <w:color w:val="auto"/>
        </w:rPr>
      </w:pPr>
    </w:p>
    <w:p>
      <w:pPr>
        <w:jc w:val="both"/>
        <w:ind w:right="60" w:firstLine="318"/>
        <w:spacing w:after="0" w:line="261" w:lineRule="auto"/>
        <w:rPr>
          <w:sz w:val="20"/>
          <w:szCs w:val="20"/>
          <w:color w:val="auto"/>
        </w:rPr>
      </w:pPr>
      <w:r>
        <w:rPr>
          <w:rFonts w:ascii="Times New Roman" w:cs="Times New Roman" w:eastAsia="Times New Roman" w:hAnsi="Times New Roman"/>
          <w:sz w:val="14"/>
          <w:szCs w:val="14"/>
          <w:color w:val="auto"/>
        </w:rPr>
        <w:t>On September 28, 2023, the Company entered into a lease agreement for premises consisting of approximately 100,904 square feet of office and laboratory space located at Oyster Point Blvd, South San Francisco, California (the "Oyster Point Lease"), which is being used as a single unified Company headquarters. The lease term of approximately seven years started in the second quarter of 2024 when the Landlord substantially completed tenant improvements, and may be extended for a period of eight years at then prevailing market rates for a comparable property. Total future lease payments are approximately $38.3 million which represent payments due for the initial term of the lease. We excluded extension options that are not reasonably certain to be exercised from our lease terms. Our lease payments consist primarily of fixed rental payments for the right to use the underlying leased assets over the lease term. Additionally, the Company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provided a letter of credit to the Landlord in the amount of $1.4 million in connection with the Oyster Point Lease, which is classified as restricted cash as of December 31, 2025.</w:t>
      </w:r>
    </w:p>
    <w:p>
      <w:pPr>
        <w:spacing w:after="0" w:line="94"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Though the Oyster Point Lease is accounted for as a single contract, the office space was occupied in March 2024 while the laboratory space was occupied in June 2024. Accordingly, the Company measured and allocated consideration to each lease component. Upon commencement of each lease component the Company recognized an aggregate right-of-use asset ("ROU") and lease liability of $23.7 million and $6.1 million during the quarters ended March 31, 2024 and June 30, 2024, respectively.</w:t>
      </w:r>
    </w:p>
    <w:p>
      <w:pPr>
        <w:spacing w:after="0" w:line="51" w:lineRule="exact"/>
        <w:rPr>
          <w:sz w:val="20"/>
          <w:szCs w:val="20"/>
          <w:color w:val="auto"/>
        </w:rPr>
      </w:pPr>
    </w:p>
    <w:p>
      <w:pPr>
        <w:jc w:val="both"/>
        <w:ind w:right="100" w:firstLine="318"/>
        <w:spacing w:after="0" w:line="264" w:lineRule="auto"/>
        <w:rPr>
          <w:sz w:val="20"/>
          <w:szCs w:val="20"/>
          <w:color w:val="auto"/>
        </w:rPr>
      </w:pPr>
      <w:r>
        <w:rPr>
          <w:rFonts w:ascii="Times New Roman" w:cs="Times New Roman" w:eastAsia="Times New Roman" w:hAnsi="Times New Roman"/>
          <w:sz w:val="14"/>
          <w:szCs w:val="14"/>
          <w:color w:val="auto"/>
        </w:rPr>
        <w:t>Operating lease ROU assets and liabilities on our balance sheets represent the present value of our remaining lease payments over the remaining lease terms. We use our incremental borrowing rate to calculate the present value of our lease payments, as the implicit rates in our leases are not readily determinable. Operating lease liabilities are based on the net present value of the remaining lease payments over the remaining lease term. In determining the present value of lease payments, the Company used its incremental borrowing rate based on the information available at the date of the commencement of the new lease.</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undiscounted future non-cancellable lease payments of the Company's operating lease liability as of December 31, 2025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0" w:type="dxa"/>
            <w:vAlign w:val="bottom"/>
          </w:tcPr>
          <w:p>
            <w:pPr>
              <w:spacing w:after="0"/>
              <w:rPr>
                <w:sz w:val="1"/>
                <w:szCs w:val="1"/>
                <w:color w:val="auto"/>
              </w:rPr>
            </w:pPr>
          </w:p>
        </w:tc>
      </w:tr>
      <w:tr>
        <w:trPr>
          <w:trHeight w:val="188"/>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112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0" w:type="dxa"/>
            <w:vAlign w:val="bottom"/>
          </w:tcPr>
          <w:p>
            <w:pPr>
              <w:spacing w:after="0"/>
              <w:rPr>
                <w:sz w:val="1"/>
                <w:szCs w:val="1"/>
                <w:color w:val="auto"/>
              </w:rPr>
            </w:pPr>
          </w:p>
        </w:tc>
      </w:tr>
      <w:tr>
        <w:trPr>
          <w:trHeight w:val="180"/>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w:t>
            </w:r>
          </w:p>
        </w:tc>
        <w:tc>
          <w:tcPr>
            <w:tcW w:w="0" w:type="dxa"/>
            <w:vAlign w:val="bottom"/>
          </w:tcPr>
          <w:p>
            <w:pPr>
              <w:spacing w:after="0"/>
              <w:rPr>
                <w:sz w:val="1"/>
                <w:szCs w:val="1"/>
                <w:color w:val="auto"/>
              </w:rPr>
            </w:pPr>
          </w:p>
        </w:tc>
      </w:tr>
      <w:tr>
        <w:trPr>
          <w:trHeight w:val="180"/>
        </w:trPr>
        <w:tc>
          <w:tcPr>
            <w:tcW w:w="7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2029</w:t>
            </w: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8,128</w:t>
            </w:r>
          </w:p>
        </w:tc>
        <w:tc>
          <w:tcPr>
            <w:tcW w:w="0" w:type="dxa"/>
            <w:vAlign w:val="bottom"/>
          </w:tcPr>
          <w:p>
            <w:pPr>
              <w:spacing w:after="0"/>
              <w:rPr>
                <w:sz w:val="1"/>
                <w:szCs w:val="1"/>
                <w:color w:val="auto"/>
              </w:rPr>
            </w:pPr>
          </w:p>
        </w:tc>
      </w:tr>
      <w:tr>
        <w:trPr>
          <w:trHeight w:val="180"/>
        </w:trPr>
        <w:tc>
          <w:tcPr>
            <w:tcW w:w="8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w:t>
            </w:r>
          </w:p>
        </w:tc>
        <w:tc>
          <w:tcPr>
            <w:tcW w:w="0" w:type="dxa"/>
            <w:vAlign w:val="bottom"/>
          </w:tcPr>
          <w:p>
            <w:pPr>
              <w:spacing w:after="0"/>
              <w:rPr>
                <w:sz w:val="1"/>
                <w:szCs w:val="1"/>
                <w:color w:val="auto"/>
              </w:rPr>
            </w:pPr>
          </w:p>
        </w:tc>
      </w:tr>
      <w:tr>
        <w:trPr>
          <w:trHeight w:val="171"/>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38,260</w:t>
            </w:r>
          </w:p>
        </w:tc>
        <w:tc>
          <w:tcPr>
            <w:tcW w:w="0" w:type="dxa"/>
            <w:vAlign w:val="bottom"/>
          </w:tcPr>
          <w:p>
            <w:pPr>
              <w:spacing w:after="0"/>
              <w:rPr>
                <w:sz w:val="1"/>
                <w:szCs w:val="1"/>
                <w:color w:val="auto"/>
              </w:rPr>
            </w:pPr>
          </w:p>
        </w:tc>
      </w:tr>
      <w:tr>
        <w:trPr>
          <w:trHeight w:val="212"/>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Present value discount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0" w:type="dxa"/>
            <w:vAlign w:val="bottom"/>
          </w:tcPr>
          <w:p>
            <w:pPr>
              <w:spacing w:after="0"/>
              <w:rPr>
                <w:sz w:val="1"/>
                <w:szCs w:val="1"/>
                <w:color w:val="auto"/>
              </w:rPr>
            </w:pPr>
          </w:p>
        </w:tc>
      </w:tr>
      <w:tr>
        <w:trPr>
          <w:trHeight w:val="171"/>
        </w:trPr>
        <w:tc>
          <w:tcPr>
            <w:tcW w:w="8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discounted lease payments</w:t>
            </w: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29,105</w:t>
            </w:r>
          </w:p>
        </w:tc>
        <w:tc>
          <w:tcPr>
            <w:tcW w:w="0" w:type="dxa"/>
            <w:vAlign w:val="bottom"/>
          </w:tcPr>
          <w:p>
            <w:pPr>
              <w:spacing w:after="0"/>
              <w:rPr>
                <w:sz w:val="1"/>
                <w:szCs w:val="1"/>
                <w:color w:val="auto"/>
              </w:rPr>
            </w:pPr>
          </w:p>
        </w:tc>
      </w:tr>
      <w:tr>
        <w:trPr>
          <w:trHeight w:val="171"/>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operating lease liabilities</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8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non-current operating lease liabilities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27,658</w:t>
            </w:r>
          </w:p>
        </w:tc>
        <w:tc>
          <w:tcPr>
            <w:tcW w:w="0" w:type="dxa"/>
            <w:vAlign w:val="bottom"/>
          </w:tcPr>
          <w:p>
            <w:pPr>
              <w:spacing w:after="0"/>
              <w:rPr>
                <w:sz w:val="1"/>
                <w:szCs w:val="1"/>
                <w:color w:val="auto"/>
              </w:rPr>
            </w:pPr>
          </w:p>
        </w:tc>
      </w:tr>
      <w:tr>
        <w:trPr>
          <w:trHeight w:val="171"/>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lease liability</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29,105</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The weighted-average remaining lease terms and discount rates related to the Company's operating leases were as follows:</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8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117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61"/>
        </w:trPr>
        <w:tc>
          <w:tcPr>
            <w:tcW w:w="77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11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12"/>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60" w:firstLine="318"/>
        <w:spacing w:after="0" w:line="287" w:lineRule="auto"/>
        <w:rPr>
          <w:sz w:val="20"/>
          <w:szCs w:val="20"/>
          <w:color w:val="auto"/>
        </w:rPr>
      </w:pPr>
      <w:r>
        <w:rPr>
          <w:rFonts w:ascii="Times New Roman" w:cs="Times New Roman" w:eastAsia="Times New Roman" w:hAnsi="Times New Roman"/>
          <w:sz w:val="14"/>
          <w:szCs w:val="14"/>
          <w:color w:val="auto"/>
        </w:rPr>
        <w:t>Variable lease costs comprise primarily of the Company's proportionate share of operating expenses, property taxes, and insurance. Short-term lease expense and variable lease payments recorded in operating expenses were immaterial for the years ended December 31, 2025 and 2024. Lease expenses are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180" w:type="dxa"/>
            <w:vAlign w:val="bottom"/>
            <w:tcBorders>
              <w:bottom w:val="single" w:sz="8" w:color="auto"/>
            </w:tcBorders>
          </w:tcPr>
          <w:p>
            <w:pPr>
              <w:spacing w:after="0"/>
              <w:rPr>
                <w:sz w:val="14"/>
                <w:szCs w:val="14"/>
                <w:color w:val="auto"/>
              </w:rPr>
            </w:pPr>
          </w:p>
        </w:tc>
      </w:tr>
      <w:tr>
        <w:trPr>
          <w:trHeight w:val="161"/>
        </w:trPr>
        <w:tc>
          <w:tcPr>
            <w:tcW w:w="75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118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5,756</w:t>
            </w:r>
          </w:p>
        </w:tc>
      </w:tr>
      <w:tr>
        <w:trPr>
          <w:trHeight w:val="18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variable costs</w:t>
            </w: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w:t>
            </w:r>
          </w:p>
        </w:tc>
      </w:tr>
      <w:tr>
        <w:trPr>
          <w:trHeight w:val="17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expense</w:t>
            </w:r>
          </w:p>
        </w:tc>
        <w:tc>
          <w:tcPr>
            <w:tcW w:w="118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Defined Contribution Plan</w:t>
      </w:r>
    </w:p>
    <w:p>
      <w:pPr>
        <w:spacing w:after="0" w:line="96"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$1.3 million, and $1.0 million during the years ended December 31, 2025, and 2024, respectively.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17. Restructuring of Operations</w:t>
      </w:r>
    </w:p>
    <w:p>
      <w:pPr>
        <w:spacing w:after="0" w:line="9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On May 1, 2025, we announced a reduction in workforce that impacted approximately 45% of our then-current employees. This restructuring plan amounted to $3.8 million inclusive of severance, retention bonus and COBRA payment, and was completed and settled in cash as of December 31, 2025. $2.8 million was recorded to research and development expenses and $1.0 million was recorded to general and administrative expenses for the year ended December 31, 2025.</w:t>
      </w:r>
    </w:p>
    <w:p>
      <w:pPr>
        <w:spacing w:after="0" w:line="51"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In December 2025, we initiated an additional restructuring plan totaling $2.5 million. The restructuring plan was completed on December 15, 2025 and the entire cost, consisting of severance and a benefits continuation payment was accrued within Accrued Compensation and Benefits as of December 31, 2025. $2.2 million was recorded to research and development expenses and $0.3 million was recorded to general and administrative expenses for the year ended December 31,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Net Loss Per Share Attributable to Common Stockholders</w:t>
      </w:r>
    </w:p>
    <w:p>
      <w:pPr>
        <w:spacing w:after="0" w:line="96" w:lineRule="exact"/>
        <w:rPr>
          <w:sz w:val="20"/>
          <w:szCs w:val="20"/>
          <w:color w:val="auto"/>
        </w:rPr>
      </w:pPr>
    </w:p>
    <w:p>
      <w:pPr>
        <w:ind w:right="220" w:firstLine="318"/>
        <w:spacing w:after="0" w:line="287" w:lineRule="auto"/>
        <w:rPr>
          <w:sz w:val="20"/>
          <w:szCs w:val="20"/>
          <w:color w:val="auto"/>
        </w:rPr>
      </w:pPr>
      <w:r>
        <w:rPr>
          <w:rFonts w:ascii="Times New Roman" w:cs="Times New Roman" w:eastAsia="Times New Roman" w:hAnsi="Times New Roman"/>
          <w:sz w:val="14"/>
          <w:szCs w:val="14"/>
          <w:color w:val="auto"/>
        </w:rPr>
        <w:t>The following common share equivalents were excluded from the computation of diluted net loss per share attributable to common stockholders for the periods presented, because including them would have been antidilutive:</w:t>
      </w:r>
    </w:p>
    <w:p>
      <w:pPr>
        <w:spacing w:after="0" w:line="7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618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7,456,066</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8,300,804</w:t>
            </w:r>
          </w:p>
        </w:tc>
      </w:tr>
      <w:tr>
        <w:trPr>
          <w:trHeight w:val="180"/>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858,247</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932,634</w:t>
            </w:r>
          </w:p>
        </w:tc>
      </w:tr>
      <w:tr>
        <w:trPr>
          <w:trHeight w:val="196"/>
        </w:trPr>
        <w:tc>
          <w:tcPr>
            <w:tcW w:w="6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8,314,313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9,233,438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Subsequent Event</w:t>
      </w:r>
    </w:p>
    <w:p>
      <w:pPr>
        <w:spacing w:after="0" w:line="96"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On March 3, 2026, the Company entered into an Amendment to Stockholder Rights Agreement to extend the expiration time of the Rights for one year from March 11, 2026 to March 11, 2027, unless the Rights are earlier redeemed, exchanged, or terminated in accordance with the terms and conditions of the Rights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in our reports under the Securities Exchange Act of 1934, as amended, or the Exchange Act, and the rules and regulations thereunder,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8" w:lineRule="exact"/>
        <w:rPr>
          <w:sz w:val="20"/>
          <w:szCs w:val="20"/>
          <w:color w:val="auto"/>
        </w:rPr>
      </w:pPr>
    </w:p>
    <w:p>
      <w:pPr>
        <w:jc w:val="both"/>
        <w:ind w:right="100" w:firstLine="318"/>
        <w:spacing w:after="0" w:line="264" w:lineRule="auto"/>
        <w:rPr>
          <w:sz w:val="20"/>
          <w:szCs w:val="20"/>
          <w:color w:val="auto"/>
        </w:rPr>
      </w:pPr>
      <w:r>
        <w:rPr>
          <w:rFonts w:ascii="Times New Roman" w:cs="Times New Roman" w:eastAsia="Times New Roman" w:hAnsi="Times New Roman"/>
          <w:sz w:val="14"/>
          <w:szCs w:val="14"/>
          <w:color w:val="auto"/>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December 31, 2025. Based on such evaluation, our Chief Executive Officer and Chief Financial Officer have concluded that, as of December 31, 2025, our disclosure controls and procedures were effective at the reasonable assurance level.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4"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preparation of financial statements for external purposes in accordance with generally accepted accounting principles and includes those policies and procedures that:</w:t>
      </w:r>
    </w:p>
    <w:p>
      <w:pPr>
        <w:spacing w:after="0" w:line="94" w:lineRule="exact"/>
        <w:rPr>
          <w:sz w:val="20"/>
          <w:szCs w:val="20"/>
          <w:color w:val="auto"/>
        </w:rPr>
      </w:pPr>
    </w:p>
    <w:p>
      <w:pPr>
        <w:ind w:left="520" w:hanging="197"/>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our assets;</w:t>
      </w:r>
    </w:p>
    <w:p>
      <w:pPr>
        <w:spacing w:after="0" w:line="93" w:lineRule="exact"/>
        <w:rPr>
          <w:rFonts w:ascii="Times New Roman" w:cs="Times New Roman" w:eastAsia="Times New Roman" w:hAnsi="Times New Roman"/>
          <w:sz w:val="14"/>
          <w:szCs w:val="14"/>
          <w:color w:val="auto"/>
        </w:rPr>
      </w:pPr>
    </w:p>
    <w:p>
      <w:pPr>
        <w:ind w:right="80" w:firstLine="323"/>
        <w:spacing w:after="0" w:line="287" w:lineRule="auto"/>
        <w:tabs>
          <w:tab w:leader="none" w:pos="51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39" w:lineRule="exact"/>
        <w:rPr>
          <w:rFonts w:ascii="Times New Roman" w:cs="Times New Roman" w:eastAsia="Times New Roman" w:hAnsi="Times New Roman"/>
          <w:sz w:val="14"/>
          <w:szCs w:val="14"/>
          <w:color w:val="auto"/>
        </w:rPr>
      </w:pPr>
    </w:p>
    <w:p>
      <w:pPr>
        <w:ind w:right="540" w:firstLine="323"/>
        <w:spacing w:after="0" w:line="287" w:lineRule="auto"/>
        <w:tabs>
          <w:tab w:leader="none" w:pos="51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the financial statements.</w:t>
      </w:r>
    </w:p>
    <w:p>
      <w:pPr>
        <w:spacing w:after="0" w:line="39"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(2013)” issued by the Committee of Sponsoring Organizations of the Treadway Commission (COSO). Our management concluded that our internal control over financial reporting was effective as of December 31,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Effectiveness of Controls and Procedures and Internal Control over Financial Reporting</w:t>
      </w:r>
    </w:p>
    <w:p>
      <w:pPr>
        <w:spacing w:after="0" w:line="9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ind w:right="360" w:firstLine="318"/>
        <w:spacing w:after="0" w:line="270" w:lineRule="auto"/>
        <w:rPr>
          <w:sz w:val="20"/>
          <w:szCs w:val="20"/>
          <w:color w:val="auto"/>
        </w:rPr>
      </w:pPr>
      <w:r>
        <w:rPr>
          <w:rFonts w:ascii="Times New Roman" w:cs="Times New Roman" w:eastAsia="Times New Roman" w:hAnsi="Times New Roman"/>
          <w:sz w:val="14"/>
          <w:szCs w:val="14"/>
          <w:color w:val="auto"/>
        </w:rPr>
        <w:t>We continuously seek to improve the efficiency and effectiveness of our internal controls. This results in refinements to processes throughout our company. There were no changes in our internal controls over financial reporting identified in connection with the evaluation required by Rule 13a-15(d) and 15d-15(d) of the Exchange Act that occurred during the quarter ended December 31, 2025 that have materially affected, or are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10b5-1 Trading Arrangements</w:t>
      </w:r>
    </w:p>
    <w:p>
      <w:pPr>
        <w:spacing w:after="0" w:line="94" w:lineRule="exact"/>
        <w:rPr>
          <w:sz w:val="20"/>
          <w:szCs w:val="20"/>
          <w:color w:val="auto"/>
        </w:rPr>
      </w:pPr>
    </w:p>
    <w:p>
      <w:pPr>
        <w:ind w:right="320" w:firstLine="318"/>
        <w:spacing w:after="0" w:line="287" w:lineRule="auto"/>
        <w:rPr>
          <w:sz w:val="20"/>
          <w:szCs w:val="20"/>
          <w:color w:val="auto"/>
        </w:rPr>
      </w:pPr>
      <w:r>
        <w:rPr>
          <w:rFonts w:ascii="Times New Roman" w:cs="Times New Roman" w:eastAsia="Times New Roman" w:hAnsi="Times New Roman"/>
          <w:sz w:val="14"/>
          <w:szCs w:val="14"/>
          <w:color w:val="auto"/>
        </w:rPr>
        <w:t>None of the Company’s directors or officers adopted, modified or terminated a Rule 10b5-1 trading arrangement or a non-Rule 10b5-1 trading arrangement during the three months ended December 31, 2025, as such terms are defined under Item 408(a)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46" w:right="399" w:bottom="1440" w:gutter="0" w:footer="0" w:header="0"/>
        </w:sectPr>
      </w:pPr>
    </w:p>
    <w:bookmarkStart w:id="109" w:name="page110"/>
    <w:bookmarkEnd w:id="109"/>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ind w:right="100" w:firstLine="318"/>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will be set forth in our Proxy Statement for our 2026 Annual Meeting of Stockholders and is incorporated herein by reference. Information required by this item regarding compliance with Section 16(a) of the Exchange Act will be set forth in our Proxy Statement and is incorporated herein by reference.</w:t>
      </w:r>
    </w:p>
    <w:p>
      <w:pPr>
        <w:spacing w:after="0" w:line="39" w:lineRule="exact"/>
        <w:rPr>
          <w:sz w:val="20"/>
          <w:szCs w:val="20"/>
          <w:color w:val="auto"/>
        </w:rPr>
      </w:pPr>
    </w:p>
    <w:p>
      <w:pPr>
        <w:ind w:right="160" w:firstLine="318"/>
        <w:spacing w:after="0" w:line="264" w:lineRule="auto"/>
        <w:rPr>
          <w:sz w:val="20"/>
          <w:szCs w:val="20"/>
          <w:color w:val="auto"/>
        </w:rPr>
      </w:pPr>
      <w:r>
        <w:rPr>
          <w:rFonts w:ascii="Times New Roman" w:cs="Times New Roman" w:eastAsia="Times New Roman" w:hAnsi="Times New Roman"/>
          <w:sz w:val="14"/>
          <w:szCs w:val="14"/>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https://pliantrx.com.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w:t>
      </w:r>
    </w:p>
    <w:p>
      <w:pPr>
        <w:spacing w:after="0" w:line="56"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We have an insider trading policy governing the purchase, sale and other dispositions of our securities that applies to all personnel of Pliant and its subsidiaries, including directors, officers, employees and other covered persons. We believe that our insider trading policy is reasonably designed to promote compliance with insider trading laws, rules and regulations, as well as applicable listing standards. A copy of our insider trading policy is filed as Exhibit 19.1 to this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set forth in our Proxy Statement and is incorporated by reference.</w:t>
      </w:r>
    </w:p>
    <w:p>
      <w:pPr>
        <w:spacing w:after="0" w:line="145" w:lineRule="exact"/>
        <w:rPr>
          <w:sz w:val="20"/>
          <w:szCs w:val="20"/>
          <w:color w:val="auto"/>
        </w:rPr>
      </w:pPr>
    </w:p>
    <w:p>
      <w:pPr>
        <w:jc w:val="center"/>
        <w:ind w:right="4420"/>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jc w:val="center"/>
        <w:ind w:right="4440"/>
        <w:spacing w:after="0"/>
        <w:rPr>
          <w:sz w:val="20"/>
          <w:szCs w:val="20"/>
          <w:color w:val="auto"/>
        </w:rPr>
      </w:pPr>
      <w:r>
        <w:rPr>
          <w:rFonts w:ascii="Times New Roman" w:cs="Times New Roman" w:eastAsia="Times New Roman" w:hAnsi="Times New Roman"/>
          <w:sz w:val="14"/>
          <w:szCs w:val="14"/>
          <w:color w:val="auto"/>
        </w:rPr>
        <w:t>Information required by this item will be set forth in our Proxy Statement and is incorporated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set forth in our Proxy Statement and is incorporated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set forth in our Proxy Statement and is incorporated by reference.</w:t>
      </w: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897" w:right="479" w:bottom="1440" w:gutter="0" w:footer="0" w:header="0"/>
        </w:sectPr>
      </w:pPr>
    </w:p>
    <w:bookmarkStart w:id="110" w:name="page111"/>
    <w:bookmarkEnd w:id="11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49" w:lineRule="exact"/>
        <w:rPr>
          <w:sz w:val="20"/>
          <w:szCs w:val="20"/>
          <w:color w:val="auto"/>
        </w:rPr>
      </w:pPr>
    </w:p>
    <w:p>
      <w:pPr>
        <w:ind w:left="520" w:hanging="515"/>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part of this Annual Report:</w:t>
      </w:r>
    </w:p>
    <w:p>
      <w:pPr>
        <w:spacing w:after="0" w:line="145" w:lineRule="exact"/>
        <w:rPr>
          <w:sz w:val="20"/>
          <w:szCs w:val="20"/>
          <w:color w:val="auto"/>
        </w:rPr>
      </w:pPr>
    </w:p>
    <w:p>
      <w:pPr>
        <w:ind w:left="520" w:hanging="515"/>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See Index to Financial Statements in Part II Item 8 of this Annual Report on Form 10-K.</w:t>
      </w:r>
    </w:p>
    <w:p>
      <w:pPr>
        <w:spacing w:after="0" w:line="157" w:lineRule="exact"/>
        <w:rPr>
          <w:rFonts w:ascii="Times New Roman" w:cs="Times New Roman" w:eastAsia="Times New Roman" w:hAnsi="Times New Roman"/>
          <w:sz w:val="14"/>
          <w:szCs w:val="14"/>
          <w:color w:val="auto"/>
        </w:rPr>
      </w:pPr>
    </w:p>
    <w:p>
      <w:pPr>
        <w:ind w:left="520" w:right="360" w:hanging="515"/>
        <w:spacing w:after="0" w:line="290" w:lineRule="auto"/>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 Schedules</w:t>
      </w:r>
      <w:r>
        <w:rPr>
          <w:rFonts w:ascii="Times New Roman" w:cs="Times New Roman" w:eastAsia="Times New Roman" w:hAnsi="Times New Roman"/>
          <w:sz w:val="14"/>
          <w:szCs w:val="14"/>
          <w:color w:val="auto"/>
        </w:rPr>
        <w:t>. None. All financial statement schedules are omitted because they are not applicable, not required under the instructions, or the requested information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included in the financial statements or notes thereto.</w:t>
      </w:r>
    </w:p>
    <w:p>
      <w:pPr>
        <w:spacing w:after="0" w:line="8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r>
        <w:rPr>
          <w:rFonts w:ascii="Times New Roman" w:cs="Times New Roman" w:eastAsia="Times New Roman" w:hAnsi="Times New Roman"/>
          <w:sz w:val="14"/>
          <w:szCs w:val="14"/>
          <w:color w:val="auto"/>
        </w:rPr>
        <w:t>. The following is a list of exhibits filed with this Annual Report or incorporated herein by reference: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Exhibit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3"/>
                <w:szCs w:val="13"/>
                <w:b w:val="1"/>
                <w:bCs w:val="1"/>
                <w:color w:val="auto"/>
                <w:w w:val="98"/>
              </w:rPr>
              <w:t>Filing</w:t>
            </w: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5"/>
              </w:rPr>
              <w:t>File</w:t>
            </w:r>
          </w:p>
        </w:tc>
      </w:tr>
      <w:tr>
        <w:trPr>
          <w:trHeight w:val="196"/>
        </w:trPr>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22"/>
          </w:tcPr>
          <w:p>
            <w:pPr>
              <w:ind w:left="18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4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100" w:type="dxa"/>
            <w:vAlign w:val="bottom"/>
          </w:tcPr>
          <w:p>
            <w:pPr>
              <w:spacing w:after="0"/>
              <w:rPr>
                <w:sz w:val="17"/>
                <w:szCs w:val="17"/>
                <w:color w:val="auto"/>
              </w:rPr>
            </w:pP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7"/>
                <w:szCs w:val="17"/>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r>
      <w:tr>
        <w:trPr>
          <w:trHeight w:val="179"/>
        </w:trPr>
        <w:tc>
          <w:tcPr>
            <w:tcW w:w="180" w:type="dxa"/>
            <w:vAlign w:val="bottom"/>
            <w:gridSpan w:val="2"/>
          </w:tcPr>
          <w:p>
            <w:pPr>
              <w:ind w:left="20"/>
              <w:spacing w:after="0"/>
              <w:rPr>
                <w:rFonts w:ascii="Times New Roman" w:cs="Times New Roman" w:eastAsia="Times New Roman" w:hAnsi="Times New Roman"/>
                <w:sz w:val="13"/>
                <w:szCs w:val="13"/>
                <w:color w:val="0000FF"/>
                <w:w w:val="85"/>
              </w:rPr>
            </w:pPr>
            <w:hyperlink r:id="rId127">
              <w:r>
                <w:rPr>
                  <w:rFonts w:ascii="Times New Roman" w:cs="Times New Roman" w:eastAsia="Times New Roman" w:hAnsi="Times New Roman"/>
                  <w:sz w:val="13"/>
                  <w:szCs w:val="13"/>
                  <w:color w:val="0000FF"/>
                  <w:w w:val="85"/>
                </w:rPr>
                <w:t>3.</w:t>
              </w:r>
              <w:r>
                <w:rPr>
                  <w:rFonts w:ascii="Times New Roman" w:cs="Times New Roman" w:eastAsia="Times New Roman" w:hAnsi="Times New Roman"/>
                  <w:sz w:val="13"/>
                  <w:szCs w:val="13"/>
                  <w:u w:val="single" w:color="auto"/>
                  <w:color w:val="0000FF"/>
                  <w:w w:val="85"/>
                </w:rPr>
                <w:t>1</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Amended and Restated Certificate of Incorporation of the Registrant,</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15"/>
                <w:szCs w:val="15"/>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August 11, 2020</w:t>
            </w:r>
          </w:p>
        </w:tc>
        <w:tc>
          <w:tcPr>
            <w:tcW w:w="94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3"/>
                <w:szCs w:val="13"/>
                <w:color w:val="0000FF"/>
                <w:w w:val="95"/>
              </w:rPr>
            </w:pPr>
            <w:hyperlink r:id="rId127">
              <w:r>
                <w:rPr>
                  <w:rFonts w:ascii="Times New Roman" w:cs="Times New Roman" w:eastAsia="Times New Roman" w:hAnsi="Times New Roman"/>
                  <w:sz w:val="13"/>
                  <w:szCs w:val="13"/>
                  <w:color w:val="0000FF"/>
                  <w:w w:val="95"/>
                </w:rPr>
                <w:t>as currently in effect.</w:t>
              </w:r>
            </w:hyperlink>
          </w:p>
        </w:tc>
        <w:tc>
          <w:tcPr>
            <w:tcW w:w="248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2"/>
        </w:trPr>
        <w:tc>
          <w:tcPr>
            <w:tcW w:w="180" w:type="dxa"/>
            <w:vAlign w:val="bottom"/>
            <w:gridSpan w:val="2"/>
          </w:tcPr>
          <w:p>
            <w:pPr>
              <w:ind w:left="20"/>
              <w:spacing w:after="0"/>
              <w:rPr>
                <w:rFonts w:ascii="Times New Roman" w:cs="Times New Roman" w:eastAsia="Times New Roman" w:hAnsi="Times New Roman"/>
                <w:sz w:val="13"/>
                <w:szCs w:val="13"/>
                <w:color w:val="0000FF"/>
                <w:w w:val="85"/>
              </w:rPr>
            </w:pPr>
            <w:hyperlink r:id="rId128">
              <w:r>
                <w:rPr>
                  <w:rFonts w:ascii="Times New Roman" w:cs="Times New Roman" w:eastAsia="Times New Roman" w:hAnsi="Times New Roman"/>
                  <w:sz w:val="13"/>
                  <w:szCs w:val="13"/>
                  <w:color w:val="0000FF"/>
                  <w:w w:val="85"/>
                </w:rPr>
                <w:t>3.</w:t>
              </w:r>
              <w:r>
                <w:rPr>
                  <w:rFonts w:ascii="Times New Roman" w:cs="Times New Roman" w:eastAsia="Times New Roman" w:hAnsi="Times New Roman"/>
                  <w:sz w:val="13"/>
                  <w:szCs w:val="13"/>
                  <w:u w:val="single" w:color="auto"/>
                  <w:color w:val="0000FF"/>
                  <w:w w:val="85"/>
                </w:rPr>
                <w:t>2</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Certificate of Amendment to the Amended and Restated Certificate of</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June 9, 2025</w:t>
            </w:r>
          </w:p>
        </w:tc>
        <w:tc>
          <w:tcPr>
            <w:tcW w:w="94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3"/>
                <w:szCs w:val="13"/>
                <w:color w:val="0000FF"/>
                <w:w w:val="97"/>
              </w:rPr>
            </w:pPr>
            <w:hyperlink r:id="rId128">
              <w:r>
                <w:rPr>
                  <w:rFonts w:ascii="Times New Roman" w:cs="Times New Roman" w:eastAsia="Times New Roman" w:hAnsi="Times New Roman"/>
                  <w:sz w:val="13"/>
                  <w:szCs w:val="13"/>
                  <w:color w:val="0000FF"/>
                  <w:w w:val="97"/>
                </w:rPr>
                <w:t>Incorporation of the Registrant, as currently in effect.</w:t>
              </w:r>
            </w:hyperlink>
          </w:p>
        </w:tc>
        <w:tc>
          <w:tcPr>
            <w:tcW w:w="900" w:type="dxa"/>
            <w:vAlign w:val="bottom"/>
            <w:tcBorders>
              <w:top w:val="single" w:sz="8" w:color="0000FF"/>
            </w:tcBorders>
            <w:gridSpan w:val="15"/>
          </w:tcPr>
          <w:p>
            <w:pPr>
              <w:spacing w:after="0"/>
              <w:rPr>
                <w:sz w:val="11"/>
                <w:szCs w:val="11"/>
                <w:color w:val="auto"/>
              </w:rPr>
            </w:pPr>
          </w:p>
        </w:tc>
        <w:tc>
          <w:tcPr>
            <w:tcW w:w="60" w:type="dxa"/>
            <w:vAlign w:val="bottom"/>
            <w:gridSpan w:val="2"/>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2"/>
        </w:trPr>
        <w:tc>
          <w:tcPr>
            <w:tcW w:w="180" w:type="dxa"/>
            <w:vAlign w:val="bottom"/>
            <w:gridSpan w:val="2"/>
          </w:tcPr>
          <w:p>
            <w:pPr>
              <w:ind w:left="20"/>
              <w:spacing w:after="0"/>
              <w:rPr>
                <w:rFonts w:ascii="Times New Roman" w:cs="Times New Roman" w:eastAsia="Times New Roman" w:hAnsi="Times New Roman"/>
                <w:sz w:val="13"/>
                <w:szCs w:val="13"/>
                <w:color w:val="0000FF"/>
                <w:w w:val="85"/>
              </w:rPr>
            </w:pPr>
            <w:hyperlink r:id="rId129">
              <w:r>
                <w:rPr>
                  <w:rFonts w:ascii="Times New Roman" w:cs="Times New Roman" w:eastAsia="Times New Roman" w:hAnsi="Times New Roman"/>
                  <w:sz w:val="13"/>
                  <w:szCs w:val="13"/>
                  <w:color w:val="0000FF"/>
                  <w:w w:val="85"/>
                </w:rPr>
                <w:t>3.</w:t>
              </w:r>
              <w:r>
                <w:rPr>
                  <w:rFonts w:ascii="Times New Roman" w:cs="Times New Roman" w:eastAsia="Times New Roman" w:hAnsi="Times New Roman"/>
                  <w:sz w:val="13"/>
                  <w:szCs w:val="13"/>
                  <w:u w:val="single" w:color="auto"/>
                  <w:color w:val="0000FF"/>
                  <w:w w:val="85"/>
                </w:rPr>
                <w:t>3</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Third Amended and Restated Bylaws of the Registrant, as currently</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September 27, 2024</w:t>
            </w:r>
          </w:p>
        </w:tc>
        <w:tc>
          <w:tcPr>
            <w:tcW w:w="94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tcBorders>
              <w:top w:val="single" w:sz="8" w:color="0000FF"/>
            </w:tcBorders>
            <w:gridSpan w:val="20"/>
          </w:tcPr>
          <w:p>
            <w:pPr>
              <w:spacing w:after="0" w:line="129"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in effect.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
        </w:trPr>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2"/>
        </w:trPr>
        <w:tc>
          <w:tcPr>
            <w:tcW w:w="180" w:type="dxa"/>
            <w:vAlign w:val="bottom"/>
            <w:gridSpan w:val="2"/>
          </w:tcPr>
          <w:p>
            <w:pPr>
              <w:ind w:left="20"/>
              <w:spacing w:after="0"/>
              <w:rPr>
                <w:rFonts w:ascii="Times New Roman" w:cs="Times New Roman" w:eastAsia="Times New Roman" w:hAnsi="Times New Roman"/>
                <w:sz w:val="13"/>
                <w:szCs w:val="13"/>
                <w:color w:val="0000FF"/>
                <w:w w:val="85"/>
              </w:rPr>
            </w:pPr>
            <w:hyperlink r:id="rId131">
              <w:r>
                <w:rPr>
                  <w:rFonts w:ascii="Times New Roman" w:cs="Times New Roman" w:eastAsia="Times New Roman" w:hAnsi="Times New Roman"/>
                  <w:sz w:val="13"/>
                  <w:szCs w:val="13"/>
                  <w:color w:val="0000FF"/>
                  <w:w w:val="85"/>
                </w:rPr>
                <w:t>3.</w:t>
              </w:r>
              <w:r>
                <w:rPr>
                  <w:rFonts w:ascii="Times New Roman" w:cs="Times New Roman" w:eastAsia="Times New Roman" w:hAnsi="Times New Roman"/>
                  <w:sz w:val="13"/>
                  <w:szCs w:val="13"/>
                  <w:u w:val="single" w:color="auto"/>
                  <w:color w:val="0000FF"/>
                  <w:w w:val="85"/>
                </w:rPr>
                <w:t>4</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Certificate of Designation of Series A Junior Participating Preferred</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March 13, 2025</w:t>
            </w:r>
          </w:p>
        </w:tc>
        <w:tc>
          <w:tcPr>
            <w:tcW w:w="94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tcBorders>
              <w:top w:val="single" w:sz="8" w:color="0000FF"/>
            </w:tcBorders>
            <w:gridSpan w:val="22"/>
          </w:tcPr>
          <w:p>
            <w:pPr>
              <w:spacing w:after="0" w:line="129"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Stock</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
        </w:trPr>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2"/>
        </w:trPr>
        <w:tc>
          <w:tcPr>
            <w:tcW w:w="180" w:type="dxa"/>
            <w:vAlign w:val="bottom"/>
            <w:gridSpan w:val="2"/>
          </w:tcPr>
          <w:p>
            <w:pPr>
              <w:ind w:left="20"/>
              <w:spacing w:after="0"/>
              <w:rPr>
                <w:rFonts w:ascii="Times New Roman" w:cs="Times New Roman" w:eastAsia="Times New Roman" w:hAnsi="Times New Roman"/>
                <w:sz w:val="13"/>
                <w:szCs w:val="13"/>
                <w:color w:val="0000FF"/>
                <w:w w:val="85"/>
              </w:rPr>
            </w:pPr>
            <w:hyperlink r:id="rId132">
              <w:r>
                <w:rPr>
                  <w:rFonts w:ascii="Times New Roman" w:cs="Times New Roman" w:eastAsia="Times New Roman" w:hAnsi="Times New Roman"/>
                  <w:sz w:val="13"/>
                  <w:szCs w:val="13"/>
                  <w:color w:val="0000FF"/>
                  <w:w w:val="85"/>
                </w:rPr>
                <w:t>4.</w:t>
              </w:r>
              <w:r>
                <w:rPr>
                  <w:rFonts w:ascii="Times New Roman" w:cs="Times New Roman" w:eastAsia="Times New Roman" w:hAnsi="Times New Roman"/>
                  <w:sz w:val="13"/>
                  <w:szCs w:val="13"/>
                  <w:u w:val="single" w:color="auto"/>
                  <w:color w:val="0000FF"/>
                  <w:w w:val="85"/>
                </w:rPr>
                <w:t>1</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Specimen Common Stock Certificate of the Registrant</w:t>
              </w:r>
            </w:hyperlink>
            <w:r>
              <w:rPr>
                <w:rFonts w:ascii="Times New Roman" w:cs="Times New Roman" w:eastAsia="Times New Roman" w:hAnsi="Times New Roman"/>
                <w:sz w:val="13"/>
                <w:szCs w:val="13"/>
                <w:color w:val="000000"/>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26, 2020</w:t>
            </w: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w w:val="85"/>
              </w:rPr>
              <w:t>4.</w:t>
            </w:r>
            <w:r>
              <w:rPr>
                <w:rFonts w:ascii="Times New Roman" w:cs="Times New Roman" w:eastAsia="Times New Roman" w:hAnsi="Times New Roman"/>
                <w:sz w:val="13"/>
                <w:szCs w:val="13"/>
                <w:u w:val="single" w:color="auto"/>
                <w:color w:val="0000FF"/>
                <w:w w:val="85"/>
              </w:rPr>
              <w:t>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29"/>
          </w:tcPr>
          <w:p>
            <w:pPr>
              <w:spacing w:after="0"/>
              <w:rPr>
                <w:sz w:val="20"/>
                <w:szCs w:val="20"/>
                <w:color w:val="auto"/>
              </w:rPr>
            </w:pPr>
            <w:r>
              <w:rPr>
                <w:rFonts w:ascii="Times New Roman" w:cs="Times New Roman" w:eastAsia="Times New Roman" w:hAnsi="Times New Roman"/>
                <w:sz w:val="13"/>
                <w:szCs w:val="13"/>
                <w:color w:val="0000FF"/>
              </w:rPr>
              <w:t>Description of the Registrant’s Securities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180" w:type="dxa"/>
            <w:vAlign w:val="bottom"/>
            <w:gridSpan w:val="2"/>
          </w:tcPr>
          <w:p>
            <w:pPr>
              <w:ind w:left="20"/>
              <w:spacing w:after="0"/>
              <w:rPr>
                <w:rFonts w:ascii="Times New Roman" w:cs="Times New Roman" w:eastAsia="Times New Roman" w:hAnsi="Times New Roman"/>
                <w:sz w:val="13"/>
                <w:szCs w:val="13"/>
                <w:color w:val="0000FF"/>
                <w:w w:val="85"/>
              </w:rPr>
            </w:pPr>
            <w:hyperlink r:id="rId133">
              <w:r>
                <w:rPr>
                  <w:rFonts w:ascii="Times New Roman" w:cs="Times New Roman" w:eastAsia="Times New Roman" w:hAnsi="Times New Roman"/>
                  <w:sz w:val="13"/>
                  <w:szCs w:val="13"/>
                  <w:color w:val="0000FF"/>
                  <w:w w:val="85"/>
                </w:rPr>
                <w:t>4.</w:t>
              </w:r>
              <w:r>
                <w:rPr>
                  <w:rFonts w:ascii="Times New Roman" w:cs="Times New Roman" w:eastAsia="Times New Roman" w:hAnsi="Times New Roman"/>
                  <w:sz w:val="13"/>
                  <w:szCs w:val="13"/>
                  <w:u w:val="single" w:color="auto"/>
                  <w:color w:val="0000FF"/>
                  <w:w w:val="85"/>
                </w:rPr>
                <w:t>3</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Stockholder Rights Agreement, dated as of March 12, 2025, by and</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8-A</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March 13, 2025</w:t>
            </w:r>
          </w:p>
        </w:tc>
        <w:tc>
          <w:tcPr>
            <w:tcW w:w="9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60" w:type="dxa"/>
            <w:vAlign w:val="bottom"/>
            <w:tcBorders>
              <w:top w:val="single" w:sz="8" w:color="0000FF"/>
              <w:bottom w:val="single" w:sz="8" w:color="0000FF"/>
            </w:tcBorders>
            <w:gridSpan w:val="19"/>
          </w:tcPr>
          <w:p>
            <w:pPr>
              <w:spacing w:after="0" w:line="129" w:lineRule="exact"/>
              <w:rPr>
                <w:rFonts w:ascii="Times New Roman" w:cs="Times New Roman" w:eastAsia="Times New Roman" w:hAnsi="Times New Roman"/>
                <w:sz w:val="13"/>
                <w:szCs w:val="13"/>
                <w:color w:val="0000FF"/>
                <w:w w:val="97"/>
              </w:rPr>
            </w:pPr>
            <w:hyperlink r:id="rId133">
              <w:r>
                <w:rPr>
                  <w:rFonts w:ascii="Times New Roman" w:cs="Times New Roman" w:eastAsia="Times New Roman" w:hAnsi="Times New Roman"/>
                  <w:sz w:val="13"/>
                  <w:szCs w:val="13"/>
                  <w:color w:val="0000FF"/>
                  <w:w w:val="97"/>
                </w:rPr>
                <w:t>between the Company and Computershare Trust Company, N.A., as</w:t>
              </w:r>
            </w:hyperlink>
          </w:p>
        </w:tc>
        <w:tc>
          <w:tcPr>
            <w:tcW w:w="40" w:type="dxa"/>
            <w:vAlign w:val="bottom"/>
            <w:tcBorders>
              <w:bottom w:val="single" w:sz="8" w:color="0000FF"/>
            </w:tcBorders>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00" w:type="dxa"/>
            <w:vAlign w:val="bottom"/>
            <w:tcBorders>
              <w:bottom w:val="single" w:sz="8" w:color="0000FF"/>
            </w:tcBorders>
            <w:gridSpan w:val="21"/>
          </w:tcPr>
          <w:p>
            <w:pPr>
              <w:spacing w:after="0" w:line="129" w:lineRule="exact"/>
              <w:rPr>
                <w:rFonts w:ascii="Times New Roman" w:cs="Times New Roman" w:eastAsia="Times New Roman" w:hAnsi="Times New Roman"/>
                <w:sz w:val="13"/>
                <w:szCs w:val="13"/>
                <w:color w:val="0000FF"/>
                <w:w w:val="95"/>
              </w:rPr>
            </w:pPr>
            <w:hyperlink r:id="rId133">
              <w:r>
                <w:rPr>
                  <w:rFonts w:ascii="Times New Roman" w:cs="Times New Roman" w:eastAsia="Times New Roman" w:hAnsi="Times New Roman"/>
                  <w:sz w:val="13"/>
                  <w:szCs w:val="13"/>
                  <w:color w:val="0000FF"/>
                  <w:w w:val="95"/>
                </w:rPr>
                <w:t>rights agent (which includes the Form of Rights Certificate as Exhibit</w:t>
              </w:r>
            </w:hyperlink>
          </w:p>
        </w:tc>
        <w:tc>
          <w:tcPr>
            <w:tcW w:w="40" w:type="dxa"/>
            <w:vAlign w:val="bottom"/>
            <w:tcBorders>
              <w:bottom w:val="single" w:sz="8" w:color="0000FF"/>
            </w:tcBorders>
            <w:gridSpan w:val="2"/>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80" w:type="dxa"/>
            <w:vAlign w:val="bottom"/>
            <w:gridSpan w:val="3"/>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80" w:type="dxa"/>
            <w:vAlign w:val="bottom"/>
            <w:gridSpan w:val="29"/>
          </w:tcPr>
          <w:p>
            <w:pPr>
              <w:spacing w:after="0" w:line="139"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B thereto)</w:t>
              </w:r>
            </w:hyperlink>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
        </w:trPr>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2"/>
        </w:trPr>
        <w:tc>
          <w:tcPr>
            <w:tcW w:w="180" w:type="dxa"/>
            <w:vAlign w:val="bottom"/>
            <w:gridSpan w:val="2"/>
          </w:tcPr>
          <w:p>
            <w:pPr>
              <w:ind w:left="20"/>
              <w:spacing w:after="0"/>
              <w:rPr>
                <w:rFonts w:ascii="Times New Roman" w:cs="Times New Roman" w:eastAsia="Times New Roman" w:hAnsi="Times New Roman"/>
                <w:sz w:val="13"/>
                <w:szCs w:val="13"/>
                <w:color w:val="0000FF"/>
                <w:w w:val="85"/>
              </w:rPr>
            </w:pPr>
            <w:hyperlink r:id="rId134">
              <w:r>
                <w:rPr>
                  <w:rFonts w:ascii="Times New Roman" w:cs="Times New Roman" w:eastAsia="Times New Roman" w:hAnsi="Times New Roman"/>
                  <w:sz w:val="13"/>
                  <w:szCs w:val="13"/>
                  <w:color w:val="0000FF"/>
                  <w:w w:val="85"/>
                </w:rPr>
                <w:t>4.</w:t>
              </w:r>
              <w:r>
                <w:rPr>
                  <w:rFonts w:ascii="Times New Roman" w:cs="Times New Roman" w:eastAsia="Times New Roman" w:hAnsi="Times New Roman"/>
                  <w:sz w:val="13"/>
                  <w:szCs w:val="13"/>
                  <w:u w:val="single" w:color="auto"/>
                  <w:color w:val="0000FF"/>
                  <w:w w:val="85"/>
                </w:rPr>
                <w:t>4</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Amendment to Stockholder Rights Agreement, dated as of March 3,</w:t>
              </w:r>
            </w:hyperlink>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March 3, 2026</w:t>
            </w:r>
          </w:p>
        </w:tc>
        <w:tc>
          <w:tcPr>
            <w:tcW w:w="94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40" w:type="dxa"/>
            <w:vAlign w:val="bottom"/>
            <w:tcBorders>
              <w:top w:val="single" w:sz="8" w:color="0000FF"/>
            </w:tcBorders>
            <w:gridSpan w:val="23"/>
          </w:tcPr>
          <w:p>
            <w:pPr>
              <w:spacing w:after="0" w:line="129"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2026, by and between the Company and Computershare Trust</w:t>
              </w:r>
            </w:hyperlink>
          </w:p>
        </w:tc>
        <w:tc>
          <w:tcPr>
            <w:tcW w:w="40" w:type="dxa"/>
            <w:vAlign w:val="bottom"/>
            <w:gridSpan w:val="2"/>
          </w:tcPr>
          <w:p>
            <w:pPr>
              <w:spacing w:after="0"/>
              <w:rPr>
                <w:sz w:val="11"/>
                <w:szCs w:val="11"/>
                <w:color w:val="auto"/>
              </w:rPr>
            </w:pPr>
          </w:p>
        </w:tc>
        <w:tc>
          <w:tcPr>
            <w:tcW w:w="100" w:type="dxa"/>
            <w:vAlign w:val="bottom"/>
            <w:gridSpan w:val="4"/>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3"/>
                <w:szCs w:val="13"/>
                <w:color w:val="0000FF"/>
                <w:w w:val="96"/>
              </w:rPr>
            </w:pPr>
            <w:hyperlink r:id="rId134">
              <w:r>
                <w:rPr>
                  <w:rFonts w:ascii="Times New Roman" w:cs="Times New Roman" w:eastAsia="Times New Roman" w:hAnsi="Times New Roman"/>
                  <w:sz w:val="13"/>
                  <w:szCs w:val="13"/>
                  <w:color w:val="0000FF"/>
                  <w:w w:val="96"/>
                </w:rPr>
                <w:t>Company, N.A., as rights agent</w:t>
              </w:r>
            </w:hyperlink>
          </w:p>
        </w:tc>
        <w:tc>
          <w:tcPr>
            <w:tcW w:w="1540" w:type="dxa"/>
            <w:vAlign w:val="bottom"/>
            <w:tcBorders>
              <w:top w:val="single" w:sz="8" w:color="0000FF"/>
            </w:tcBorders>
            <w:gridSpan w:val="7"/>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7"/>
          </w:tcPr>
          <w:p>
            <w:pPr>
              <w:spacing w:after="0"/>
              <w:rPr>
                <w:sz w:val="11"/>
                <w:szCs w:val="11"/>
                <w:color w:val="auto"/>
              </w:rPr>
            </w:pPr>
          </w:p>
        </w:tc>
        <w:tc>
          <w:tcPr>
            <w:tcW w:w="100" w:type="dxa"/>
            <w:vAlign w:val="bottom"/>
            <w:gridSpan w:val="4"/>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2"/>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hyperlink>
            <w:r>
              <w:rPr>
                <w:rFonts w:ascii="Times New Roman" w:cs="Times New Roman" w:eastAsia="Times New Roman" w:hAnsi="Times New Roman"/>
                <w:sz w:val="13"/>
                <w:szCs w:val="13"/>
                <w:color w:val="000000"/>
              </w:rPr>
              <w:t>#</w:t>
            </w:r>
          </w:p>
        </w:tc>
        <w:tc>
          <w:tcPr>
            <w:tcW w:w="120" w:type="dxa"/>
            <w:vAlign w:val="bottom"/>
          </w:tcPr>
          <w:p>
            <w:pPr>
              <w:spacing w:after="0"/>
              <w:rPr>
                <w:sz w:val="15"/>
                <w:szCs w:val="15"/>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2020 Stock Option and Incentive Plan and forms of award agreement</w:t>
              </w:r>
            </w:hyperlink>
            <w:r>
              <w:rPr>
                <w:rFonts w:ascii="Times New Roman" w:cs="Times New Roman" w:eastAsia="Times New Roman" w:hAnsi="Times New Roman"/>
                <w:sz w:val="13"/>
                <w:szCs w:val="13"/>
                <w:color w:val="000000"/>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26, 2020</w:t>
            </w:r>
          </w:p>
        </w:tc>
        <w:tc>
          <w:tcPr>
            <w:tcW w:w="940" w:type="dxa"/>
            <w:vAlign w:val="bottom"/>
          </w:tcPr>
          <w:p>
            <w:pPr>
              <w:spacing w:after="0"/>
              <w:rPr>
                <w:sz w:val="15"/>
                <w:szCs w:val="15"/>
                <w:color w:val="auto"/>
              </w:rPr>
            </w:pPr>
          </w:p>
        </w:tc>
      </w:tr>
      <w:tr>
        <w:trPr>
          <w:trHeight w:val="20"/>
        </w:trPr>
        <w:tc>
          <w:tcPr>
            <w:tcW w:w="240" w:type="dxa"/>
            <w:vAlign w:val="bottom"/>
            <w:gridSpan w:val="3"/>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7"/>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hyperlink>
            <w:r>
              <w:rPr>
                <w:rFonts w:ascii="Times New Roman" w:cs="Times New Roman" w:eastAsia="Times New Roman" w:hAnsi="Times New Roman"/>
                <w:sz w:val="13"/>
                <w:szCs w:val="13"/>
                <w:color w:val="000000"/>
              </w:rPr>
              <w:t>#</w:t>
            </w:r>
          </w:p>
        </w:tc>
        <w:tc>
          <w:tcPr>
            <w:tcW w:w="120" w:type="dxa"/>
            <w:vAlign w:val="bottom"/>
          </w:tcPr>
          <w:p>
            <w:pPr>
              <w:spacing w:after="0"/>
              <w:rPr>
                <w:sz w:val="14"/>
                <w:szCs w:val="14"/>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2015 Equity Incentive Plan and forms of award agreements</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11, 2020</w:t>
            </w:r>
          </w:p>
        </w:tc>
        <w:tc>
          <w:tcPr>
            <w:tcW w:w="9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tcBorders>
              <w:top w:val="single" w:sz="8" w:color="0000FF"/>
            </w:tcBorders>
            <w:gridSpan w:val="14"/>
          </w:tcPr>
          <w:p>
            <w:pPr>
              <w:spacing w:after="0" w:line="129"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thereunder.</w:t>
              </w:r>
            </w:hyperlink>
          </w:p>
        </w:tc>
        <w:tc>
          <w:tcPr>
            <w:tcW w:w="2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11"/>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
        </w:trPr>
        <w:tc>
          <w:tcPr>
            <w:tcW w:w="108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2"/>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w:t>
              </w:r>
            </w:hyperlink>
            <w:r>
              <w:rPr>
                <w:rFonts w:ascii="Times New Roman" w:cs="Times New Roman" w:eastAsia="Times New Roman" w:hAnsi="Times New Roman"/>
                <w:sz w:val="13"/>
                <w:szCs w:val="13"/>
                <w:color w:val="000000"/>
              </w:rPr>
              <w:t>#</w:t>
            </w:r>
          </w:p>
        </w:tc>
        <w:tc>
          <w:tcPr>
            <w:tcW w:w="120" w:type="dxa"/>
            <w:vAlign w:val="bottom"/>
          </w:tcPr>
          <w:p>
            <w:pPr>
              <w:spacing w:after="0"/>
              <w:rPr>
                <w:sz w:val="15"/>
                <w:szCs w:val="15"/>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2020 Employee Stock Purchase Plan.</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26, 2020</w:t>
            </w:r>
          </w:p>
        </w:tc>
        <w:tc>
          <w:tcPr>
            <w:tcW w:w="940" w:type="dxa"/>
            <w:vAlign w:val="bottom"/>
          </w:tcPr>
          <w:p>
            <w:pPr>
              <w:spacing w:after="0"/>
              <w:rPr>
                <w:sz w:val="15"/>
                <w:szCs w:val="15"/>
                <w:color w:val="auto"/>
              </w:rPr>
            </w:pPr>
          </w:p>
        </w:tc>
      </w:tr>
      <w:tr>
        <w:trPr>
          <w:trHeight w:val="20"/>
        </w:trPr>
        <w:tc>
          <w:tcPr>
            <w:tcW w:w="10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4</w:t>
              </w:r>
            </w:hyperlink>
            <w:r>
              <w:rPr>
                <w:rFonts w:ascii="Times New Roman" w:cs="Times New Roman" w:eastAsia="Times New Roman" w:hAnsi="Times New Roman"/>
                <w:sz w:val="13"/>
                <w:szCs w:val="13"/>
                <w:color w:val="000000"/>
              </w:rPr>
              <w:t>#</w:t>
            </w:r>
          </w:p>
        </w:tc>
        <w:tc>
          <w:tcPr>
            <w:tcW w:w="120" w:type="dxa"/>
            <w:vAlign w:val="bottom"/>
          </w:tcPr>
          <w:p>
            <w:pPr>
              <w:spacing w:after="0"/>
              <w:rPr>
                <w:sz w:val="14"/>
                <w:szCs w:val="14"/>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Senior Executive Cash Incentive Bonus Plan.</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11, 2020</w:t>
            </w:r>
          </w:p>
        </w:tc>
        <w:tc>
          <w:tcPr>
            <w:tcW w:w="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5</w:t>
              </w:r>
            </w:hyperlink>
            <w:r>
              <w:rPr>
                <w:rFonts w:ascii="Times New Roman" w:cs="Times New Roman" w:eastAsia="Times New Roman" w:hAnsi="Times New Roman"/>
                <w:sz w:val="13"/>
                <w:szCs w:val="13"/>
                <w:color w:val="000000"/>
              </w:rPr>
              <w:t>#</w:t>
            </w:r>
          </w:p>
        </w:tc>
        <w:tc>
          <w:tcPr>
            <w:tcW w:w="120" w:type="dxa"/>
            <w:vAlign w:val="bottom"/>
          </w:tcPr>
          <w:p>
            <w:pPr>
              <w:spacing w:after="0"/>
              <w:rPr>
                <w:sz w:val="14"/>
                <w:szCs w:val="14"/>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Executive Severance Plan.</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10.7</w:t>
            </w: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11, 2020</w:t>
            </w:r>
          </w:p>
        </w:tc>
        <w:tc>
          <w:tcPr>
            <w:tcW w:w="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6</w:t>
              </w:r>
            </w:hyperlink>
            <w:r>
              <w:rPr>
                <w:rFonts w:ascii="Times New Roman" w:cs="Times New Roman" w:eastAsia="Times New Roman" w:hAnsi="Times New Roman"/>
                <w:sz w:val="13"/>
                <w:szCs w:val="13"/>
                <w:color w:val="000000"/>
              </w:rPr>
              <w:t>#</w:t>
            </w:r>
          </w:p>
        </w:tc>
        <w:tc>
          <w:tcPr>
            <w:tcW w:w="120" w:type="dxa"/>
            <w:vAlign w:val="bottom"/>
          </w:tcPr>
          <w:p>
            <w:pPr>
              <w:spacing w:after="0"/>
              <w:rPr>
                <w:sz w:val="14"/>
                <w:szCs w:val="14"/>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Offer Letter, by and between the Registrant and Keith Cummings,</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10.10</w:t>
            </w: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11, 2020</w:t>
            </w:r>
          </w:p>
        </w:tc>
        <w:tc>
          <w:tcPr>
            <w:tcW w:w="9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3"/>
                <w:szCs w:val="13"/>
                <w:color w:val="0000FF"/>
                <w:w w:val="97"/>
              </w:rPr>
            </w:pPr>
            <w:hyperlink r:id="rId140">
              <w:r>
                <w:rPr>
                  <w:rFonts w:ascii="Times New Roman" w:cs="Times New Roman" w:eastAsia="Times New Roman" w:hAnsi="Times New Roman"/>
                  <w:sz w:val="13"/>
                  <w:szCs w:val="13"/>
                  <w:color w:val="0000FF"/>
                  <w:w w:val="97"/>
                </w:rPr>
                <w:t>M.D., MBA, dated November 29, 2018.</w:t>
              </w:r>
            </w:hyperlink>
          </w:p>
        </w:tc>
        <w:tc>
          <w:tcPr>
            <w:tcW w:w="1280" w:type="dxa"/>
            <w:vAlign w:val="bottom"/>
            <w:tcBorders>
              <w:top w:val="single" w:sz="8" w:color="0000FF"/>
            </w:tcBorders>
            <w:gridSpan w:val="7"/>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11"/>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91"/>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7</w:t>
              </w:r>
            </w:hyperlink>
            <w:r>
              <w:rPr>
                <w:rFonts w:ascii="Times New Roman" w:cs="Times New Roman" w:eastAsia="Times New Roman" w:hAnsi="Times New Roman"/>
                <w:sz w:val="13"/>
                <w:szCs w:val="13"/>
                <w:color w:val="000000"/>
              </w:rPr>
              <w:t>#</w:t>
            </w:r>
          </w:p>
        </w:tc>
        <w:tc>
          <w:tcPr>
            <w:tcW w:w="120" w:type="dxa"/>
            <w:vAlign w:val="bottom"/>
          </w:tcPr>
          <w:p>
            <w:pPr>
              <w:spacing w:after="0"/>
              <w:rPr>
                <w:sz w:val="16"/>
                <w:szCs w:val="16"/>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Offer Letter, by and between the Registrant and Bernard Coulie,</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10.8</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11, 2020</w:t>
            </w:r>
          </w:p>
        </w:tc>
        <w:tc>
          <w:tcPr>
            <w:tcW w:w="940" w:type="dxa"/>
            <w:vAlign w:val="bottom"/>
          </w:tcPr>
          <w:p>
            <w:pPr>
              <w:spacing w:after="0"/>
              <w:rPr>
                <w:sz w:val="16"/>
                <w:szCs w:val="16"/>
                <w:color w:val="auto"/>
              </w:rPr>
            </w:pPr>
          </w:p>
        </w:tc>
      </w:tr>
      <w:tr>
        <w:trPr>
          <w:trHeight w:val="87"/>
        </w:trPr>
        <w:tc>
          <w:tcPr>
            <w:tcW w:w="20" w:type="dxa"/>
            <w:vAlign w:val="bottom"/>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Borders>
              <w:top w:val="single" w:sz="8" w:color="0000FF"/>
            </w:tcBorders>
            <w:gridSpan w:val="16"/>
          </w:tcPr>
          <w:p>
            <w:pPr>
              <w:spacing w:after="0" w:line="88" w:lineRule="exact"/>
              <w:rPr>
                <w:rFonts w:ascii="Times New Roman" w:cs="Times New Roman" w:eastAsia="Times New Roman" w:hAnsi="Times New Roman"/>
                <w:sz w:val="10"/>
                <w:szCs w:val="10"/>
                <w:color w:val="0000FF"/>
              </w:rPr>
            </w:pPr>
            <w:hyperlink r:id="rId141">
              <w:r>
                <w:rPr>
                  <w:rFonts w:ascii="Times New Roman" w:cs="Times New Roman" w:eastAsia="Times New Roman" w:hAnsi="Times New Roman"/>
                  <w:sz w:val="10"/>
                  <w:szCs w:val="10"/>
                  <w:color w:val="0000FF"/>
                </w:rPr>
                <w:t>M.D., Ph.D., dated October 12, 2015.</w:t>
              </w:r>
            </w:hyperlink>
          </w:p>
        </w:tc>
        <w:tc>
          <w:tcPr>
            <w:tcW w:w="180" w:type="dxa"/>
            <w:vAlign w:val="bottom"/>
            <w:gridSpan w:val="2"/>
          </w:tcPr>
          <w:p>
            <w:pPr>
              <w:spacing w:after="0"/>
              <w:rPr>
                <w:sz w:val="7"/>
                <w:szCs w:val="7"/>
                <w:color w:val="auto"/>
              </w:rPr>
            </w:pPr>
          </w:p>
        </w:tc>
        <w:tc>
          <w:tcPr>
            <w:tcW w:w="240" w:type="dxa"/>
            <w:vAlign w:val="bottom"/>
            <w:gridSpan w:val="11"/>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0"/>
        </w:trPr>
        <w:tc>
          <w:tcPr>
            <w:tcW w:w="10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8</w:t>
              </w:r>
            </w:hyperlink>
            <w:r>
              <w:rPr>
                <w:rFonts w:ascii="Times New Roman" w:cs="Times New Roman" w:eastAsia="Times New Roman" w:hAnsi="Times New Roman"/>
                <w:sz w:val="13"/>
                <w:szCs w:val="13"/>
                <w:color w:val="000000"/>
              </w:rPr>
              <w:t>#</w:t>
            </w:r>
          </w:p>
        </w:tc>
        <w:tc>
          <w:tcPr>
            <w:tcW w:w="120" w:type="dxa"/>
            <w:vAlign w:val="bottom"/>
          </w:tcPr>
          <w:p>
            <w:pPr>
              <w:spacing w:after="0"/>
              <w:rPr>
                <w:sz w:val="13"/>
                <w:szCs w:val="13"/>
                <w:color w:val="auto"/>
              </w:rPr>
            </w:pPr>
          </w:p>
        </w:tc>
        <w:tc>
          <w:tcPr>
            <w:tcW w:w="3680" w:type="dxa"/>
            <w:vAlign w:val="bottom"/>
            <w:gridSpan w:val="29"/>
          </w:tcPr>
          <w:p>
            <w:pPr>
              <w:spacing w:after="0"/>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Offer Letter, by and between the Registrant and Lily Cheung, dated</w:t>
              </w:r>
            </w:hyperlink>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10.21</w:t>
            </w:r>
          </w:p>
        </w:tc>
        <w:tc>
          <w:tcPr>
            <w:tcW w:w="10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March 9, 2023</w:t>
            </w:r>
          </w:p>
        </w:tc>
        <w:tc>
          <w:tcPr>
            <w:tcW w:w="94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tcBorders>
              <w:top w:val="single" w:sz="8" w:color="0000FF"/>
            </w:tcBorders>
            <w:gridSpan w:val="18"/>
          </w:tcPr>
          <w:p>
            <w:pPr>
              <w:spacing w:after="0" w:line="129"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December 21, 2022.</w:t>
              </w:r>
            </w:hyperlink>
          </w:p>
        </w:tc>
        <w:tc>
          <w:tcPr>
            <w:tcW w:w="240" w:type="dxa"/>
            <w:vAlign w:val="bottom"/>
            <w:gridSpan w:val="11"/>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111" w:name="page112"/>
    <w:bookmarkEnd w:id="111"/>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19"/>
          </w:tcPr>
          <w:p>
            <w:pPr>
              <w:ind w:left="120"/>
              <w:spacing w:after="0"/>
              <w:rPr>
                <w:sz w:val="20"/>
                <w:szCs w:val="20"/>
                <w:color w:val="auto"/>
              </w:rPr>
            </w:pPr>
            <w:r>
              <w:rPr>
                <w:rFonts w:ascii="Times New Roman" w:cs="Times New Roman" w:eastAsia="Times New Roman" w:hAnsi="Times New Roman"/>
                <w:sz w:val="13"/>
                <w:szCs w:val="13"/>
                <w:b w:val="1"/>
                <w:bCs w:val="1"/>
                <w:color w:val="auto"/>
              </w:rPr>
              <w:t>Exhibit Description</w:t>
            </w:r>
          </w:p>
        </w:tc>
      </w:tr>
      <w:tr>
        <w:trPr>
          <w:trHeight w:val="147"/>
        </w:trPr>
        <w:tc>
          <w:tcPr>
            <w:tcW w:w="2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color w:val="0000FF"/>
                <w:w w:val="72"/>
              </w:rPr>
              <w:t>10.</w:t>
            </w:r>
            <w:r>
              <w:rPr>
                <w:rFonts w:ascii="Times New Roman" w:cs="Times New Roman" w:eastAsia="Times New Roman" w:hAnsi="Times New Roman"/>
                <w:sz w:val="11"/>
                <w:szCs w:val="11"/>
                <w:u w:val="single" w:color="auto"/>
                <w:color w:val="0000FF"/>
                <w:w w:val="72"/>
              </w:rPr>
              <w:t>9</w:t>
            </w:r>
            <w:r>
              <w:rPr>
                <w:rFonts w:ascii="Times New Roman" w:cs="Times New Roman" w:eastAsia="Times New Roman" w:hAnsi="Times New Roman"/>
                <w:sz w:val="11"/>
                <w:szCs w:val="11"/>
                <w:color w:val="000000"/>
                <w:w w:val="72"/>
              </w:rPr>
              <w:t>#</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tcBorders>
              <w:top w:val="single" w:sz="8" w:color="auto"/>
            </w:tcBorders>
            <w:gridSpan w:val="22"/>
          </w:tcPr>
          <w:p>
            <w:pPr>
              <w:spacing w:after="0" w:line="147" w:lineRule="exact"/>
              <w:rPr>
                <w:sz w:val="20"/>
                <w:szCs w:val="20"/>
                <w:color w:val="auto"/>
              </w:rPr>
            </w:pPr>
            <w:r>
              <w:rPr>
                <w:rFonts w:ascii="Times New Roman" w:cs="Times New Roman" w:eastAsia="Times New Roman" w:hAnsi="Times New Roman"/>
                <w:sz w:val="13"/>
                <w:szCs w:val="13"/>
                <w:color w:val="0000FF"/>
              </w:rPr>
              <w:t>Offer Letter, by and between the Registrant and Minnie Kuo, dated</w:t>
            </w:r>
          </w:p>
        </w:tc>
      </w:tr>
      <w:tr>
        <w:trPr>
          <w:trHeight w:val="129"/>
        </w:trPr>
        <w:tc>
          <w:tcPr>
            <w:tcW w:w="2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20" w:type="dxa"/>
            <w:vAlign w:val="bottom"/>
            <w:tcBorders>
              <w:top w:val="single" w:sz="8" w:color="0000FF"/>
            </w:tcBorders>
            <w:gridSpan w:val="14"/>
          </w:tcPr>
          <w:p>
            <w:pPr>
              <w:spacing w:after="0" w:line="129" w:lineRule="exact"/>
              <w:rPr>
                <w:sz w:val="20"/>
                <w:szCs w:val="20"/>
                <w:color w:val="auto"/>
              </w:rPr>
            </w:pPr>
            <w:r>
              <w:rPr>
                <w:rFonts w:ascii="Times New Roman" w:cs="Times New Roman" w:eastAsia="Times New Roman" w:hAnsi="Times New Roman"/>
                <w:sz w:val="13"/>
                <w:szCs w:val="13"/>
                <w:color w:val="0000FF"/>
              </w:rPr>
              <w:t>August 23, 2023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10</w:t>
            </w:r>
            <w:r>
              <w:rPr>
                <w:rFonts w:ascii="Times New Roman" w:cs="Times New Roman" w:eastAsia="Times New Roman" w:hAnsi="Times New Roman"/>
                <w:sz w:val="13"/>
                <w:szCs w:val="13"/>
                <w:color w:val="000000"/>
              </w:rPr>
              <w:t>#</w:t>
            </w:r>
          </w:p>
        </w:tc>
        <w:tc>
          <w:tcPr>
            <w:tcW w:w="120" w:type="dxa"/>
            <w:vAlign w:val="bottom"/>
          </w:tcPr>
          <w:p>
            <w:pPr>
              <w:spacing w:after="0"/>
              <w:rPr>
                <w:sz w:val="15"/>
                <w:szCs w:val="15"/>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0000FF"/>
              </w:rPr>
              <w:t>Separation Agreement and General Release of Claims, by and</w:t>
            </w:r>
          </w:p>
        </w:tc>
      </w:tr>
      <w:tr>
        <w:trPr>
          <w:trHeight w:val="129"/>
        </w:trPr>
        <w:tc>
          <w:tcPr>
            <w:tcW w:w="2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Borders>
              <w:top w:val="single" w:sz="8" w:color="0000FF"/>
              <w:bottom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3"/>
                <w:szCs w:val="13"/>
                <w:color w:val="0000FF"/>
                <w:w w:val="96"/>
              </w:rPr>
              <w:t>between the Registrant and Eric Lefebvre, effective January 9,</w:t>
            </w:r>
          </w:p>
        </w:tc>
        <w:tc>
          <w:tcPr>
            <w:tcW w:w="340" w:type="dxa"/>
            <w:vAlign w:val="bottom"/>
            <w:tcBorders>
              <w:bottom w:val="single" w:sz="8" w:color="0000FF"/>
            </w:tcBorders>
            <w:gridSpan w:val="7"/>
          </w:tcPr>
          <w:p>
            <w:pPr>
              <w:jc w:val="right"/>
              <w:spacing w:after="0" w:line="129" w:lineRule="exact"/>
              <w:rPr>
                <w:sz w:val="20"/>
                <w:szCs w:val="20"/>
                <w:color w:val="auto"/>
              </w:rPr>
            </w:pPr>
            <w:r>
              <w:rPr>
                <w:rFonts w:ascii="Times New Roman" w:cs="Times New Roman" w:eastAsia="Times New Roman" w:hAnsi="Times New Roman"/>
                <w:sz w:val="13"/>
                <w:szCs w:val="13"/>
                <w:color w:val="0000FF"/>
              </w:rPr>
              <w:t>2026.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2"/>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11</w:t>
            </w:r>
            <w:r>
              <w:rPr>
                <w:rFonts w:ascii="Times New Roman" w:cs="Times New Roman" w:eastAsia="Times New Roman" w:hAnsi="Times New Roman"/>
                <w:sz w:val="13"/>
                <w:szCs w:val="13"/>
                <w:color w:val="000000"/>
              </w:rPr>
              <w:t>#</w:t>
            </w:r>
          </w:p>
        </w:tc>
        <w:tc>
          <w:tcPr>
            <w:tcW w:w="120" w:type="dxa"/>
            <w:vAlign w:val="bottom"/>
          </w:tcPr>
          <w:p>
            <w:pPr>
              <w:spacing w:after="0"/>
              <w:rPr>
                <w:sz w:val="15"/>
                <w:szCs w:val="15"/>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0000FF"/>
              </w:rPr>
              <w:t>Consulting Agreement, by and between the Registrant and Eric</w:t>
            </w:r>
          </w:p>
        </w:tc>
      </w:tr>
      <w:tr>
        <w:trPr>
          <w:trHeight w:val="129"/>
        </w:trPr>
        <w:tc>
          <w:tcPr>
            <w:tcW w:w="2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3"/>
                <w:szCs w:val="13"/>
                <w:color w:val="0000FF"/>
              </w:rPr>
              <w:t>Lefebvre, dated December 16, 2025</w:t>
            </w:r>
          </w:p>
        </w:tc>
        <w:tc>
          <w:tcPr>
            <w:tcW w:w="1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12</w:t>
              </w:r>
            </w:hyperlink>
            <w:r>
              <w:rPr>
                <w:rFonts w:ascii="Times New Roman" w:cs="Times New Roman" w:eastAsia="Times New Roman" w:hAnsi="Times New Roman"/>
                <w:sz w:val="13"/>
                <w:szCs w:val="13"/>
                <w:color w:val="000000"/>
              </w:rPr>
              <w:t>#</w:t>
            </w:r>
          </w:p>
        </w:tc>
        <w:tc>
          <w:tcPr>
            <w:tcW w:w="120" w:type="dxa"/>
            <w:vAlign w:val="bottom"/>
          </w:tcPr>
          <w:p>
            <w:pPr>
              <w:spacing w:after="0"/>
              <w:rPr>
                <w:sz w:val="15"/>
                <w:szCs w:val="15"/>
                <w:color w:val="auto"/>
              </w:rPr>
            </w:pPr>
          </w:p>
        </w:tc>
        <w:tc>
          <w:tcPr>
            <w:tcW w:w="3600" w:type="dxa"/>
            <w:vAlign w:val="bottom"/>
            <w:gridSpan w:val="22"/>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Form of Indemnification Agreement, by and between the Registrant</w:t>
              </w:r>
            </w:hyperlink>
          </w:p>
        </w:tc>
      </w:tr>
      <w:tr>
        <w:trPr>
          <w:trHeight w:val="129"/>
        </w:trPr>
        <w:tc>
          <w:tcPr>
            <w:tcW w:w="2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3"/>
                <w:szCs w:val="13"/>
                <w:color w:val="0000FF"/>
                <w:w w:val="96"/>
              </w:rPr>
            </w:pPr>
            <w:hyperlink r:id="rId144">
              <w:r>
                <w:rPr>
                  <w:rFonts w:ascii="Times New Roman" w:cs="Times New Roman" w:eastAsia="Times New Roman" w:hAnsi="Times New Roman"/>
                  <w:sz w:val="13"/>
                  <w:szCs w:val="13"/>
                  <w:color w:val="0000FF"/>
                  <w:w w:val="96"/>
                </w:rPr>
                <w:t>and each of its directors and certain officers.</w:t>
              </w:r>
            </w:hyperlink>
          </w:p>
        </w:tc>
        <w:tc>
          <w:tcPr>
            <w:tcW w:w="120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13</w:t>
              </w:r>
            </w:hyperlink>
            <w:r>
              <w:rPr>
                <w:rFonts w:ascii="Times New Roman" w:cs="Times New Roman" w:eastAsia="Times New Roman" w:hAnsi="Times New Roman"/>
                <w:sz w:val="13"/>
                <w:szCs w:val="13"/>
                <w:color w:val="000000"/>
              </w:rPr>
              <w:t>#</w:t>
            </w:r>
          </w:p>
        </w:tc>
        <w:tc>
          <w:tcPr>
            <w:tcW w:w="120" w:type="dxa"/>
            <w:vAlign w:val="bottom"/>
          </w:tcPr>
          <w:p>
            <w:pPr>
              <w:spacing w:after="0"/>
              <w:rPr>
                <w:sz w:val="14"/>
                <w:szCs w:val="14"/>
                <w:color w:val="auto"/>
              </w:rPr>
            </w:pPr>
          </w:p>
        </w:tc>
        <w:tc>
          <w:tcPr>
            <w:tcW w:w="3600" w:type="dxa"/>
            <w:vAlign w:val="bottom"/>
            <w:gridSpan w:val="22"/>
          </w:tcPr>
          <w:p>
            <w:pPr>
              <w:spacing w:after="0"/>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2022 Inducement Plan dated September 14, 2022.</w:t>
              </w:r>
            </w:hyperlink>
          </w:p>
        </w:tc>
      </w:tr>
      <w:tr>
        <w:trPr>
          <w:trHeight w:val="21"/>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14</w:t>
              </w:r>
            </w:hyperlink>
            <w:r>
              <w:rPr>
                <w:rFonts w:ascii="Times New Roman" w:cs="Times New Roman" w:eastAsia="Times New Roman" w:hAnsi="Times New Roman"/>
                <w:sz w:val="13"/>
                <w:szCs w:val="13"/>
                <w:color w:val="000000"/>
              </w:rPr>
              <w:t>#</w:t>
            </w:r>
          </w:p>
        </w:tc>
        <w:tc>
          <w:tcPr>
            <w:tcW w:w="120" w:type="dxa"/>
            <w:vAlign w:val="bottom"/>
          </w:tcPr>
          <w:p>
            <w:pPr>
              <w:spacing w:after="0"/>
              <w:rPr>
                <w:sz w:val="15"/>
                <w:szCs w:val="15"/>
                <w:color w:val="auto"/>
              </w:rPr>
            </w:pPr>
          </w:p>
        </w:tc>
        <w:tc>
          <w:tcPr>
            <w:tcW w:w="3600" w:type="dxa"/>
            <w:vAlign w:val="bottom"/>
            <w:gridSpan w:val="22"/>
          </w:tcPr>
          <w:p>
            <w:pPr>
              <w:spacing w:after="0"/>
              <w:rPr>
                <w:rFonts w:ascii="Times New Roman" w:cs="Times New Roman" w:eastAsia="Times New Roman" w:hAnsi="Times New Roman"/>
                <w:sz w:val="13"/>
                <w:szCs w:val="13"/>
                <w:color w:val="0000FF"/>
                <w:w w:val="97"/>
              </w:rPr>
            </w:pPr>
            <w:hyperlink r:id="rId146">
              <w:r>
                <w:rPr>
                  <w:rFonts w:ascii="Times New Roman" w:cs="Times New Roman" w:eastAsia="Times New Roman" w:hAnsi="Times New Roman"/>
                  <w:sz w:val="13"/>
                  <w:szCs w:val="13"/>
                  <w:color w:val="0000FF"/>
                  <w:w w:val="97"/>
                </w:rPr>
                <w:t>Lease Agreement by and between the Registrant and HCP BTC, LLC,</w:t>
              </w:r>
            </w:hyperlink>
          </w:p>
        </w:tc>
      </w:tr>
      <w:tr>
        <w:trPr>
          <w:trHeight w:val="129"/>
        </w:trPr>
        <w:tc>
          <w:tcPr>
            <w:tcW w:w="2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3"/>
                <w:szCs w:val="13"/>
                <w:color w:val="0000FF"/>
                <w:w w:val="96"/>
              </w:rPr>
            </w:pPr>
            <w:hyperlink r:id="rId146">
              <w:r>
                <w:rPr>
                  <w:rFonts w:ascii="Times New Roman" w:cs="Times New Roman" w:eastAsia="Times New Roman" w:hAnsi="Times New Roman"/>
                  <w:sz w:val="13"/>
                  <w:szCs w:val="13"/>
                  <w:color w:val="0000FF"/>
                  <w:w w:val="96"/>
                </w:rPr>
                <w:t>dated September 28, 2023.</w:t>
              </w:r>
            </w:hyperlink>
          </w:p>
        </w:tc>
        <w:tc>
          <w:tcPr>
            <w:tcW w:w="222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r>
      <w:tr>
        <w:trPr>
          <w:trHeight w:val="182"/>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15</w:t>
              </w:r>
            </w:hyperlink>
            <w:r>
              <w:rPr>
                <w:rFonts w:ascii="Times New Roman" w:cs="Times New Roman" w:eastAsia="Times New Roman" w:hAnsi="Times New Roman"/>
                <w:sz w:val="13"/>
                <w:szCs w:val="13"/>
                <w:color w:val="000000"/>
              </w:rPr>
              <w:t>#</w:t>
            </w:r>
          </w:p>
        </w:tc>
        <w:tc>
          <w:tcPr>
            <w:tcW w:w="120" w:type="dxa"/>
            <w:vAlign w:val="bottom"/>
          </w:tcPr>
          <w:p>
            <w:pPr>
              <w:spacing w:after="0"/>
              <w:rPr>
                <w:sz w:val="15"/>
                <w:szCs w:val="15"/>
                <w:color w:val="auto"/>
              </w:rPr>
            </w:pPr>
          </w:p>
        </w:tc>
        <w:tc>
          <w:tcPr>
            <w:tcW w:w="3600" w:type="dxa"/>
            <w:vAlign w:val="bottom"/>
            <w:gridSpan w:val="22"/>
          </w:tcPr>
          <w:p>
            <w:pPr>
              <w:spacing w:after="0"/>
              <w:rPr>
                <w:rFonts w:ascii="Times New Roman" w:cs="Times New Roman" w:eastAsia="Times New Roman" w:hAnsi="Times New Roman"/>
                <w:sz w:val="13"/>
                <w:szCs w:val="13"/>
                <w:color w:val="0000FF"/>
                <w:w w:val="98"/>
              </w:rPr>
            </w:pPr>
            <w:hyperlink r:id="rId147">
              <w:r>
                <w:rPr>
                  <w:rFonts w:ascii="Times New Roman" w:cs="Times New Roman" w:eastAsia="Times New Roman" w:hAnsi="Times New Roman"/>
                  <w:sz w:val="13"/>
                  <w:szCs w:val="13"/>
                  <w:color w:val="0000FF"/>
                  <w:w w:val="98"/>
                </w:rPr>
                <w:t>Amended and Restated Non-Employee Director Compensation Policy</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r>
      <w:tr>
        <w:trPr>
          <w:trHeight w:val="171"/>
        </w:trPr>
        <w:tc>
          <w:tcPr>
            <w:tcW w:w="1080" w:type="dxa"/>
            <w:vAlign w:val="bottom"/>
            <w:gridSpan w:val="5"/>
          </w:tcPr>
          <w:p>
            <w:pPr>
              <w:ind w:left="20"/>
              <w:spacing w:after="0"/>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16</w:t>
              </w:r>
            </w:hyperlink>
            <w:r>
              <w:rPr>
                <w:rFonts w:ascii="Times New Roman" w:cs="Times New Roman" w:eastAsia="Times New Roman" w:hAnsi="Times New Roman"/>
                <w:sz w:val="13"/>
                <w:szCs w:val="13"/>
                <w:color w:val="000000"/>
              </w:rPr>
              <w:t>#</w:t>
            </w:r>
          </w:p>
        </w:tc>
        <w:tc>
          <w:tcPr>
            <w:tcW w:w="120" w:type="dxa"/>
            <w:vAlign w:val="bottom"/>
          </w:tcPr>
          <w:p>
            <w:pPr>
              <w:spacing w:after="0"/>
              <w:rPr>
                <w:sz w:val="14"/>
                <w:szCs w:val="14"/>
                <w:color w:val="auto"/>
              </w:rPr>
            </w:pPr>
          </w:p>
        </w:tc>
        <w:tc>
          <w:tcPr>
            <w:tcW w:w="3600" w:type="dxa"/>
            <w:vAlign w:val="bottom"/>
            <w:gridSpan w:val="22"/>
          </w:tcPr>
          <w:p>
            <w:pPr>
              <w:spacing w:after="0"/>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Form of Retention Agreement</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w w:val="78"/>
              </w:rPr>
              <w:t>19.</w:t>
            </w:r>
            <w:r>
              <w:rPr>
                <w:rFonts w:ascii="Times New Roman" w:cs="Times New Roman" w:eastAsia="Times New Roman" w:hAnsi="Times New Roman"/>
                <w:sz w:val="13"/>
                <w:szCs w:val="13"/>
                <w:u w:val="single" w:color="auto"/>
                <w:color w:val="0000FF"/>
                <w:w w:val="78"/>
              </w:rPr>
              <w:t>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0000FF"/>
              </w:rPr>
              <w:t>Insider Trading Policy</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w w:val="78"/>
              </w:rPr>
              <w:t>23.</w:t>
            </w:r>
            <w:r>
              <w:rPr>
                <w:rFonts w:ascii="Times New Roman" w:cs="Times New Roman" w:eastAsia="Times New Roman" w:hAnsi="Times New Roman"/>
                <w:sz w:val="13"/>
                <w:szCs w:val="13"/>
                <w:u w:val="single" w:color="auto"/>
                <w:color w:val="0000FF"/>
                <w:w w:val="78"/>
              </w:rPr>
              <w:t>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0000FF"/>
              </w:rPr>
              <w:t>Consent of Independent Registered Public Accounting Firm</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w w:val="78"/>
              </w:rPr>
              <w:t>31.</w:t>
            </w:r>
            <w:r>
              <w:rPr>
                <w:rFonts w:ascii="Times New Roman" w:cs="Times New Roman" w:eastAsia="Times New Roman" w:hAnsi="Times New Roman"/>
                <w:sz w:val="13"/>
                <w:szCs w:val="13"/>
                <w:u w:val="single" w:color="auto"/>
                <w:color w:val="0000FF"/>
                <w:w w:val="78"/>
              </w:rPr>
              <w:t>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required by Rule 13a-14(a)</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0" w:type="dxa"/>
            <w:vAlign w:val="bottom"/>
            <w:gridSpan w:val="22"/>
          </w:tcPr>
          <w:p>
            <w:pPr>
              <w:spacing w:after="0" w:line="129" w:lineRule="exact"/>
              <w:rPr>
                <w:sz w:val="20"/>
                <w:szCs w:val="20"/>
                <w:color w:val="auto"/>
              </w:rPr>
            </w:pPr>
            <w:r>
              <w:rPr>
                <w:rFonts w:ascii="Times New Roman" w:cs="Times New Roman" w:eastAsia="Times New Roman" w:hAnsi="Times New Roman"/>
                <w:sz w:val="13"/>
                <w:szCs w:val="13"/>
                <w:color w:val="0000FF"/>
                <w:w w:val="98"/>
              </w:rPr>
              <w:t>or Rule 15d-14(a) of the Securities Exchange Act of 1934, as adopted</w:t>
            </w:r>
          </w:p>
        </w:tc>
      </w:tr>
      <w:tr>
        <w:trPr>
          <w:trHeight w:val="129"/>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40" w:type="dxa"/>
            <w:vAlign w:val="bottom"/>
            <w:tcBorders>
              <w:top w:val="single" w:sz="8" w:color="0000FF"/>
            </w:tcBorders>
            <w:gridSpan w:val="19"/>
          </w:tcPr>
          <w:p>
            <w:pPr>
              <w:spacing w:after="0" w:line="129"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2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w w:val="78"/>
              </w:rPr>
              <w:t>31.</w:t>
            </w:r>
            <w:r>
              <w:rPr>
                <w:rFonts w:ascii="Times New Roman" w:cs="Times New Roman" w:eastAsia="Times New Roman" w:hAnsi="Times New Roman"/>
                <w:sz w:val="13"/>
                <w:szCs w:val="13"/>
                <w:u w:val="single" w:color="auto"/>
                <w:color w:val="0000FF"/>
                <w:w w:val="78"/>
              </w:rPr>
              <w:t>2</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0000FF"/>
                <w:w w:val="98"/>
              </w:rPr>
              <w:t>Certification of Chief Financial Officer required by Rule 13a-14(a) or</w:t>
            </w:r>
          </w:p>
        </w:tc>
      </w:tr>
      <w:tr>
        <w:trPr>
          <w:trHeight w:val="129"/>
        </w:trPr>
        <w:tc>
          <w:tcPr>
            <w:tcW w:w="2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Borders>
              <w:top w:val="single" w:sz="8" w:color="0000FF"/>
            </w:tcBorders>
            <w:gridSpan w:val="20"/>
          </w:tcPr>
          <w:p>
            <w:pPr>
              <w:spacing w:after="0" w:line="129" w:lineRule="exact"/>
              <w:rPr>
                <w:sz w:val="20"/>
                <w:szCs w:val="20"/>
                <w:color w:val="auto"/>
              </w:rPr>
            </w:pPr>
            <w:r>
              <w:rPr>
                <w:rFonts w:ascii="Times New Roman" w:cs="Times New Roman" w:eastAsia="Times New Roman" w:hAnsi="Times New Roman"/>
                <w:sz w:val="13"/>
                <w:szCs w:val="13"/>
                <w:color w:val="0000FF"/>
              </w:rPr>
              <w:t>Rule 15d-14(a) of the Securities Exchange Act of 1934, as adopted</w:t>
            </w:r>
          </w:p>
        </w:tc>
        <w:tc>
          <w:tcPr>
            <w:tcW w:w="40" w:type="dxa"/>
            <w:vAlign w:val="bottom"/>
            <w:gridSpan w:val="2"/>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0" w:type="dxa"/>
            <w:vAlign w:val="bottom"/>
            <w:tcBorders>
              <w:top w:val="single" w:sz="8" w:color="0000FF"/>
            </w:tcBorders>
            <w:gridSpan w:val="13"/>
          </w:tcPr>
          <w:p>
            <w:pPr>
              <w:spacing w:after="0" w:line="129"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20"/>
        </w:trPr>
        <w:tc>
          <w:tcPr>
            <w:tcW w:w="1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82"/>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0000FF"/>
              </w:rPr>
              <w:t>32.</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00"/>
              </w:rPr>
              <w:t>**</w:t>
            </w:r>
          </w:p>
        </w:tc>
        <w:tc>
          <w:tcPr>
            <w:tcW w:w="120" w:type="dxa"/>
            <w:vAlign w:val="bottom"/>
          </w:tcPr>
          <w:p>
            <w:pPr>
              <w:spacing w:after="0"/>
              <w:rPr>
                <w:sz w:val="15"/>
                <w:szCs w:val="15"/>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and Chief Financial Officer</w:t>
            </w:r>
          </w:p>
        </w:tc>
      </w:tr>
      <w:tr>
        <w:trPr>
          <w:trHeight w:val="129"/>
        </w:trPr>
        <w:tc>
          <w:tcPr>
            <w:tcW w:w="2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tcBorders>
              <w:top w:val="single" w:sz="8" w:color="0000FF"/>
            </w:tcBorders>
            <w:gridSpan w:val="17"/>
          </w:tcPr>
          <w:p>
            <w:pPr>
              <w:spacing w:after="0" w:line="129" w:lineRule="exact"/>
              <w:rPr>
                <w:sz w:val="20"/>
                <w:szCs w:val="20"/>
                <w:color w:val="auto"/>
              </w:rPr>
            </w:pPr>
            <w:r>
              <w:rPr>
                <w:rFonts w:ascii="Times New Roman" w:cs="Times New Roman" w:eastAsia="Times New Roman" w:hAnsi="Times New Roman"/>
                <w:sz w:val="13"/>
                <w:szCs w:val="13"/>
                <w:color w:val="0000FF"/>
                <w:w w:val="98"/>
              </w:rPr>
              <w:t>pursuant to 18 U.S.C. Section 1350, as adopted pursuant to Section</w:t>
            </w:r>
          </w:p>
        </w:tc>
        <w:tc>
          <w:tcPr>
            <w:tcW w:w="120" w:type="dxa"/>
            <w:vAlign w:val="bottom"/>
            <w:gridSpan w:val="5"/>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tcBorders>
              <w:top w:val="single" w:sz="8" w:color="0000FF"/>
            </w:tcBorders>
            <w:gridSpan w:val="15"/>
          </w:tcPr>
          <w:p>
            <w:pPr>
              <w:spacing w:after="0" w:line="129" w:lineRule="exact"/>
              <w:rPr>
                <w:sz w:val="20"/>
                <w:szCs w:val="20"/>
                <w:color w:val="auto"/>
              </w:rPr>
            </w:pPr>
            <w:r>
              <w:rPr>
                <w:rFonts w:ascii="Times New Roman" w:cs="Times New Roman" w:eastAsia="Times New Roman" w:hAnsi="Times New Roman"/>
                <w:sz w:val="13"/>
                <w:szCs w:val="13"/>
                <w:color w:val="0000FF"/>
              </w:rPr>
              <w:t>906 of the Sarbanes-Oxley Act of 2002.</w:t>
            </w:r>
          </w:p>
        </w:tc>
        <w:tc>
          <w:tcPr>
            <w:tcW w:w="160" w:type="dxa"/>
            <w:vAlign w:val="bottom"/>
            <w:gridSpan w:val="7"/>
          </w:tcPr>
          <w:p>
            <w:pPr>
              <w:spacing w:after="0"/>
              <w:rPr>
                <w:sz w:val="11"/>
                <w:szCs w:val="11"/>
                <w:color w:val="auto"/>
              </w:rPr>
            </w:pPr>
          </w:p>
        </w:tc>
      </w:tr>
      <w:tr>
        <w:trPr>
          <w:trHeight w:val="171"/>
        </w:trPr>
        <w:tc>
          <w:tcPr>
            <w:tcW w:w="140" w:type="dxa"/>
            <w:vAlign w:val="bottom"/>
            <w:gridSpan w:val="2"/>
          </w:tcPr>
          <w:p>
            <w:pPr>
              <w:ind w:left="20"/>
              <w:spacing w:after="0"/>
              <w:rPr>
                <w:rFonts w:ascii="Times New Roman" w:cs="Times New Roman" w:eastAsia="Times New Roman" w:hAnsi="Times New Roman"/>
                <w:sz w:val="13"/>
                <w:szCs w:val="13"/>
                <w:color w:val="0000FF"/>
                <w:w w:val="76"/>
              </w:rPr>
            </w:pPr>
            <w:hyperlink r:id="rId149">
              <w:r>
                <w:rPr>
                  <w:rFonts w:ascii="Times New Roman" w:cs="Times New Roman" w:eastAsia="Times New Roman" w:hAnsi="Times New Roman"/>
                  <w:sz w:val="13"/>
                  <w:szCs w:val="13"/>
                  <w:color w:val="0000FF"/>
                  <w:w w:val="76"/>
                </w:rPr>
                <w:t>97</w:t>
              </w:r>
            </w:hyperlink>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0000FF"/>
            </w:tcBorders>
            <w:gridSpan w:val="2"/>
          </w:tcPr>
          <w:p>
            <w:pPr>
              <w:spacing w:after="0"/>
              <w:rPr>
                <w:rFonts w:ascii="Times New Roman" w:cs="Times New Roman" w:eastAsia="Times New Roman" w:hAnsi="Times New Roman"/>
                <w:sz w:val="13"/>
                <w:szCs w:val="13"/>
                <w:color w:val="0000FF"/>
                <w:w w:val="94"/>
              </w:rPr>
            </w:pPr>
            <w:hyperlink r:id="rId149">
              <w:r>
                <w:rPr>
                  <w:rFonts w:ascii="Times New Roman" w:cs="Times New Roman" w:eastAsia="Times New Roman" w:hAnsi="Times New Roman"/>
                  <w:sz w:val="13"/>
                  <w:szCs w:val="13"/>
                  <w:color w:val="0000FF"/>
                  <w:w w:val="94"/>
                </w:rPr>
                <w:t>Clawback Policy</w:t>
              </w:r>
            </w:hyperlink>
          </w:p>
        </w:tc>
        <w:tc>
          <w:tcPr>
            <w:tcW w:w="1160" w:type="dxa"/>
            <w:vAlign w:val="bottom"/>
            <w:tcBorders>
              <w:top w:val="single" w:sz="8" w:color="0000FF"/>
            </w:tcBorders>
            <w:gridSpan w:val="5"/>
          </w:tcPr>
          <w:p>
            <w:pPr>
              <w:spacing w:after="0"/>
              <w:rPr>
                <w:sz w:val="14"/>
                <w:szCs w:val="14"/>
                <w:color w:val="auto"/>
              </w:rPr>
            </w:pPr>
          </w:p>
        </w:tc>
        <w:tc>
          <w:tcPr>
            <w:tcW w:w="1580" w:type="dxa"/>
            <w:vAlign w:val="bottom"/>
            <w:gridSpan w:val="15"/>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740" w:type="dxa"/>
            <w:vAlign w:val="bottom"/>
            <w:gridSpan w:val="20"/>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101.INS</w:t>
            </w: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Instance Document (the Instance Document does not</w:t>
            </w: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appear in the Interactive Data File because its XBRL tags are</w:t>
            </w:r>
          </w:p>
        </w:tc>
      </w:tr>
      <w:tr>
        <w:trPr>
          <w:trHeight w:val="165"/>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embedded within the Inline XBRL document)</w:t>
            </w:r>
          </w:p>
        </w:tc>
      </w:tr>
      <w:tr>
        <w:trPr>
          <w:trHeight w:val="202"/>
        </w:trPr>
        <w:tc>
          <w:tcPr>
            <w:tcW w:w="2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101.SCH</w:t>
            </w: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191"/>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101.CAL</w:t>
            </w: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Calculation Linkbase Document</w:t>
            </w:r>
          </w:p>
        </w:tc>
      </w:tr>
      <w:tr>
        <w:trPr>
          <w:trHeight w:val="191"/>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101.DEF</w:t>
            </w: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Document</w:t>
            </w:r>
          </w:p>
        </w:tc>
      </w:tr>
      <w:tr>
        <w:trPr>
          <w:trHeight w:val="191"/>
        </w:trPr>
        <w:tc>
          <w:tcPr>
            <w:tcW w:w="2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101.LAB</w:t>
            </w:r>
          </w:p>
        </w:tc>
        <w:tc>
          <w:tcPr>
            <w:tcW w:w="36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Label Linkbase Document</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40290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4029075" cy="698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Filing</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File</w:t>
            </w:r>
          </w:p>
        </w:tc>
      </w:tr>
      <w:tr>
        <w:trPr>
          <w:trHeight w:val="186"/>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r>
      <w:tr>
        <w:trPr>
          <w:trHeight w:val="174"/>
        </w:trPr>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35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35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35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333-238146</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10.13</w:t>
            </w: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May 11, 2020</w:t>
            </w:r>
          </w:p>
        </w:tc>
        <w:tc>
          <w:tcPr>
            <w:tcW w:w="940" w:type="dxa"/>
            <w:vAlign w:val="bottom"/>
          </w:tcPr>
          <w:p>
            <w:pPr>
              <w:spacing w:after="0"/>
              <w:rPr>
                <w:sz w:val="24"/>
                <w:szCs w:val="24"/>
                <w:color w:val="auto"/>
              </w:rPr>
            </w:pPr>
          </w:p>
        </w:tc>
      </w:tr>
      <w:tr>
        <w:trPr>
          <w:trHeight w:val="35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10.14</w:t>
            </w: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March 3, 2025</w:t>
            </w:r>
          </w:p>
        </w:tc>
        <w:tc>
          <w:tcPr>
            <w:tcW w:w="940" w:type="dxa"/>
            <w:vAlign w:val="bottom"/>
          </w:tcPr>
          <w:p>
            <w:pPr>
              <w:spacing w:after="0"/>
              <w:rPr>
                <w:sz w:val="24"/>
                <w:szCs w:val="24"/>
                <w:color w:val="auto"/>
              </w:rPr>
            </w:pPr>
          </w:p>
        </w:tc>
      </w:tr>
      <w:tr>
        <w:trPr>
          <w:trHeight w:val="18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October 23, 2023</w:t>
            </w:r>
          </w:p>
        </w:tc>
        <w:tc>
          <w:tcPr>
            <w:tcW w:w="940" w:type="dxa"/>
            <w:vAlign w:val="bottom"/>
          </w:tcPr>
          <w:p>
            <w:pPr>
              <w:spacing w:after="0"/>
              <w:rPr>
                <w:sz w:val="15"/>
                <w:szCs w:val="15"/>
                <w:color w:val="auto"/>
              </w:rPr>
            </w:pPr>
          </w:p>
        </w:tc>
      </w:tr>
      <w:tr>
        <w:trPr>
          <w:trHeight w:val="350"/>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May 8, 2025</w:t>
            </w:r>
          </w:p>
        </w:tc>
        <w:tc>
          <w:tcPr>
            <w:tcW w:w="940" w:type="dxa"/>
            <w:vAlign w:val="bottom"/>
          </w:tcPr>
          <w:p>
            <w:pPr>
              <w:spacing w:after="0"/>
              <w:rPr>
                <w:sz w:val="24"/>
                <w:szCs w:val="24"/>
                <w:color w:val="auto"/>
              </w:rPr>
            </w:pPr>
          </w:p>
        </w:tc>
      </w:tr>
      <w:tr>
        <w:trPr>
          <w:trHeight w:val="191"/>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August 7, 2025</w:t>
            </w:r>
          </w:p>
        </w:tc>
        <w:tc>
          <w:tcPr>
            <w:tcW w:w="940" w:type="dxa"/>
            <w:vAlign w:val="bottom"/>
          </w:tcPr>
          <w:p>
            <w:pPr>
              <w:spacing w:after="0"/>
              <w:rPr>
                <w:sz w:val="16"/>
                <w:szCs w:val="16"/>
                <w:color w:val="auto"/>
              </w:rPr>
            </w:pPr>
          </w:p>
        </w:tc>
      </w:tr>
      <w:tr>
        <w:trPr>
          <w:trHeight w:val="202"/>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191"/>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191"/>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49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49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509"/>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001-39303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February 27, 2024</w:t>
            </w:r>
          </w:p>
        </w:tc>
        <w:tc>
          <w:tcPr>
            <w:tcW w:w="940" w:type="dxa"/>
            <w:vAlign w:val="bottom"/>
          </w:tcPr>
          <w:p>
            <w:pPr>
              <w:spacing w:after="0"/>
              <w:rPr>
                <w:sz w:val="24"/>
                <w:szCs w:val="24"/>
                <w:color w:val="auto"/>
              </w:rPr>
            </w:pPr>
          </w:p>
        </w:tc>
      </w:tr>
      <w:tr>
        <w:trPr>
          <w:trHeight w:val="180"/>
        </w:trPr>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3"/>
          <w:szCs w:val="13"/>
          <w:color w:val="auto"/>
        </w:rPr>
        <w:t>X</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3"/>
          <w:szCs w:val="13"/>
          <w:color w:val="auto"/>
        </w:rPr>
        <w:t>X</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3"/>
          <w:szCs w:val="13"/>
          <w:color w:val="auto"/>
        </w:rPr>
        <w:t>X</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4780" w:space="100"/>
            <w:col w:w="6360"/>
          </w:cols>
          <w:pgMar w:left="300" w:top="880" w:right="359" w:bottom="1440" w:gutter="0" w:footer="0" w:header="0"/>
        </w:sectPr>
      </w:pPr>
    </w:p>
    <w:bookmarkStart w:id="112" w:name="page113"/>
    <w:bookmarkEnd w:id="112"/>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68707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687070" cy="698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101.PRE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55"/>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gridSpan w:val="2"/>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w w:val="98"/>
              </w:rPr>
              <w:t>Filing</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File</w:t>
            </w:r>
          </w:p>
        </w:tc>
      </w:tr>
      <w:tr>
        <w:trPr>
          <w:trHeight w:val="186"/>
        </w:trPr>
        <w:tc>
          <w:tcPr>
            <w:tcW w:w="36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00" w:type="dxa"/>
            <w:vAlign w:val="bottom"/>
          </w:tcPr>
          <w:p>
            <w:pPr>
              <w:spacing w:after="0"/>
              <w:rPr>
                <w:sz w:val="16"/>
                <w:szCs w:val="16"/>
                <w:color w:val="auto"/>
              </w:rPr>
            </w:pP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File No.</w:t>
            </w: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36"/>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r>
      <w:tr>
        <w:trPr>
          <w:trHeight w:val="17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Inline XBRL Taxonomy Presentation Linkbase Document</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17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r>
      <w:tr>
        <w:trPr>
          <w:trHeight w:val="16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contained in Exhibit 101)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75" w:lineRule="exact"/>
        <w:rPr>
          <w:sz w:val="20"/>
          <w:szCs w:val="20"/>
          <w:color w:val="auto"/>
        </w:rPr>
      </w:pPr>
    </w:p>
    <w:p>
      <w:pPr>
        <w:sectPr>
          <w:pgSz w:w="11900" w:h="16838" w:orient="portrait"/>
          <w:cols w:equalWidth="0" w:num="2">
            <w:col w:w="780" w:space="400"/>
            <w:col w:w="10060"/>
          </w:cols>
          <w:pgMar w:left="300" w:top="880" w:right="35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98" w:lineRule="exact"/>
        <w:rPr>
          <w:sz w:val="20"/>
          <w:szCs w:val="20"/>
          <w:color w:val="auto"/>
        </w:rPr>
      </w:pPr>
    </w:p>
    <w:p>
      <w:pPr>
        <w:ind w:left="520" w:hanging="515"/>
        <w:spacing w:after="0" w:line="281" w:lineRule="auto"/>
        <w:tabs>
          <w:tab w:leader="none" w:pos="263"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them by reference</w:t>
      </w:r>
    </w:p>
    <w:p>
      <w:pPr>
        <w:spacing w:after="0" w:line="43"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Represents management compensation plan, contract or arrangement.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0" w:right="35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as amended, the Registrant has duly caused this Report to be signed on its behalf by the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jc w:val="center"/>
              <w:ind w:right="3089"/>
              <w:spacing w:after="0"/>
              <w:rPr>
                <w:sz w:val="20"/>
                <w:szCs w:val="20"/>
                <w:color w:val="auto"/>
              </w:rPr>
            </w:pPr>
            <w:r>
              <w:rPr>
                <w:rFonts w:ascii="Times New Roman" w:cs="Times New Roman" w:eastAsia="Times New Roman" w:hAnsi="Times New Roman"/>
                <w:sz w:val="14"/>
                <w:szCs w:val="14"/>
                <w:color w:val="auto"/>
              </w:rPr>
              <w:t>undersigned, thereunto duly authorized</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6"/>
                <w:szCs w:val="16"/>
                <w:color w:val="auto"/>
              </w:rPr>
            </w:pPr>
          </w:p>
        </w:tc>
        <w:tc>
          <w:tcPr>
            <w:tcW w:w="5400" w:type="dxa"/>
            <w:vAlign w:val="bottom"/>
          </w:tcPr>
          <w:p>
            <w:pPr>
              <w:spacing w:after="0"/>
              <w:rPr>
                <w:sz w:val="16"/>
                <w:szCs w:val="16"/>
                <w:color w:val="auto"/>
              </w:rPr>
            </w:pPr>
          </w:p>
        </w:tc>
      </w:tr>
      <w:tr>
        <w:trPr>
          <w:trHeight w:val="302"/>
        </w:trPr>
        <w:tc>
          <w:tcPr>
            <w:tcW w:w="5420" w:type="dxa"/>
            <w:vAlign w:val="bottom"/>
          </w:tcPr>
          <w:p>
            <w:pPr>
              <w:jc w:val="center"/>
              <w:ind w:right="3089"/>
              <w:spacing w:after="0"/>
              <w:rPr>
                <w:sz w:val="20"/>
                <w:szCs w:val="20"/>
                <w:color w:val="auto"/>
              </w:rPr>
            </w:pPr>
            <w:r>
              <w:rPr>
                <w:rFonts w:ascii="Times New Roman" w:cs="Times New Roman" w:eastAsia="Times New Roman" w:hAnsi="Times New Roman"/>
                <w:sz w:val="14"/>
                <w:szCs w:val="14"/>
                <w:color w:val="auto"/>
                <w:w w:val="99"/>
              </w:rPr>
              <w:t>Date: March 11, 2026</w:t>
            </w:r>
          </w:p>
        </w:tc>
        <w:tc>
          <w:tcPr>
            <w:tcW w:w="46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65"/>
        </w:trPr>
        <w:tc>
          <w:tcPr>
            <w:tcW w:w="5420" w:type="dxa"/>
            <w:vAlign w:val="bottom"/>
          </w:tcPr>
          <w:p>
            <w:pPr>
              <w:spacing w:after="0"/>
              <w:rPr>
                <w:sz w:val="23"/>
                <w:szCs w:val="23"/>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PLIANT THERAPEUTICS, INC.</w:t>
            </w:r>
          </w:p>
        </w:tc>
      </w:tr>
      <w:tr>
        <w:trPr>
          <w:trHeight w:val="223"/>
        </w:trPr>
        <w:tc>
          <w:tcPr>
            <w:tcW w:w="5420" w:type="dxa"/>
            <w:vAlign w:val="bottom"/>
          </w:tcPr>
          <w:p>
            <w:pPr>
              <w:ind w:left="5200"/>
              <w:spacing w:after="0"/>
              <w:rPr>
                <w:sz w:val="20"/>
                <w:szCs w:val="20"/>
                <w:color w:val="auto"/>
              </w:rPr>
            </w:pPr>
            <w:r>
              <w:rPr>
                <w:rFonts w:ascii="Times New Roman" w:cs="Times New Roman" w:eastAsia="Times New Roman" w:hAnsi="Times New Roman"/>
                <w:sz w:val="14"/>
                <w:szCs w:val="14"/>
                <w:color w:val="auto"/>
                <w:w w:val="98"/>
              </w:rPr>
              <w:t>By:</w:t>
            </w:r>
          </w:p>
        </w:tc>
        <w:tc>
          <w:tcPr>
            <w:tcW w:w="46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Bernard Coulie</w:t>
            </w:r>
          </w:p>
        </w:tc>
      </w:tr>
      <w:tr>
        <w:trPr>
          <w:trHeight w:val="167"/>
        </w:trPr>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Bernard Coulie, M.D., Ph.D.</w:t>
            </w:r>
          </w:p>
        </w:tc>
      </w:tr>
      <w:tr>
        <w:trPr>
          <w:trHeight w:val="184"/>
        </w:trPr>
        <w:tc>
          <w:tcPr>
            <w:tcW w:w="5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23"/>
        </w:trPr>
        <w:tc>
          <w:tcPr>
            <w:tcW w:w="5420" w:type="dxa"/>
            <w:vAlign w:val="bottom"/>
          </w:tcPr>
          <w:p>
            <w:pPr>
              <w:ind w:left="5200"/>
              <w:spacing w:after="0"/>
              <w:rPr>
                <w:sz w:val="20"/>
                <w:szCs w:val="20"/>
                <w:color w:val="auto"/>
              </w:rPr>
            </w:pPr>
            <w:r>
              <w:rPr>
                <w:rFonts w:ascii="Times New Roman" w:cs="Times New Roman" w:eastAsia="Times New Roman" w:hAnsi="Times New Roman"/>
                <w:sz w:val="14"/>
                <w:szCs w:val="14"/>
                <w:color w:val="auto"/>
                <w:w w:val="98"/>
              </w:rPr>
              <w:t>By:</w:t>
            </w:r>
          </w:p>
        </w:tc>
        <w:tc>
          <w:tcPr>
            <w:tcW w:w="46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Keith Cummings</w:t>
            </w:r>
          </w:p>
        </w:tc>
      </w:tr>
      <w:tr>
        <w:trPr>
          <w:trHeight w:val="167"/>
        </w:trPr>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Keith Cummings, M.D., M.B.A.</w:t>
            </w:r>
          </w:p>
        </w:tc>
      </w:tr>
      <w:tr>
        <w:trPr>
          <w:trHeight w:val="184"/>
        </w:trPr>
        <w:tc>
          <w:tcPr>
            <w:tcW w:w="5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Bernard Coulie and Keith Cummings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284"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49"/>
        </w:trPr>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12"/>
                <w:szCs w:val="12"/>
                <w:color w:val="auto"/>
              </w:rPr>
            </w:pPr>
          </w:p>
        </w:tc>
        <w:tc>
          <w:tcPr>
            <w:tcW w:w="5260" w:type="dxa"/>
            <w:vAlign w:val="bottom"/>
            <w:gridSpan w:val="2"/>
          </w:tcPr>
          <w:p>
            <w:pPr>
              <w:ind w:left="24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0"/>
        </w:trPr>
        <w:tc>
          <w:tcPr>
            <w:tcW w:w="3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372"/>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Bernard Coulie</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Bernard Coulie, M.D., Ph.D.</w:t>
            </w:r>
          </w:p>
        </w:tc>
        <w:tc>
          <w:tcPr>
            <w:tcW w:w="100" w:type="dxa"/>
            <w:vAlign w:val="bottom"/>
          </w:tcPr>
          <w:p>
            <w:pPr>
              <w:spacing w:after="0"/>
              <w:rPr>
                <w:sz w:val="15"/>
                <w:szCs w:val="15"/>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Keith Cummings</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Keith Cummings, M.D., M.B.A.</w:t>
            </w:r>
          </w:p>
        </w:tc>
        <w:tc>
          <w:tcPr>
            <w:tcW w:w="100" w:type="dxa"/>
            <w:vAlign w:val="bottom"/>
          </w:tcPr>
          <w:p>
            <w:pPr>
              <w:spacing w:after="0"/>
              <w:rPr>
                <w:sz w:val="15"/>
                <w:szCs w:val="15"/>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Hoyoung Huh</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Hoyoung Huh, M.D., Ph.D.</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Suzanne Bruhn</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Suzanne Bruhn, Ph.D.</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Darren Cline</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Darren Cline, M.B.A.</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David Pyott</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Pyott, M.A, M.B.A.</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12"/>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Gayle Crowell</w:t>
            </w:r>
          </w:p>
        </w:tc>
        <w:tc>
          <w:tcPr>
            <w:tcW w:w="10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Gayle Crowell</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John Curnutte</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Curnutte, M.D., Ph.D</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Katharine Knobil</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Katharine Knobil, M.D.</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Thomas McCourt</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Thomas McCourt</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/s/Steve Krognes</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11, 2026</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Steve Krognes, M.B.A.</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920"/>
          </w:cols>
          <w:pgMar w:left="300" w:top="873" w:right="67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69" w:lineRule="exact"/>
        <w:rPr>
          <w:sz w:val="20"/>
          <w:szCs w:val="20"/>
          <w:color w:val="auto"/>
        </w:rPr>
      </w:pPr>
    </w:p>
    <w:p>
      <w:pPr>
        <w:ind w:right="100" w:firstLine="33"/>
        <w:spacing w:after="0" w:line="276" w:lineRule="auto"/>
        <w:rPr>
          <w:sz w:val="20"/>
          <w:szCs w:val="20"/>
          <w:color w:val="auto"/>
        </w:rPr>
      </w:pPr>
      <w:r>
        <w:rPr>
          <w:rFonts w:ascii="Times New Roman" w:cs="Times New Roman" w:eastAsia="Times New Roman" w:hAnsi="Times New Roman"/>
          <w:sz w:val="17"/>
          <w:szCs w:val="17"/>
          <w:color w:val="auto"/>
        </w:rPr>
        <w:t>As of December 31, 2020, Pliant Therapeutics, Inc. (the “Company,” “we,” “us,” and “our”) had one class of securities registered under Section 12 of the Securities Exchange Act of 1934, as amended: our Common Stock.</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Description of Common Stock</w:t>
      </w:r>
    </w:p>
    <w:p>
      <w:pPr>
        <w:spacing w:after="0" w:line="180" w:lineRule="exact"/>
        <w:rPr>
          <w:sz w:val="20"/>
          <w:szCs w:val="20"/>
          <w:color w:val="auto"/>
        </w:rPr>
      </w:pPr>
    </w:p>
    <w:p>
      <w:pPr>
        <w:ind w:right="160" w:firstLine="43"/>
        <w:spacing w:after="0" w:line="261" w:lineRule="auto"/>
        <w:rPr>
          <w:sz w:val="20"/>
          <w:szCs w:val="20"/>
          <w:color w:val="auto"/>
        </w:rPr>
      </w:pPr>
      <w:r>
        <w:rPr>
          <w:rFonts w:ascii="Times New Roman" w:cs="Times New Roman" w:eastAsia="Times New Roman" w:hAnsi="Times New Roman"/>
          <w:sz w:val="17"/>
          <w:szCs w:val="17"/>
          <w:color w:val="auto"/>
        </w:rPr>
        <w:t>The following description of our Common Stock is a summary and does not purport to be complete. It is subject to and qualified in its entirety by reference to our Amended and Restated Certificate of Incorporation (“Certificate of Incorporation”) and our Amended and Restated Bylaws (“Bylaws”), each of which are incorporated by reference as an exhibit to the Annual Report on Form 10-K of which this Exhibit 4.2 is a part, and by applicable law. We encourage you to read our Certificate of Incorporation, our Bylaws and the applicable provisions of the Delaware General Corporation Law for additional information.</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80" w:lineRule="exact"/>
        <w:rPr>
          <w:sz w:val="20"/>
          <w:szCs w:val="20"/>
          <w:color w:val="auto"/>
        </w:rPr>
      </w:pPr>
    </w:p>
    <w:p>
      <w:pPr>
        <w:ind w:right="600" w:firstLine="43"/>
        <w:spacing w:after="0" w:line="276" w:lineRule="auto"/>
        <w:rPr>
          <w:sz w:val="20"/>
          <w:szCs w:val="20"/>
          <w:color w:val="auto"/>
        </w:rPr>
      </w:pPr>
      <w:r>
        <w:rPr>
          <w:rFonts w:ascii="Times New Roman" w:cs="Times New Roman" w:eastAsia="Times New Roman" w:hAnsi="Times New Roman"/>
          <w:sz w:val="17"/>
          <w:szCs w:val="17"/>
          <w:color w:val="auto"/>
        </w:rPr>
        <w:t>Our authorized capital stock consists of 300,000,000 shares of common stock, par value $0.0001 per share (the “Common Stock”), and 10,000,000 shares of preferred stock, par value $0.0001 per share (the “Preferred Stock”), all of which shares of Preferred Stock are undesignated.</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80" w:lineRule="exact"/>
        <w:rPr>
          <w:sz w:val="20"/>
          <w:szCs w:val="20"/>
          <w:color w:val="auto"/>
        </w:rPr>
      </w:pPr>
    </w:p>
    <w:p>
      <w:pPr>
        <w:ind w:right="20" w:firstLine="39"/>
        <w:spacing w:after="0" w:line="270" w:lineRule="auto"/>
        <w:rPr>
          <w:sz w:val="20"/>
          <w:szCs w:val="20"/>
          <w:color w:val="auto"/>
        </w:rPr>
      </w:pPr>
      <w:r>
        <w:rPr>
          <w:rFonts w:ascii="Times New Roman" w:cs="Times New Roman" w:eastAsia="Times New Roman" w:hAnsi="Times New Roman"/>
          <w:sz w:val="16"/>
          <w:szCs w:val="16"/>
          <w:color w:val="auto"/>
        </w:rPr>
        <w:t>We are authorized to issue one class of Common Stock. Holders of our common stock are entitled to one vote for each share of Common Stock held of record for the election of directors and on all matters submitted to a vote of stockholders. Except as described under “Anti-takeover Effects of Delaware Law and Provisions of our Amended and Restated Certificate of Incorporation and Bylaws” below, a majority vote of the holders of Common Stock is generally required to take action under our amended and restated certificate of incorporation and bylaws. Holders of our Common Stock are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preemptive, subscription, redemption or conversion rights and no sinking fund provisions are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“PLRX.”</w:t>
      </w:r>
    </w:p>
    <w:p>
      <w:pPr>
        <w:sectPr>
          <w:pgSz w:w="11900" w:h="16838" w:orient="portrait"/>
          <w:cols w:equalWidth="0" w:num="1">
            <w:col w:w="11280"/>
          </w:cols>
          <w:pgMar w:left="300" w:top="1144" w:right="319"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Computershare Trust Company, N.A.</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80" w:lineRule="exact"/>
        <w:rPr>
          <w:sz w:val="20"/>
          <w:szCs w:val="20"/>
          <w:color w:val="auto"/>
        </w:rPr>
      </w:pPr>
    </w:p>
    <w:p>
      <w:pPr>
        <w:ind w:firstLine="43"/>
        <w:spacing w:after="0" w:line="256" w:lineRule="auto"/>
        <w:rPr>
          <w:sz w:val="20"/>
          <w:szCs w:val="20"/>
          <w:color w:val="auto"/>
        </w:rPr>
      </w:pPr>
      <w:r>
        <w:rPr>
          <w:rFonts w:ascii="Times New Roman" w:cs="Times New Roman" w:eastAsia="Times New Roman" w:hAnsi="Times New Roman"/>
          <w:sz w:val="17"/>
          <w:szCs w:val="17"/>
          <w:color w:val="auto"/>
        </w:rPr>
        <w:t>Our board of directors is authorized, without action by the stockholders, to designate and issue up to an aggregate of 10,000,000 shares of Preferred Stock in one or more series. Our board of directors can designate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 Purchase Rights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On March 12, 2025, the board of directors adopted a stockholder rights agreement and declared a dividend of one right (a “Right”) for each outstanding share of Common Stock to stockholders of record at the close of business on March 25, 2025 (the “Record Date”). Each Right entitles its holder, subject to the terms of the Rights Agreement (as defined below), to purchase from the Company one one-thousandth of a share of Series A Junior Participating Preferred Stock, par value $0.0001 per share (“Series A Preferred Stock”), of the Company at an exercise price of $12.64 per Right, subject to adjustment. The description and terms of the Rights are set forth in a stockholder rights agreement, dated as of March 12, 2025 (the “Rights Agreement”), and amended as of March 3, 2026, by and between the Company and Computershare Trust Company, N.A., as rights agent (the “Rights Agent”). The Company entered into the Amendment to Stockholder Rights Agreement on March 3, 2026 to extend the final expiration time of the Rights for one year from March 11, 2026 to March 11, 2027 (the “Final Expiration Time”).</w:t>
      </w:r>
    </w:p>
    <w:p>
      <w:pPr>
        <w:spacing w:after="0" w:line="13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The Rights. </w:t>
      </w:r>
      <w:r>
        <w:rPr>
          <w:rFonts w:ascii="Times New Roman" w:cs="Times New Roman" w:eastAsia="Times New Roman" w:hAnsi="Times New Roman"/>
          <w:sz w:val="17"/>
          <w:szCs w:val="17"/>
          <w:color w:val="auto"/>
        </w:rPr>
        <w:t>The Rights will attach to any shares of Common Stock that become outstanding after the Record Date and prior to the earlier of the Distribution Time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below) and the Expiration Time (as defined below), and in certain other circumstances described in the Rights Agreement.</w:t>
      </w:r>
    </w:p>
    <w:p>
      <w:pPr>
        <w:spacing w:after="0" w:line="13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spacing w:after="0" w:line="134"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w:t>
      </w:r>
    </w:p>
    <w:p>
      <w:pPr>
        <w:sectPr>
          <w:pgSz w:w="11900" w:h="16838" w:orient="portrait"/>
          <w:cols w:equalWidth="0" w:num="1">
            <w:col w:w="11240"/>
          </w:cols>
          <w:pgMar w:left="300" w:top="1148"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color w:val="auto"/>
        </w:rPr>
        <w:t>Stock as of the Distribution Time. From and after the Distribution Time, the separate rights certificates alone will represent the Rights.</w:t>
      </w:r>
    </w:p>
    <w:p>
      <w:pPr>
        <w:spacing w:after="0" w:line="176"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The Rights are not exercisable until the Distribution Time. Until a Right is exercised, its holder will have no rights as a stockholder of the Company, including the right to vote or to receive dividends.</w:t>
      </w:r>
    </w:p>
    <w:p>
      <w:pPr>
        <w:spacing w:after="0" w:line="13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i w:val="1"/>
          <w:iCs w:val="1"/>
          <w:color w:val="auto"/>
        </w:rPr>
        <w:t>Separation and Distribution of Rights; Exercisability</w:t>
      </w:r>
      <w:r>
        <w:rPr>
          <w:rFonts w:ascii="Times New Roman" w:cs="Times New Roman" w:eastAsia="Times New Roman" w:hAnsi="Times New Roman"/>
          <w:sz w:val="17"/>
          <w:szCs w:val="17"/>
          <w:color w:val="auto"/>
        </w:rPr>
        <w:t>. Subject to certain exceptions, the Rights become exercisable and trade separately from Common Stock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the “Distribution Time,” which occurs upon the earlier of:</w:t>
      </w:r>
    </w:p>
    <w:p>
      <w:pPr>
        <w:spacing w:after="0" w:line="119" w:lineRule="exact"/>
        <w:rPr>
          <w:sz w:val="20"/>
          <w:szCs w:val="20"/>
          <w:color w:val="auto"/>
        </w:rPr>
      </w:pPr>
    </w:p>
    <w:p>
      <w:pPr>
        <w:ind w:left="520" w:hanging="260"/>
        <w:spacing w:after="0" w:line="261" w:lineRule="auto"/>
        <w:tabs>
          <w:tab w:leader="none" w:pos="51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close of business on the tenth (10th) day after the “Stock Acquisition Date” (which is defined as (a) the first date of public announcement that any person or group has become an “Acquiring Person,” which is defined as a person or group that, together with its affiliates and associates, beneficially owns the Specified Percentage (as defined below) or more of the outstanding shares of Common Stock (with certain exceptions, including those described below) or (b) such other date, as determined by the board of directors, on which a person or group has become an Acquiring Person) or</w:t>
      </w:r>
    </w:p>
    <w:p>
      <w:pPr>
        <w:spacing w:after="0" w:line="136" w:lineRule="exact"/>
        <w:rPr>
          <w:rFonts w:ascii="Times New Roman" w:cs="Times New Roman" w:eastAsia="Times New Roman" w:hAnsi="Times New Roman"/>
          <w:sz w:val="17"/>
          <w:szCs w:val="17"/>
          <w:color w:val="auto"/>
        </w:rPr>
      </w:pPr>
    </w:p>
    <w:p>
      <w:pPr>
        <w:ind w:left="520" w:right="260" w:hanging="260"/>
        <w:spacing w:after="0" w:line="262" w:lineRule="auto"/>
        <w:tabs>
          <w:tab w:leader="none" w:pos="51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close of business on the tenth (10th) business day (or such later date as may be determined by the board of directors prior to such time as any person or group becomes an Acquiring Person) after the commencement of a tender offer or exchange offer that, if consummated, would result in a person or group becoming an Acquiring Person.</w:t>
      </w:r>
    </w:p>
    <w:p>
      <w:pPr>
        <w:spacing w:after="0" w:line="134"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“Specified Percentage” means 20% (twenty percent) when referring to the beneficial ownership of any person that is a passive investor but only for so long as such person is a passive investor and 10% (ten percent) when referring to the beneficial ownership of any person that is not a passive investor.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Acquiring Person does not include:</w:t>
      </w:r>
    </w:p>
    <w:p>
      <w:pPr>
        <w:spacing w:after="0" w:line="176" w:lineRule="exact"/>
        <w:rPr>
          <w:sz w:val="20"/>
          <w:szCs w:val="20"/>
          <w:color w:val="auto"/>
        </w:rPr>
      </w:pPr>
    </w:p>
    <w:p>
      <w:pPr>
        <w:ind w:left="500" w:hanging="240"/>
        <w:spacing w:after="0"/>
        <w:tabs>
          <w:tab w:leader="none" w:pos="5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subsidiary of the Company;</w:t>
      </w:r>
    </w:p>
    <w:p>
      <w:pPr>
        <w:spacing w:after="0" w:line="17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officer, director or employee of the Company or any subsidiary of the Company in his or her capacity as such;</w:t>
      </w:r>
    </w:p>
    <w:p>
      <w:pPr>
        <w:spacing w:after="0" w:line="175" w:lineRule="exact"/>
        <w:rPr>
          <w:rFonts w:ascii="Times New Roman" w:cs="Times New Roman" w:eastAsia="Times New Roman" w:hAnsi="Times New Roman"/>
          <w:sz w:val="17"/>
          <w:szCs w:val="17"/>
          <w:color w:val="auto"/>
        </w:rPr>
      </w:pPr>
    </w:p>
    <w:p>
      <w:pPr>
        <w:ind w:left="520" w:right="140" w:hanging="260"/>
        <w:spacing w:after="0" w:line="268" w:lineRule="auto"/>
        <w:tabs>
          <w:tab w:leader="none" w:pos="5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w:t>
      </w:r>
    </w:p>
    <w:p>
      <w:pPr>
        <w:spacing w:after="0" w:line="130" w:lineRule="exact"/>
        <w:rPr>
          <w:rFonts w:ascii="Times New Roman" w:cs="Times New Roman" w:eastAsia="Times New Roman" w:hAnsi="Times New Roman"/>
          <w:sz w:val="17"/>
          <w:szCs w:val="17"/>
          <w:color w:val="auto"/>
        </w:rPr>
      </w:pPr>
    </w:p>
    <w:p>
      <w:pPr>
        <w:jc w:val="both"/>
        <w:ind w:left="520" w:right="340" w:hanging="260"/>
        <w:spacing w:after="0" w:line="262" w:lineRule="auto"/>
        <w:tabs>
          <w:tab w:leader="none" w:pos="5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w:t>
      </w:r>
    </w:p>
    <w:p>
      <w:pPr>
        <w:sectPr>
          <w:pgSz w:w="11900" w:h="16838" w:orient="portrait"/>
          <w:cols w:equalWidth="0" w:num="1">
            <w:col w:w="11280"/>
          </w:cols>
          <w:pgMar w:left="300" w:top="1148" w:right="319" w:bottom="1440" w:gutter="0" w:footer="0" w:header="0"/>
        </w:sectPr>
      </w:pPr>
    </w:p>
    <w:bookmarkStart w:id="118" w:name="page119"/>
    <w:bookmarkEnd w:id="118"/>
    <w:p>
      <w:pPr>
        <w:jc w:val="both"/>
        <w:ind w:left="520"/>
        <w:spacing w:after="0" w:line="262" w:lineRule="auto"/>
        <w:rPr>
          <w:sz w:val="20"/>
          <w:szCs w:val="20"/>
          <w:color w:val="auto"/>
        </w:rPr>
      </w:pPr>
      <w:r>
        <w:rPr>
          <w:rFonts w:ascii="Times New Roman" w:cs="Times New Roman" w:eastAsia="Times New Roman" w:hAnsi="Times New Roman"/>
          <w:sz w:val="17"/>
          <w:szCs w:val="17"/>
          <w:color w:val="auto"/>
        </w:rPr>
        <w:t>Percentage of the outstanding shares of Common Stock and does not acquire shares of Common Stock to beneficially own an amount equal to or greater than the greater of the Specified Percentage and the sum of the lowest beneficial ownership of such person or group since the public announcement of the adoption of the Rights Agreement plus one share of Common Stock.</w:t>
      </w:r>
    </w:p>
    <w:p>
      <w:pPr>
        <w:spacing w:after="0" w:line="14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In addition, the Rights Agreement provides that no person or group will become an Acquiring Person as a result of security purchases or issuances directly from the Company or through an underwritten offering approved by the board of directors. Also, a person or group will not be an Acquiring Person if the board of directors determines that such person or group has become an Acquiring Person inadvertently and such person or group as promptly as practicable divests a sufficient number of shares so that such person or group would no longer be an Acquiring Person.</w:t>
      </w:r>
    </w:p>
    <w:p>
      <w:pPr>
        <w:spacing w:after="0" w:line="13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Expiration Time. </w:t>
      </w:r>
      <w:r>
        <w:rPr>
          <w:rFonts w:ascii="Times New Roman" w:cs="Times New Roman" w:eastAsia="Times New Roman" w:hAnsi="Times New Roman"/>
          <w:sz w:val="17"/>
          <w:szCs w:val="17"/>
          <w:color w:val="auto"/>
        </w:rPr>
        <w:t>The Rights will expire on the earliest to occur of (a) the Final Expiration Time, (b) the time at which the Rights are redeemed by the Company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below), (c) the time at which the Rights are exchanged in accordance with the Rights Agreement, or (d) the closing of any merger or other acquisition transaction involving the Company pursuant to a merger or other acquisition agreement that has been approved by the board of directors before any person or group becomes an Acquiring Person (the earliest of (a), (b), (c) or (d) being herein referred to as the “Expiration Time”).</w:t>
      </w:r>
    </w:p>
    <w:p>
      <w:pPr>
        <w:spacing w:after="0" w:line="13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Flip-in Event</w:t>
      </w:r>
      <w:r>
        <w:rPr>
          <w:rFonts w:ascii="Times New Roman" w:cs="Times New Roman" w:eastAsia="Times New Roman" w:hAnsi="Times New Roman"/>
          <w:sz w:val="16"/>
          <w:szCs w:val="16"/>
          <w:color w:val="auto"/>
        </w:rPr>
        <w:t>. In the event that any person or group (other than certain exempt persons) becomes an Acquiring Person (a “Flip-in Event”), each holder of a Right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Flip-over Event</w:t>
      </w:r>
      <w:r>
        <w:rPr>
          <w:rFonts w:ascii="Times New Roman" w:cs="Times New Roman" w:eastAsia="Times New Roman" w:hAnsi="Times New Roman"/>
          <w:sz w:val="17"/>
          <w:szCs w:val="17"/>
          <w:color w:val="auto"/>
        </w:rPr>
        <w:t>. In the event that, at any time following the Stock Acquisition Date, any of the following occurs (each, a “</w:t>
      </w:r>
      <w:r>
        <w:rPr>
          <w:rFonts w:ascii="Times New Roman" w:cs="Times New Roman" w:eastAsia="Times New Roman" w:hAnsi="Times New Roman"/>
          <w:sz w:val="17"/>
          <w:szCs w:val="17"/>
          <w:i w:val="1"/>
          <w:iCs w:val="1"/>
          <w:color w:val="auto"/>
        </w:rPr>
        <w:t>Flip-over Event</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left="500" w:hanging="240"/>
        <w:spacing w:after="0"/>
        <w:tabs>
          <w:tab w:leader="none" w:pos="5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consolidates with, or merges with and into, any other entity, and the Company is not the continuing or surviving entity;</w:t>
      </w:r>
    </w:p>
    <w:p>
      <w:pPr>
        <w:spacing w:after="0" w:line="175" w:lineRule="exact"/>
        <w:rPr>
          <w:rFonts w:ascii="Times New Roman" w:cs="Times New Roman" w:eastAsia="Times New Roman" w:hAnsi="Times New Roman"/>
          <w:sz w:val="17"/>
          <w:szCs w:val="17"/>
          <w:color w:val="auto"/>
        </w:rPr>
      </w:pPr>
    </w:p>
    <w:p>
      <w:pPr>
        <w:ind w:left="520" w:hanging="260"/>
        <w:spacing w:after="0" w:line="262" w:lineRule="auto"/>
        <w:tabs>
          <w:tab w:leader="none" w:pos="5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144" w:lineRule="exact"/>
        <w:rPr>
          <w:rFonts w:ascii="Times New Roman" w:cs="Times New Roman" w:eastAsia="Times New Roman" w:hAnsi="Times New Roman"/>
          <w:sz w:val="17"/>
          <w:szCs w:val="17"/>
          <w:color w:val="auto"/>
        </w:rPr>
      </w:pPr>
    </w:p>
    <w:p>
      <w:pPr>
        <w:ind w:left="520" w:right="20" w:hanging="260"/>
        <w:spacing w:after="0" w:line="276" w:lineRule="auto"/>
        <w:tabs>
          <w:tab w:leader="none" w:pos="5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sells or otherwise transfers, in one transaction or a series of related transactions, fifty percent (50%) or more of the Company’s assets, cash flow or earning power,</w:t>
      </w:r>
    </w:p>
    <w:p>
      <w:pPr>
        <w:sectPr>
          <w:pgSz w:w="11900" w:h="16838" w:orient="portrait"/>
          <w:cols w:equalWidth="0" w:num="1">
            <w:col w:w="11240"/>
          </w:cols>
          <w:pgMar w:left="300" w:top="1148" w:right="359" w:bottom="1440" w:gutter="0" w:footer="0" w:header="0"/>
        </w:sectPr>
      </w:pPr>
    </w:p>
    <w:bookmarkStart w:id="119" w:name="page120"/>
    <w:bookmarkEnd w:id="119"/>
    <w:p>
      <w:pPr>
        <w:ind w:right="380"/>
        <w:spacing w:after="0" w:line="276" w:lineRule="auto"/>
        <w:rPr>
          <w:sz w:val="20"/>
          <w:szCs w:val="20"/>
          <w:color w:val="auto"/>
        </w:rPr>
      </w:pPr>
      <w:r>
        <w:rPr>
          <w:rFonts w:ascii="Times New Roman" w:cs="Times New Roman" w:eastAsia="Times New Roman" w:hAnsi="Times New Roman"/>
          <w:sz w:val="17"/>
          <w:szCs w:val="17"/>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119"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Series A Preferred Stock Provisions. </w:t>
      </w:r>
      <w:r>
        <w:rPr>
          <w:rFonts w:ascii="Times New Roman" w:cs="Times New Roman" w:eastAsia="Times New Roman" w:hAnsi="Times New Roman"/>
          <w:sz w:val="16"/>
          <w:szCs w:val="16"/>
          <w:color w:val="auto"/>
        </w:rPr>
        <w:t>Each share of Series A Preferred Stock, if issued: will not be redeemable, will entitle the holder thereof, when, as and if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declared, to quarterly dividend payments equal to the greater of $1,000 per share and 1,000 times the amount of all cash dividends plus 1,000 times the amount</w:t>
      </w:r>
    </w:p>
    <w:p>
      <w:pPr>
        <w:ind w:right="120"/>
        <w:spacing w:after="0" w:line="251" w:lineRule="auto"/>
        <w:rPr>
          <w:sz w:val="20"/>
          <w:szCs w:val="20"/>
          <w:color w:val="auto"/>
        </w:rPr>
      </w:pPr>
      <w:r>
        <w:rPr>
          <w:rFonts w:ascii="Times New Roman" w:cs="Times New Roman" w:eastAsia="Times New Roman" w:hAnsi="Times New Roman"/>
          <w:sz w:val="17"/>
          <w:szCs w:val="17"/>
          <w:color w:val="auto"/>
        </w:rPr>
        <w:t>of non-cash dividends or other distributions paid on one share of Common Stock, will entitle the holder thereof to receive $1,000 plus accrued and unpaid dividends per share upon liquidation, will have the same voting power as 1,000 shares of Common Stock and, if shares of Common Stock are exchanged via merger, consolidation or a similar transaction, will entitle the holder thereof to a per share payment equal to the payment made on 1,000 shares of Common Stock.</w:t>
      </w:r>
    </w:p>
    <w:p>
      <w:pPr>
        <w:spacing w:after="0" w:line="14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i w:val="1"/>
          <w:iCs w:val="1"/>
          <w:color w:val="auto"/>
        </w:rPr>
        <w:t>Anti-dilution Adjustments</w:t>
      </w:r>
      <w:r>
        <w:rPr>
          <w:rFonts w:ascii="Times New Roman" w:cs="Times New Roman" w:eastAsia="Times New Roman" w:hAnsi="Times New Roman"/>
          <w:sz w:val="17"/>
          <w:szCs w:val="17"/>
          <w:color w:val="auto"/>
        </w:rPr>
        <w:t>. The exercise price payable, and the number of shares of Series A Preferred Stock or other securities or property issuable, upon exercise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Rights are subject to adjustment from time to time to prevent dilution in accordance with terms of the Rights Agreement.</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i w:val="1"/>
          <w:iCs w:val="1"/>
          <w:color w:val="auto"/>
        </w:rPr>
        <w:t>Redemption; Exchange</w:t>
      </w:r>
      <w:r>
        <w:rPr>
          <w:rFonts w:ascii="Times New Roman" w:cs="Times New Roman" w:eastAsia="Times New Roman" w:hAnsi="Times New Roman"/>
          <w:sz w:val="17"/>
          <w:szCs w:val="17"/>
          <w:color w:val="auto"/>
        </w:rPr>
        <w:t>. At any time prior to the earlier of (i) such time as any person becomes an Acquiring Person or (ii) the Final Expiration Time,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redeem the Rights in whole, but not in part, at a price of $0.001 per Right (subject to adjustment and payable in cash, Common Stock or other consideration deemed appropriate by the board of directors). Immediately upon the action of the board of directors authorizing any redemption or at a later time as the board of directors may establish for the effectiveness of the redemption, the Rights will terminate and the only right of the holders of Rights will be to receive the redemption price.</w:t>
      </w:r>
    </w:p>
    <w:p>
      <w:pPr>
        <w:spacing w:after="0" w:line="15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At any time before any Acquiring Person, together with all of its affiliates and associates, becomes the beneficial owner of fifty percent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Series A Preferred Stock (or of a share of a class or series of the Company’s preferred stock having equivalent rights, preferences and privileges), per Right (subject to adjustment).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Delaware Law and Provisions of Our Amended and Restated Certificate of Incorporation and Bylaws</w:t>
      </w:r>
    </w:p>
    <w:p>
      <w:pPr>
        <w:spacing w:after="0" w:line="180" w:lineRule="exact"/>
        <w:rPr>
          <w:sz w:val="20"/>
          <w:szCs w:val="20"/>
          <w:color w:val="auto"/>
        </w:rPr>
      </w:pPr>
    </w:p>
    <w:p>
      <w:pPr>
        <w:ind w:firstLine="43"/>
        <w:spacing w:after="0" w:line="257" w:lineRule="auto"/>
        <w:rPr>
          <w:sz w:val="20"/>
          <w:szCs w:val="20"/>
          <w:color w:val="auto"/>
        </w:rPr>
      </w:pPr>
      <w:r>
        <w:rPr>
          <w:rFonts w:ascii="Times New Roman" w:cs="Times New Roman" w:eastAsia="Times New Roman" w:hAnsi="Times New Roman"/>
          <w:sz w:val="17"/>
          <w:szCs w:val="17"/>
          <w:color w:val="auto"/>
        </w:rPr>
        <w:t>Our amended and restated certificate of incorporation and bylaws to be in effect immediately prior to completion of this offering will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ectPr>
          <w:pgSz w:w="11900" w:h="16838" w:orient="portrait"/>
          <w:cols w:equalWidth="0" w:num="1">
            <w:col w:w="11280"/>
          </w:cols>
          <w:pgMar w:left="300" w:top="1148" w:right="319" w:bottom="1440" w:gutter="0" w:footer="0" w:header="0"/>
        </w:sectPr>
      </w:pPr>
    </w:p>
    <w:bookmarkStart w:id="120" w:name="page121"/>
    <w:bookmarkEnd w:id="120"/>
    <w:p>
      <w:pPr>
        <w:ind w:firstLine="43"/>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Board composition and filling vacancies. </w:t>
      </w:r>
      <w:r>
        <w:rPr>
          <w:rFonts w:ascii="Times New Roman" w:cs="Times New Roman" w:eastAsia="Times New Roman" w:hAnsi="Times New Roman"/>
          <w:sz w:val="17"/>
          <w:szCs w:val="17"/>
          <w:color w:val="auto"/>
        </w:rPr>
        <w:t>In accordance with our amended and restated certificate of incorporation, our board of directors is divided into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w:t>
      </w:r>
    </w:p>
    <w:p>
      <w:pPr>
        <w:spacing w:after="0" w:line="134" w:lineRule="exact"/>
        <w:rPr>
          <w:sz w:val="20"/>
          <w:szCs w:val="20"/>
          <w:color w:val="auto"/>
        </w:rPr>
      </w:pPr>
    </w:p>
    <w:p>
      <w:pPr>
        <w:jc w:val="both"/>
        <w:ind w:right="160" w:firstLine="43"/>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No written consent of stockholders. </w:t>
      </w:r>
      <w:r>
        <w:rPr>
          <w:rFonts w:ascii="Times New Roman" w:cs="Times New Roman" w:eastAsia="Times New Roman" w:hAnsi="Times New Roman"/>
          <w:sz w:val="17"/>
          <w:szCs w:val="17"/>
          <w:color w:val="auto"/>
        </w:rPr>
        <w:t>Our amended and restated certificate of incorporation provides that all stockholder actions are required to be taken by a vote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 without holding a meeting of stockholders.</w:t>
      </w:r>
    </w:p>
    <w:p>
      <w:pPr>
        <w:spacing w:after="0" w:line="130" w:lineRule="exact"/>
        <w:rPr>
          <w:sz w:val="20"/>
          <w:szCs w:val="20"/>
          <w:color w:val="auto"/>
        </w:rPr>
      </w:pPr>
    </w:p>
    <w:p>
      <w:pPr>
        <w:ind w:right="180" w:firstLine="43"/>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Meetings of stockholders. </w:t>
      </w:r>
      <w:r>
        <w:rPr>
          <w:rFonts w:ascii="Times New Roman" w:cs="Times New Roman" w:eastAsia="Times New Roman" w:hAnsi="Times New Roman"/>
          <w:sz w:val="17"/>
          <w:szCs w:val="17"/>
          <w:color w:val="auto"/>
        </w:rPr>
        <w:t>Our amended and restated bylaws provide that only a majority of the members of our board of directors then in office may call special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36" w:lineRule="exact"/>
        <w:rPr>
          <w:sz w:val="20"/>
          <w:szCs w:val="20"/>
          <w:color w:val="auto"/>
        </w:rPr>
      </w:pPr>
    </w:p>
    <w:p>
      <w:pPr>
        <w:ind w:right="40" w:firstLine="43"/>
        <w:spacing w:after="0" w:line="259" w:lineRule="auto"/>
        <w:rPr>
          <w:sz w:val="20"/>
          <w:szCs w:val="20"/>
          <w:color w:val="auto"/>
        </w:rPr>
      </w:pPr>
      <w:r>
        <w:rPr>
          <w:rFonts w:ascii="Times New Roman" w:cs="Times New Roman" w:eastAsia="Times New Roman" w:hAnsi="Times New Roman"/>
          <w:sz w:val="17"/>
          <w:szCs w:val="17"/>
          <w:i w:val="1"/>
          <w:iCs w:val="1"/>
          <w:color w:val="auto"/>
        </w:rPr>
        <w:t>Advance notice requirements</w:t>
      </w:r>
      <w:r>
        <w:rPr>
          <w:rFonts w:ascii="Times New Roman" w:cs="Times New Roman" w:eastAsia="Times New Roman" w:hAnsi="Times New Roman"/>
          <w:sz w:val="17"/>
          <w:szCs w:val="17"/>
          <w:color w:val="auto"/>
        </w:rPr>
        <w:t>. Our amended and restated bylaws establish advance notice procedures with regard to stockholder proposals relating to the nomination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amended and restated bylaws.</w:t>
      </w:r>
    </w:p>
    <w:p>
      <w:pPr>
        <w:spacing w:after="0" w:line="134" w:lineRule="exact"/>
        <w:rPr>
          <w:sz w:val="20"/>
          <w:szCs w:val="20"/>
          <w:color w:val="auto"/>
        </w:rPr>
      </w:pPr>
    </w:p>
    <w:p>
      <w:pPr>
        <w:ind w:firstLine="43"/>
        <w:spacing w:after="0" w:line="257" w:lineRule="auto"/>
        <w:rPr>
          <w:sz w:val="20"/>
          <w:szCs w:val="20"/>
          <w:color w:val="auto"/>
        </w:rPr>
      </w:pPr>
      <w:r>
        <w:rPr>
          <w:rFonts w:ascii="Times New Roman" w:cs="Times New Roman" w:eastAsia="Times New Roman" w:hAnsi="Times New Roman"/>
          <w:sz w:val="17"/>
          <w:szCs w:val="17"/>
          <w:i w:val="1"/>
          <w:iCs w:val="1"/>
          <w:color w:val="auto"/>
        </w:rPr>
        <w:t>Amendment to certificate of incorporation and bylaws</w:t>
      </w:r>
      <w:r>
        <w:rPr>
          <w:rFonts w:ascii="Times New Roman" w:cs="Times New Roman" w:eastAsia="Times New Roman" w:hAnsi="Times New Roman"/>
          <w:sz w:val="17"/>
          <w:szCs w:val="17"/>
          <w:color w:val="auto"/>
        </w:rPr>
        <w:t>. As required by the Delaware General Corporation Law, any amendment of our amended and restated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vote of the directors then in office, subject to any limitations</w:t>
      </w:r>
    </w:p>
    <w:p>
      <w:pPr>
        <w:sectPr>
          <w:pgSz w:w="11900" w:h="16838" w:orient="portrait"/>
          <w:cols w:equalWidth="0" w:num="1">
            <w:col w:w="11280"/>
          </w:cols>
          <w:pgMar w:left="300" w:top="1144" w:right="319" w:bottom="1440" w:gutter="0" w:footer="0" w:header="0"/>
        </w:sectPr>
      </w:pPr>
    </w:p>
    <w:bookmarkStart w:id="121" w:name="page122"/>
    <w:bookmarkEnd w:id="121"/>
    <w:p>
      <w:pPr>
        <w:ind w:right="280"/>
        <w:spacing w:after="0" w:line="276" w:lineRule="auto"/>
        <w:rPr>
          <w:sz w:val="20"/>
          <w:szCs w:val="20"/>
          <w:color w:val="auto"/>
        </w:rPr>
      </w:pPr>
      <w:r>
        <w:rPr>
          <w:rFonts w:ascii="Times New Roman" w:cs="Times New Roman" w:eastAsia="Times New Roman" w:hAnsi="Times New Roman"/>
          <w:sz w:val="17"/>
          <w:szCs w:val="17"/>
          <w:color w:val="auto"/>
        </w:rPr>
        <w:t>set forth in the bylaws; and may also be amended by the affirmative vote of at least two thirds of the outstanding shares entitled to vote on the amendment, voting together as a single class.</w:t>
      </w:r>
    </w:p>
    <w:p>
      <w:pPr>
        <w:spacing w:after="0" w:line="119" w:lineRule="exact"/>
        <w:rPr>
          <w:sz w:val="20"/>
          <w:szCs w:val="20"/>
          <w:color w:val="auto"/>
        </w:rPr>
      </w:pPr>
    </w:p>
    <w:p>
      <w:pPr>
        <w:ind w:firstLine="43"/>
        <w:spacing w:after="0" w:line="255" w:lineRule="auto"/>
        <w:rPr>
          <w:sz w:val="20"/>
          <w:szCs w:val="20"/>
          <w:color w:val="auto"/>
        </w:rPr>
      </w:pPr>
      <w:r>
        <w:rPr>
          <w:rFonts w:ascii="Times New Roman" w:cs="Times New Roman" w:eastAsia="Times New Roman" w:hAnsi="Times New Roman"/>
          <w:sz w:val="17"/>
          <w:szCs w:val="17"/>
          <w:i w:val="1"/>
          <w:iCs w:val="1"/>
          <w:color w:val="auto"/>
        </w:rPr>
        <w:t>Undesignated preferred stock</w:t>
      </w:r>
      <w:r>
        <w:rPr>
          <w:rFonts w:ascii="Times New Roman" w:cs="Times New Roman" w:eastAsia="Times New Roman" w:hAnsi="Times New Roman"/>
          <w:sz w:val="17"/>
          <w:szCs w:val="17"/>
          <w:color w:val="auto"/>
        </w:rPr>
        <w:t>. Our amended and restated certificate of incorporation provides for authorized shares of preferred stock. The existence of authorized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00" w:lineRule="exact"/>
        <w:rPr>
          <w:sz w:val="20"/>
          <w:szCs w:val="20"/>
          <w:color w:val="auto"/>
        </w:rPr>
      </w:pPr>
    </w:p>
    <w:p>
      <w:pPr>
        <w:spacing w:after="0" w:line="3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i w:val="1"/>
          <w:iCs w:val="1"/>
          <w:color w:val="auto"/>
        </w:rPr>
        <w:t>Exclusive forum</w:t>
      </w:r>
      <w:r>
        <w:rPr>
          <w:rFonts w:ascii="Times New Roman" w:cs="Times New Roman" w:eastAsia="Times New Roman" w:hAnsi="Times New Roman"/>
          <w:sz w:val="17"/>
          <w:szCs w:val="17"/>
          <w:color w:val="auto"/>
        </w:rPr>
        <w:t>. Our amended and restated bylaws provide that the Court of Chancery of the State of Delaware shall be the sole and exclusive forum for any state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 claims for: (i) any derivative action or proceeding brought on behalf of our Company, (ii) any action asserting a claim of breach of a fiduciary duty owed by any of our directors or officers to the Company or our stockholders, (iii) any action asserting a claim against our Company arising pursuant to any provision of the Delaware General Corporation Law or our certificate of incorporation or bylaws, (iv) any action to interpret, apply, enforce, or determine the validity of our certificate of incorporation or bylaws, or (v) any action asserting a claim against our Company governed by the internal affairs doctrine.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of the United States of America shall be the sole and exclusive forum for resolving any action asserting a claim arising under the Securities Act. Although our amended and restated bylaws contain the choice of forum provision described above, it is possible that a court could rule that such provisions are inapplicable for a particular claim or action or that such provisions are unenforceable.</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Section 203 of the Delaware General Corporation Law</w:t>
      </w:r>
    </w:p>
    <w:p>
      <w:pPr>
        <w:spacing w:after="0" w:line="180" w:lineRule="exact"/>
        <w:rPr>
          <w:sz w:val="20"/>
          <w:szCs w:val="20"/>
          <w:color w:val="auto"/>
        </w:rPr>
      </w:pPr>
    </w:p>
    <w:p>
      <w:pPr>
        <w:ind w:right="220" w:firstLine="43"/>
        <w:spacing w:after="0" w:line="261" w:lineRule="auto"/>
        <w:rPr>
          <w:sz w:val="20"/>
          <w:szCs w:val="20"/>
          <w:color w:val="auto"/>
        </w:rPr>
      </w:pPr>
      <w:r>
        <w:rPr>
          <w:rFonts w:ascii="Times New Roman" w:cs="Times New Roman" w:eastAsia="Times New Roman" w:hAnsi="Times New Roman"/>
          <w:sz w:val="17"/>
          <w:szCs w:val="17"/>
          <w:color w:val="auto"/>
        </w:rPr>
        <w:t>We are subject to the provisions of Section 203 of the Delaware General Corporation Law, or Section 203.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w:t>
      </w:r>
    </w:p>
    <w:p>
      <w:pPr>
        <w:sectPr>
          <w:pgSz w:w="11900" w:h="16838" w:orient="portrait"/>
          <w:cols w:equalWidth="0" w:num="1">
            <w:col w:w="11260"/>
          </w:cols>
          <w:pgMar w:left="300" w:top="1148" w:right="339" w:bottom="1440" w:gutter="0" w:footer="0" w:header="0"/>
        </w:sectPr>
      </w:pPr>
    </w:p>
    <w:bookmarkStart w:id="122" w:name="page123"/>
    <w:bookmarkEnd w:id="122"/>
    <w:p>
      <w:pPr>
        <w:ind w:right="500"/>
        <w:spacing w:after="0" w:line="276" w:lineRule="auto"/>
        <w:rPr>
          <w:sz w:val="20"/>
          <w:szCs w:val="20"/>
          <w:color w:val="auto"/>
        </w:rPr>
      </w:pPr>
      <w:r>
        <w:rPr>
          <w:rFonts w:ascii="Times New Roman" w:cs="Times New Roman" w:eastAsia="Times New Roman" w:hAnsi="Times New Roman"/>
          <w:sz w:val="17"/>
          <w:szCs w:val="17"/>
          <w:color w:val="auto"/>
        </w:rPr>
        <w:t>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23" w:lineRule="exact"/>
        <w:rPr>
          <w:sz w:val="20"/>
          <w:szCs w:val="20"/>
          <w:color w:val="auto"/>
        </w:rPr>
      </w:pPr>
    </w:p>
    <w:p>
      <w:pPr>
        <w:ind w:firstLine="43"/>
        <w:spacing w:after="0" w:line="256" w:lineRule="auto"/>
        <w:rPr>
          <w:sz w:val="20"/>
          <w:szCs w:val="20"/>
          <w:color w:val="auto"/>
        </w:rPr>
      </w:pPr>
      <w:r>
        <w:rPr>
          <w:rFonts w:ascii="Times New Roman" w:cs="Times New Roman" w:eastAsia="Times New Roman" w:hAnsi="Times New Roman"/>
          <w:sz w:val="17"/>
          <w:szCs w:val="17"/>
          <w:color w:val="auto"/>
        </w:rPr>
        <w:t>Under Section 203, a business combination between a corporation and an interested stockholder is prohibited unless it satisfies one of the following conditions: before the stockholder became interested, the Board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the corporation and authorized at an annual or special meeting of the stockholders by the affirmative vote of at least two-thirds of the outstanding voting stock which is not owned by the interested stockholder.</w:t>
      </w:r>
    </w:p>
    <w:p>
      <w:pPr>
        <w:spacing w:after="0" w:line="142" w:lineRule="exact"/>
        <w:rPr>
          <w:sz w:val="20"/>
          <w:szCs w:val="20"/>
          <w:color w:val="auto"/>
        </w:rPr>
      </w:pPr>
    </w:p>
    <w:p>
      <w:pPr>
        <w:ind w:right="120" w:firstLine="33"/>
        <w:spacing w:after="0" w:line="262" w:lineRule="auto"/>
        <w:rPr>
          <w:sz w:val="20"/>
          <w:szCs w:val="20"/>
          <w:color w:val="auto"/>
        </w:rPr>
      </w:pPr>
      <w:r>
        <w:rPr>
          <w:rFonts w:ascii="Times New Roman" w:cs="Times New Roman" w:eastAsia="Times New Roman" w:hAnsi="Times New Roman"/>
          <w:sz w:val="17"/>
          <w:szCs w:val="17"/>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ectPr>
          <w:pgSz w:w="11900" w:h="16838" w:orient="portrait"/>
          <w:cols w:equalWidth="0" w:num="1">
            <w:col w:w="11260"/>
          </w:cols>
          <w:pgMar w:left="300" w:top="1148" w:right="3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6330950</wp:posOffset>
            </wp:positionH>
            <wp:positionV relativeFrom="page">
              <wp:posOffset>843280</wp:posOffset>
            </wp:positionV>
            <wp:extent cx="1024255" cy="5930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024255" cy="59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August 23, 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Dear Minnie:</w:t>
      </w:r>
    </w:p>
    <w:p>
      <w:pPr>
        <w:spacing w:after="0" w:line="179" w:lineRule="exact"/>
        <w:rPr>
          <w:sz w:val="20"/>
          <w:szCs w:val="20"/>
          <w:color w:val="auto"/>
        </w:rPr>
      </w:pPr>
    </w:p>
    <w:p>
      <w:pPr>
        <w:jc w:val="both"/>
        <w:ind w:firstLine="251"/>
        <w:spacing w:after="0" w:line="271" w:lineRule="auto"/>
        <w:rPr>
          <w:sz w:val="20"/>
          <w:szCs w:val="20"/>
          <w:color w:val="auto"/>
        </w:rPr>
      </w:pPr>
      <w:r>
        <w:rPr>
          <w:rFonts w:ascii="Arial" w:cs="Arial" w:eastAsia="Arial" w:hAnsi="Arial"/>
          <w:sz w:val="14"/>
          <w:szCs w:val="14"/>
          <w:color w:val="auto"/>
        </w:rPr>
        <w:t xml:space="preserve">We are very pleased to offer you the position of </w:t>
      </w:r>
      <w:r>
        <w:rPr>
          <w:rFonts w:ascii="Arial" w:cs="Arial" w:eastAsia="Arial" w:hAnsi="Arial"/>
          <w:sz w:val="14"/>
          <w:szCs w:val="14"/>
          <w:b w:val="1"/>
          <w:bCs w:val="1"/>
          <w:color w:val="auto"/>
        </w:rPr>
        <w:t>Chief Development Officer</w:t>
      </w:r>
      <w:r>
        <w:rPr>
          <w:rFonts w:ascii="Arial" w:cs="Arial" w:eastAsia="Arial" w:hAnsi="Arial"/>
          <w:sz w:val="14"/>
          <w:szCs w:val="14"/>
          <w:color w:val="auto"/>
        </w:rPr>
        <w:t>, at Pliant Therapeutics, Inc.,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“Pliant”</w:t>
      </w:r>
      <w:r>
        <w:rPr>
          <w:rFonts w:ascii="Arial" w:cs="Arial" w:eastAsia="Arial" w:hAnsi="Arial"/>
          <w:sz w:val="14"/>
          <w:szCs w:val="14"/>
          <w:color w:val="auto"/>
        </w:rPr>
        <w:t xml:space="preserve">), with an employment commencement date of </w:t>
      </w:r>
      <w:r>
        <w:rPr>
          <w:rFonts w:ascii="Arial" w:cs="Arial" w:eastAsia="Arial" w:hAnsi="Arial"/>
          <w:sz w:val="14"/>
          <w:szCs w:val="14"/>
          <w:b w:val="1"/>
          <w:bCs w:val="1"/>
          <w:color w:val="auto"/>
        </w:rPr>
        <w:t>September 14, 2023</w:t>
      </w:r>
      <w:r>
        <w:rPr>
          <w:rFonts w:ascii="Arial" w:cs="Arial" w:eastAsia="Arial" w:hAnsi="Arial"/>
          <w:sz w:val="14"/>
          <w:szCs w:val="14"/>
          <w:color w:val="auto"/>
        </w:rPr>
        <w:t>. This letter outlines certain terms and conditions of your employment with the Company. We would be delighted to answer any questions you may have.</w:t>
      </w:r>
    </w:p>
    <w:p>
      <w:pPr>
        <w:spacing w:after="0" w:line="13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 xml:space="preserve">You will report to the </w:t>
      </w:r>
      <w:r>
        <w:rPr>
          <w:rFonts w:ascii="Arial" w:cs="Arial" w:eastAsia="Arial" w:hAnsi="Arial"/>
          <w:sz w:val="14"/>
          <w:szCs w:val="14"/>
          <w:b w:val="1"/>
          <w:bCs w:val="1"/>
          <w:color w:val="auto"/>
        </w:rPr>
        <w:t>Chief Executive Officer, Bernard Coulie</w:t>
      </w:r>
      <w:r>
        <w:rPr>
          <w:rFonts w:ascii="Arial" w:cs="Arial" w:eastAsia="Arial" w:hAnsi="Arial"/>
          <w:sz w:val="14"/>
          <w:szCs w:val="14"/>
          <w:color w:val="auto"/>
        </w:rPr>
        <w:t>, at Pliant. You agree that you will devote your best efforts and your full business time to the business and affairs of the Company and its subsidiaries, and you will be expected to be present during regular business hours. Your work location will be at the Company’s offices at 260 Littlefield Avenue, South San Francisco, CA 94080. This is a full-time exempt position.</w:t>
      </w:r>
    </w:p>
    <w:p>
      <w:pPr>
        <w:spacing w:after="0" w:line="13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color w:val="auto"/>
        </w:rPr>
        <w:t>We are offering you starting compensation at the annual salary of</w:t>
      </w:r>
      <w:r>
        <w:rPr>
          <w:rFonts w:ascii="Arial" w:cs="Arial" w:eastAsia="Arial" w:hAnsi="Arial"/>
          <w:sz w:val="14"/>
          <w:szCs w:val="14"/>
          <w:b w:val="1"/>
          <w:bCs w:val="1"/>
          <w:color w:val="auto"/>
        </w:rPr>
        <w:t xml:space="preserve"> $410,000</w:t>
      </w:r>
      <w:r>
        <w:rPr>
          <w:rFonts w:ascii="Arial" w:cs="Arial" w:eastAsia="Arial" w:hAnsi="Arial"/>
          <w:sz w:val="14"/>
          <w:szCs w:val="14"/>
          <w:color w:val="auto"/>
        </w:rPr>
        <w:t>, less applicable withholdings and deductions. Wages are paid semi-monthly in</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the Company’s normal payroll procedures.</w:t>
      </w:r>
    </w:p>
    <w:p>
      <w:pPr>
        <w:spacing w:after="0" w:line="12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4"/>
          <w:szCs w:val="14"/>
          <w:b w:val="1"/>
          <w:bCs w:val="1"/>
          <w:color w:val="auto"/>
        </w:rPr>
        <w:t xml:space="preserve">Annual Cash Incentive Bonus. </w:t>
      </w:r>
      <w:r>
        <w:rPr>
          <w:rFonts w:ascii="Arial" w:cs="Arial" w:eastAsia="Arial" w:hAnsi="Arial"/>
          <w:sz w:val="14"/>
          <w:szCs w:val="14"/>
          <w:color w:val="auto"/>
        </w:rPr>
        <w:t>You may be eligible to receive an annual cash incentive bonus based upon the achievement of annual performance goals or objectives</w:t>
      </w:r>
      <w:r>
        <w:rPr>
          <w:rFonts w:ascii="Arial" w:cs="Arial" w:eastAsia="Arial" w:hAnsi="Arial"/>
          <w:sz w:val="14"/>
          <w:szCs w:val="14"/>
          <w:b w:val="1"/>
          <w:bCs w:val="1"/>
          <w:color w:val="auto"/>
        </w:rPr>
        <w:t xml:space="preserve"> </w:t>
      </w:r>
      <w:r>
        <w:rPr>
          <w:rFonts w:ascii="Arial" w:cs="Arial" w:eastAsia="Arial" w:hAnsi="Arial"/>
          <w:sz w:val="14"/>
          <w:szCs w:val="14"/>
          <w:color w:val="auto"/>
        </w:rPr>
        <w:t>established and measured by the Compensation Committee (the “</w:t>
      </w:r>
      <w:r>
        <w:rPr>
          <w:rFonts w:ascii="Arial" w:cs="Arial" w:eastAsia="Arial" w:hAnsi="Arial"/>
          <w:sz w:val="14"/>
          <w:szCs w:val="14"/>
          <w:b w:val="1"/>
          <w:bCs w:val="1"/>
          <w:i w:val="1"/>
          <w:iCs w:val="1"/>
          <w:color w:val="auto"/>
        </w:rPr>
        <w:t>Committee</w:t>
      </w:r>
      <w:r>
        <w:rPr>
          <w:rFonts w:ascii="Arial" w:cs="Arial" w:eastAsia="Arial" w:hAnsi="Arial"/>
          <w:sz w:val="14"/>
          <w:szCs w:val="14"/>
          <w:color w:val="auto"/>
        </w:rPr>
        <w:t>”) of the Company’s Board of Directors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xml:space="preserve">”) in its sole discretion. You will have a target annual incentive bonus opportunity equal to </w:t>
      </w:r>
      <w:r>
        <w:rPr>
          <w:rFonts w:ascii="Arial" w:cs="Arial" w:eastAsia="Arial" w:hAnsi="Arial"/>
          <w:sz w:val="14"/>
          <w:szCs w:val="14"/>
          <w:b w:val="1"/>
          <w:bCs w:val="1"/>
          <w:color w:val="auto"/>
        </w:rPr>
        <w:t>40%</w:t>
      </w:r>
      <w:r>
        <w:rPr>
          <w:rFonts w:ascii="Arial" w:cs="Arial" w:eastAsia="Arial" w:hAnsi="Arial"/>
          <w:sz w:val="14"/>
          <w:szCs w:val="14"/>
          <w:color w:val="auto"/>
        </w:rPr>
        <w:t xml:space="preserve"> of your annual base salary, payable in accordance with the Company’s annual cash incentive bonus program, as may be amended from time to time. Actual bonus awards may pay below or above your target opportunity, including a zero payout, based on your personal performance and the Company’s achievement of the applicable performance goals or objectives. In order to be eligible for a bonus for any particular calendar year of employment, you must be an employee of the Company prior to October 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of the applicable calendar year, and you must remain employed by the Company through the date the bonus for that year is paid. You may be eligible for a prorated bonus if your employment commencement date is after January 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but prior to October 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of that calendar year.</w:t>
      </w:r>
    </w:p>
    <w:p>
      <w:pPr>
        <w:spacing w:after="0" w:line="9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4"/>
          <w:szCs w:val="14"/>
          <w:b w:val="1"/>
          <w:bCs w:val="1"/>
          <w:color w:val="auto"/>
        </w:rPr>
        <w:t xml:space="preserve">Incentive Compensation. </w:t>
      </w:r>
      <w:r>
        <w:rPr>
          <w:rFonts w:ascii="Arial" w:cs="Arial" w:eastAsia="Arial" w:hAnsi="Arial"/>
          <w:sz w:val="14"/>
          <w:szCs w:val="14"/>
          <w:color w:val="auto"/>
        </w:rPr>
        <w:t>In addition, if you decide to join the Company, subject to approval by the Board or the Committee, following the commencement of your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employment, you will be granted an option to purchase </w:t>
      </w:r>
      <w:r>
        <w:rPr>
          <w:rFonts w:ascii="Arial" w:cs="Arial" w:eastAsia="Arial" w:hAnsi="Arial"/>
          <w:sz w:val="14"/>
          <w:szCs w:val="14"/>
          <w:b w:val="1"/>
          <w:bCs w:val="1"/>
          <w:color w:val="auto"/>
        </w:rPr>
        <w:t>150,000</w:t>
      </w:r>
      <w:r>
        <w:rPr>
          <w:rFonts w:ascii="Arial" w:cs="Arial" w:eastAsia="Arial" w:hAnsi="Arial"/>
          <w:sz w:val="14"/>
          <w:szCs w:val="14"/>
          <w:color w:val="auto"/>
        </w:rPr>
        <w:t xml:space="preserve"> shares of the Company’s Common Stock at an exercise price per share equal to the fair market value per share of such Common Stock on the date of grant (the “</w:t>
      </w:r>
      <w:r>
        <w:rPr>
          <w:rFonts w:ascii="Arial" w:cs="Arial" w:eastAsia="Arial" w:hAnsi="Arial"/>
          <w:sz w:val="14"/>
          <w:szCs w:val="14"/>
          <w:b w:val="1"/>
          <w:bCs w:val="1"/>
          <w:i w:val="1"/>
          <w:iCs w:val="1"/>
          <w:color w:val="auto"/>
        </w:rPr>
        <w:t>Option</w:t>
      </w:r>
      <w:r>
        <w:rPr>
          <w:rFonts w:ascii="Arial" w:cs="Arial" w:eastAsia="Arial" w:hAnsi="Arial"/>
          <w:sz w:val="14"/>
          <w:szCs w:val="14"/>
          <w:color w:val="auto"/>
        </w:rPr>
        <w:t>”). Twenty-five percent (25%) of the shares subject to the Option shall vest on the one-year anniversary of the commencement date of your employment (the “</w:t>
      </w:r>
      <w:r>
        <w:rPr>
          <w:rFonts w:ascii="Arial" w:cs="Arial" w:eastAsia="Arial" w:hAnsi="Arial"/>
          <w:sz w:val="14"/>
          <w:szCs w:val="14"/>
          <w:b w:val="1"/>
          <w:bCs w:val="1"/>
          <w:i w:val="1"/>
          <w:iCs w:val="1"/>
          <w:color w:val="auto"/>
        </w:rPr>
        <w:t>Vesting Commencement Date</w:t>
      </w:r>
      <w:r>
        <w:rPr>
          <w:rFonts w:ascii="Arial" w:cs="Arial" w:eastAsia="Arial" w:hAnsi="Arial"/>
          <w:sz w:val="14"/>
          <w:szCs w:val="14"/>
          <w:color w:val="auto"/>
        </w:rPr>
        <w:t>”), and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shall vest each month thereafter on the same day of the month as the Vesting Commencement Date (or if there is no corresponding day, on the last day of such month), subject to your continued service relationship with the Company through each such date. Your Option shall be subject to the terms and conditions of the Company’s 2020 Stock Option and Incentive Plan, as amended from time to</w:t>
      </w:r>
    </w:p>
    <w:p>
      <w:pPr>
        <w:sectPr>
          <w:pgSz w:w="11900" w:h="16838" w:orient="portrait"/>
          <w:cols w:equalWidth="0" w:num="1">
            <w:col w:w="11280"/>
          </w:cols>
          <w:pgMar w:left="300" w:top="1440" w:right="319" w:bottom="1440" w:gutter="0" w:footer="0" w:header="0"/>
        </w:sectPr>
      </w:pPr>
    </w:p>
    <w:bookmarkStart w:id="124" w:name="page125"/>
    <w:bookmarkEnd w:id="124"/>
    <w:p>
      <w:pPr>
        <w:jc w:val="both"/>
        <w:spacing w:after="0" w:line="271" w:lineRule="auto"/>
        <w:rPr>
          <w:sz w:val="20"/>
          <w:szCs w:val="20"/>
          <w:color w:val="auto"/>
        </w:rPr>
      </w:pPr>
      <w:r>
        <w:rPr>
          <w:rFonts w:ascii="Arial" w:cs="Arial" w:eastAsia="Arial" w:hAnsi="Arial"/>
          <w:sz w:val="14"/>
          <w:szCs w:val="14"/>
          <w:color w:val="auto"/>
        </w:rPr>
        <w:t>time, and form of stock option agreement thereunder, which you will be required to sign as a condition to receiving the Option. No right to any stock is earned or accrued until such time that Company Common Stock is delivered to you upon the exercise of the Option, nor does the Option confer any right to continue vesting, employment or other service relationship with the Company.</w:t>
      </w:r>
    </w:p>
    <w:p>
      <w:pPr>
        <w:spacing w:after="0" w:line="134" w:lineRule="exact"/>
        <w:rPr>
          <w:sz w:val="20"/>
          <w:szCs w:val="20"/>
          <w:color w:val="auto"/>
        </w:rPr>
      </w:pPr>
    </w:p>
    <w:p>
      <w:pPr>
        <w:ind w:right="180" w:firstLine="509"/>
        <w:spacing w:after="0" w:line="290" w:lineRule="auto"/>
        <w:rPr>
          <w:sz w:val="20"/>
          <w:szCs w:val="20"/>
          <w:color w:val="auto"/>
        </w:rPr>
      </w:pPr>
      <w:r>
        <w:rPr>
          <w:rFonts w:ascii="Arial" w:cs="Arial" w:eastAsia="Arial" w:hAnsi="Arial"/>
          <w:sz w:val="14"/>
          <w:szCs w:val="14"/>
          <w:b w:val="1"/>
          <w:bCs w:val="1"/>
          <w:color w:val="auto"/>
        </w:rPr>
        <w:t xml:space="preserve">Sign On Bonus. </w:t>
      </w:r>
      <w:r>
        <w:rPr>
          <w:rFonts w:ascii="Arial" w:cs="Arial" w:eastAsia="Arial" w:hAnsi="Arial"/>
          <w:sz w:val="14"/>
          <w:szCs w:val="14"/>
          <w:color w:val="auto"/>
        </w:rPr>
        <w:t>In addition to your regular salary, we would like to offer you a</w:t>
      </w:r>
      <w:r>
        <w:rPr>
          <w:rFonts w:ascii="Arial" w:cs="Arial" w:eastAsia="Arial" w:hAnsi="Arial"/>
          <w:sz w:val="14"/>
          <w:szCs w:val="14"/>
          <w:b w:val="1"/>
          <w:bCs w:val="1"/>
          <w:color w:val="auto"/>
        </w:rPr>
        <w:t xml:space="preserve"> $150,000 signing bonus </w:t>
      </w:r>
      <w:r>
        <w:rPr>
          <w:rFonts w:ascii="Arial" w:cs="Arial" w:eastAsia="Arial" w:hAnsi="Arial"/>
          <w:sz w:val="14"/>
          <w:szCs w:val="14"/>
          <w:color w:val="auto"/>
        </w:rPr>
        <w:t>(less applicable taxes and withholdings), payable upon receiving</w:t>
      </w:r>
      <w:r>
        <w:rPr>
          <w:rFonts w:ascii="Arial" w:cs="Arial" w:eastAsia="Arial" w:hAnsi="Arial"/>
          <w:sz w:val="14"/>
          <w:szCs w:val="14"/>
          <w:b w:val="1"/>
          <w:bCs w:val="1"/>
          <w:color w:val="auto"/>
        </w:rPr>
        <w:t xml:space="preserve"> </w:t>
      </w:r>
      <w:r>
        <w:rPr>
          <w:rFonts w:ascii="Arial" w:cs="Arial" w:eastAsia="Arial" w:hAnsi="Arial"/>
          <w:sz w:val="14"/>
          <w:szCs w:val="14"/>
          <w:color w:val="auto"/>
        </w:rPr>
        <w:t>your first paycheck.</w:t>
      </w:r>
    </w:p>
    <w:p>
      <w:pPr>
        <w:spacing w:after="0" w:line="12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b w:val="1"/>
          <w:bCs w:val="1"/>
          <w:color w:val="auto"/>
        </w:rPr>
        <w:t xml:space="preserve">Employee Benefits. </w:t>
      </w:r>
      <w:r>
        <w:rPr>
          <w:rFonts w:ascii="Arial" w:cs="Arial" w:eastAsia="Arial" w:hAnsi="Arial"/>
          <w:sz w:val="14"/>
          <w:szCs w:val="14"/>
          <w:color w:val="auto"/>
        </w:rPr>
        <w:t>You will be eligible to participate in the Company’s standard employee benefits including vacation, sick leave, medical, dental, life, 401(k), accidental</w:t>
      </w:r>
      <w:r>
        <w:rPr>
          <w:rFonts w:ascii="Arial" w:cs="Arial" w:eastAsia="Arial" w:hAnsi="Arial"/>
          <w:sz w:val="14"/>
          <w:szCs w:val="14"/>
          <w:b w:val="1"/>
          <w:bCs w:val="1"/>
          <w:color w:val="auto"/>
        </w:rPr>
        <w:t xml:space="preserve"> </w:t>
      </w:r>
      <w:r>
        <w:rPr>
          <w:rFonts w:ascii="Arial" w:cs="Arial" w:eastAsia="Arial" w:hAnsi="Arial"/>
          <w:sz w:val="14"/>
          <w:szCs w:val="14"/>
          <w:color w:val="auto"/>
        </w:rPr>
        <w:t>life and dismemberment, and disability benefits, as in effect at the time of hire. Certain participation costs for our employee benefit programs are borne by our employees. Participation in our employee benefit programs is subject to the terms of the underlying plans and requirements established by the group insurance carriers. The Company reserves the right to discontinue or amend its employee benefits, including group insurance programs, from time to time in its sole discretion. Participation in any benefit program is not to be regarded as assurance of continued employment or other service relationship with the Company for any particular period of time.</w:t>
      </w:r>
    </w:p>
    <w:p>
      <w:pPr>
        <w:spacing w:after="0" w:line="14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b w:val="1"/>
          <w:bCs w:val="1"/>
          <w:color w:val="auto"/>
        </w:rPr>
        <w:t xml:space="preserve">No conflicts. </w:t>
      </w:r>
      <w:r>
        <w:rPr>
          <w:rFonts w:ascii="Arial" w:cs="Arial" w:eastAsia="Arial" w:hAnsi="Arial"/>
          <w:sz w:val="14"/>
          <w:szCs w:val="14"/>
          <w:color w:val="auto"/>
        </w:rPr>
        <w:t>By signing below, you agree that there is no lawful reason to prevent you from accepting a position with the Company. We also ask that, if you have not</w:t>
      </w:r>
      <w:r>
        <w:rPr>
          <w:rFonts w:ascii="Arial" w:cs="Arial" w:eastAsia="Arial" w:hAnsi="Arial"/>
          <w:sz w:val="14"/>
          <w:szCs w:val="14"/>
          <w:b w:val="1"/>
          <w:bCs w:val="1"/>
          <w:color w:val="auto"/>
        </w:rPr>
        <w:t xml:space="preserve"> </w:t>
      </w:r>
      <w:r>
        <w:rPr>
          <w:rFonts w:ascii="Arial" w:cs="Arial" w:eastAsia="Arial" w:hAnsi="Arial"/>
          <w:sz w:val="14"/>
          <w:szCs w:val="14"/>
          <w:color w:val="auto"/>
        </w:rPr>
        <w:t>already done so, you disclose to the Company any and all agreements relating to your prior employment that may affect your eligibility to be employed by the Company or limit the manner in which you may be employed by the Company. It is the Company’s understanding that any such agreements will not prevent you from performing the duties of your position with the Company, and you represent that such is the case.</w:t>
      </w:r>
    </w:p>
    <w:p>
      <w:pPr>
        <w:spacing w:after="0" w:line="13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b w:val="1"/>
          <w:bCs w:val="1"/>
          <w:color w:val="auto"/>
        </w:rPr>
        <w:t xml:space="preserve">Company Policies. </w:t>
      </w:r>
      <w:r>
        <w:rPr>
          <w:rFonts w:ascii="Arial" w:cs="Arial" w:eastAsia="Arial" w:hAnsi="Arial"/>
          <w:sz w:val="14"/>
          <w:szCs w:val="14"/>
          <w:color w:val="auto"/>
        </w:rPr>
        <w:t>As a Company employee, you will be expected to abide by the Company’s rules and policies which may change from time to time in accordance with</w:t>
      </w:r>
      <w:r>
        <w:rPr>
          <w:rFonts w:ascii="Arial" w:cs="Arial" w:eastAsia="Arial" w:hAnsi="Arial"/>
          <w:sz w:val="14"/>
          <w:szCs w:val="14"/>
          <w:b w:val="1"/>
          <w:bCs w:val="1"/>
          <w:color w:val="auto"/>
        </w:rPr>
        <w:t xml:space="preserve"> </w:t>
      </w:r>
      <w:r>
        <w:rPr>
          <w:rFonts w:ascii="Arial" w:cs="Arial" w:eastAsia="Arial" w:hAnsi="Arial"/>
          <w:sz w:val="14"/>
          <w:szCs w:val="14"/>
          <w:color w:val="auto"/>
        </w:rPr>
        <w:t>applicable laws. Such policies may include, without limitation, stock ownership guidelines, clawback policies, insider trading policies and policies regarding hedging or pledging of Company Common Stock.</w:t>
      </w:r>
    </w:p>
    <w:p>
      <w:pPr>
        <w:spacing w:after="0" w:line="134" w:lineRule="exact"/>
        <w:rPr>
          <w:sz w:val="20"/>
          <w:szCs w:val="20"/>
          <w:color w:val="auto"/>
        </w:rPr>
      </w:pPr>
    </w:p>
    <w:p>
      <w:pPr>
        <w:jc w:val="both"/>
        <w:ind w:firstLine="181"/>
        <w:spacing w:after="0" w:line="290" w:lineRule="auto"/>
        <w:rPr>
          <w:sz w:val="20"/>
          <w:szCs w:val="20"/>
          <w:color w:val="auto"/>
        </w:rPr>
      </w:pPr>
      <w:r>
        <w:rPr>
          <w:rFonts w:ascii="Arial" w:cs="Arial" w:eastAsia="Arial" w:hAnsi="Arial"/>
          <w:sz w:val="14"/>
          <w:szCs w:val="14"/>
          <w:b w:val="1"/>
          <w:bCs w:val="1"/>
          <w:color w:val="auto"/>
        </w:rPr>
        <w:t xml:space="preserve">Marketing and Photo Consent and Release. </w:t>
      </w:r>
      <w:r>
        <w:rPr>
          <w:rFonts w:ascii="Arial" w:cs="Arial" w:eastAsia="Arial" w:hAnsi="Arial"/>
          <w:sz w:val="14"/>
          <w:szCs w:val="14"/>
          <w:color w:val="auto"/>
        </w:rPr>
        <w:t>As a condition of your employment with the Company, you will be required to sign the Company’s Marketing and Photo Consent</w:t>
      </w:r>
      <w:r>
        <w:rPr>
          <w:rFonts w:ascii="Arial" w:cs="Arial" w:eastAsia="Arial" w:hAnsi="Arial"/>
          <w:sz w:val="14"/>
          <w:szCs w:val="14"/>
          <w:b w:val="1"/>
          <w:bCs w:val="1"/>
          <w:color w:val="auto"/>
        </w:rPr>
        <w:t xml:space="preserve"> </w:t>
      </w:r>
      <w:r>
        <w:rPr>
          <w:rFonts w:ascii="Arial" w:cs="Arial" w:eastAsia="Arial" w:hAnsi="Arial"/>
          <w:sz w:val="14"/>
          <w:szCs w:val="14"/>
          <w:color w:val="auto"/>
        </w:rPr>
        <w:t>and Release form.</w:t>
      </w:r>
    </w:p>
    <w:p>
      <w:pPr>
        <w:spacing w:after="0" w:line="12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b w:val="1"/>
          <w:bCs w:val="1"/>
          <w:color w:val="auto"/>
        </w:rPr>
        <w:t xml:space="preserve">Confidential Information/Nondisclosure/Nonsolicitation of Employees. </w:t>
      </w:r>
      <w:r>
        <w:rPr>
          <w:rFonts w:ascii="Arial" w:cs="Arial" w:eastAsia="Arial" w:hAnsi="Arial"/>
          <w:sz w:val="14"/>
          <w:szCs w:val="14"/>
          <w:color w:val="auto"/>
        </w:rPr>
        <w:t>As a condition of your employment with the Company, you will be required to sign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Confidential Information and Invention Assignment Agreement, a copy of which is enclosed (the “</w:t>
      </w:r>
      <w:r>
        <w:rPr>
          <w:rFonts w:ascii="Arial" w:cs="Arial" w:eastAsia="Arial" w:hAnsi="Arial"/>
          <w:sz w:val="14"/>
          <w:szCs w:val="14"/>
          <w:b w:val="1"/>
          <w:bCs w:val="1"/>
          <w:i w:val="1"/>
          <w:iCs w:val="1"/>
          <w:color w:val="auto"/>
        </w:rPr>
        <w:t>Confidentiality Agreement</w:t>
      </w:r>
      <w:r>
        <w:rPr>
          <w:rFonts w:ascii="Arial" w:cs="Arial" w:eastAsia="Arial" w:hAnsi="Arial"/>
          <w:sz w:val="14"/>
          <w:szCs w:val="14"/>
          <w:color w:val="auto"/>
        </w:rPr>
        <w:t>”). For the avoidance of doubt, nothing contained in this letter or the Confidentiality Agreement limits your ability to report possible violations of law or regulation to, or file a charge or complaint with any federal, state or local governmental agency or commission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Government Agencies</w:t>
      </w:r>
      <w:r>
        <w:rPr>
          <w:rFonts w:ascii="Arial" w:cs="Arial" w:eastAsia="Arial" w:hAnsi="Arial"/>
          <w:sz w:val="14"/>
          <w:szCs w:val="14"/>
          <w:b w:val="1"/>
          <w:bCs w:val="1"/>
          <w:color w:val="auto"/>
        </w:rPr>
        <w:t>”</w:t>
      </w:r>
      <w:r>
        <w:rPr>
          <w:rFonts w:ascii="Arial" w:cs="Arial" w:eastAsia="Arial" w:hAnsi="Arial"/>
          <w:sz w:val="14"/>
          <w:szCs w:val="14"/>
          <w:color w:val="auto"/>
        </w:rPr>
        <w:t>). Further, nothing in this letter or the Confidentiality Agreement shall limit your ability under applicable law to</w:t>
      </w:r>
    </w:p>
    <w:p>
      <w:pPr>
        <w:spacing w:after="0" w:line="1" w:lineRule="exact"/>
        <w:rPr>
          <w:sz w:val="20"/>
          <w:szCs w:val="20"/>
          <w:color w:val="auto"/>
        </w:rPr>
      </w:pPr>
    </w:p>
    <w:p>
      <w:pPr>
        <w:jc w:val="both"/>
        <w:ind w:firstLine="5"/>
        <w:spacing w:after="0" w:line="257" w:lineRule="auto"/>
        <w:tabs>
          <w:tab w:leader="none" w:pos="173" w:val="left"/>
        </w:tabs>
        <w:numPr>
          <w:ilvl w:val="0"/>
          <w:numId w:val="64"/>
        </w:numPr>
        <w:rPr>
          <w:rFonts w:ascii="Arial" w:cs="Arial" w:eastAsia="Arial" w:hAnsi="Arial"/>
          <w:sz w:val="14"/>
          <w:szCs w:val="14"/>
          <w:color w:val="auto"/>
        </w:rPr>
      </w:pPr>
      <w:r>
        <w:rPr>
          <w:rFonts w:ascii="Arial" w:cs="Arial" w:eastAsia="Arial" w:hAnsi="Arial"/>
          <w:sz w:val="14"/>
          <w:szCs w:val="14"/>
          <w:color w:val="auto"/>
        </w:rPr>
        <w:t>disclose in confidence trade secrets to federal, state, and local government officials, or to an attorney, for the sole purpose of reporting or investigating a suspected violation of law, (ii) disclose trade secrets in a document filed in a lawsuit or other proceeding, but only if the filing is made under seal and protected from public disclosure or (iii) communicate with any Government Agencies or otherwise participate in any investigation or proceeding that may be conducted by any Government Agency, including providing documents or other information, without notice to the Company. Further, nothing in this Agreement prevents you from discussing or disclosing information about unlawful acts in the workplace, such as harassment or discrimination or any other conduct that you have reason to believe is unlawful.</w:t>
      </w:r>
    </w:p>
    <w:p>
      <w:pPr>
        <w:sectPr>
          <w:pgSz w:w="11900" w:h="16838" w:orient="portrait"/>
          <w:cols w:equalWidth="0" w:num="1">
            <w:col w:w="11280"/>
          </w:cols>
          <w:pgMar w:left="300" w:top="1313" w:right="319" w:bottom="1440" w:gutter="0" w:footer="0" w:header="0"/>
        </w:sectPr>
      </w:pPr>
    </w:p>
    <w:bookmarkStart w:id="125" w:name="page126"/>
    <w:bookmarkEnd w:id="125"/>
    <w:p>
      <w:pPr>
        <w:jc w:val="both"/>
        <w:ind w:firstLine="509"/>
        <w:spacing w:after="0" w:line="290" w:lineRule="auto"/>
        <w:rPr>
          <w:sz w:val="20"/>
          <w:szCs w:val="20"/>
          <w:color w:val="auto"/>
        </w:rPr>
      </w:pPr>
      <w:r>
        <w:rPr>
          <w:rFonts w:ascii="Arial" w:cs="Arial" w:eastAsia="Arial" w:hAnsi="Arial"/>
          <w:sz w:val="14"/>
          <w:szCs w:val="14"/>
          <w:b w:val="1"/>
          <w:bCs w:val="1"/>
          <w:color w:val="auto"/>
        </w:rPr>
        <w:t xml:space="preserve">Dispute Resolution Arbitration. </w:t>
      </w:r>
      <w:r>
        <w:rPr>
          <w:rFonts w:ascii="Arial" w:cs="Arial" w:eastAsia="Arial" w:hAnsi="Arial"/>
          <w:sz w:val="14"/>
          <w:szCs w:val="14"/>
          <w:color w:val="auto"/>
        </w:rPr>
        <w:t>As a condition of your employment, you must sign the enclosed Mutual Arbitration Agreement which you should carefully review. Also</w:t>
      </w:r>
      <w:r>
        <w:rPr>
          <w:rFonts w:ascii="Arial" w:cs="Arial" w:eastAsia="Arial" w:hAnsi="Arial"/>
          <w:sz w:val="14"/>
          <w:szCs w:val="14"/>
          <w:b w:val="1"/>
          <w:bCs w:val="1"/>
          <w:color w:val="auto"/>
        </w:rPr>
        <w:t xml:space="preserve"> </w:t>
      </w:r>
      <w:r>
        <w:rPr>
          <w:rFonts w:ascii="Arial" w:cs="Arial" w:eastAsia="Arial" w:hAnsi="Arial"/>
          <w:sz w:val="14"/>
          <w:szCs w:val="14"/>
          <w:color w:val="auto"/>
        </w:rPr>
        <w:t>enclosed are the related JAMS Rules.</w:t>
      </w:r>
    </w:p>
    <w:p>
      <w:pPr>
        <w:spacing w:after="0" w:line="12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b w:val="1"/>
          <w:bCs w:val="1"/>
          <w:color w:val="auto"/>
        </w:rPr>
        <w:t xml:space="preserve">At-Will Employment. </w:t>
      </w:r>
      <w:r>
        <w:rPr>
          <w:rFonts w:ascii="Arial" w:cs="Arial" w:eastAsia="Arial" w:hAnsi="Arial"/>
          <w:sz w:val="14"/>
          <w:szCs w:val="14"/>
          <w:color w:val="auto"/>
        </w:rPr>
        <w:t>Your employment is at will, which means that either you or the Company can terminate your employment with the Company at any time with or</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notice and with or without cause. Nothing in this letter or the Offer Package Documents (as defined below) shall be construed to alter the at-will nature of your employment relationship with the Company. In addition, nothing in this letter prohibits the Company from terminating or modifying any of its compensation or benefits programs at any time.</w:t>
      </w:r>
    </w:p>
    <w:p>
      <w:pPr>
        <w:spacing w:after="0" w:line="13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b w:val="1"/>
          <w:bCs w:val="1"/>
          <w:color w:val="auto"/>
        </w:rPr>
        <w:t xml:space="preserve">Conditions to Employment. </w:t>
      </w:r>
      <w:r>
        <w:rPr>
          <w:rFonts w:ascii="Arial" w:cs="Arial" w:eastAsia="Arial" w:hAnsi="Arial"/>
          <w:sz w:val="14"/>
          <w:szCs w:val="14"/>
          <w:color w:val="auto"/>
        </w:rPr>
        <w:t>The Company reserves the right to conduct background investigations and reference checks on all of its potential employees. Your job offer,</w:t>
      </w:r>
      <w:r>
        <w:rPr>
          <w:rFonts w:ascii="Arial" w:cs="Arial" w:eastAsia="Arial" w:hAnsi="Arial"/>
          <w:sz w:val="14"/>
          <w:szCs w:val="14"/>
          <w:b w:val="1"/>
          <w:bCs w:val="1"/>
          <w:color w:val="auto"/>
        </w:rPr>
        <w:t xml:space="preserve"> </w:t>
      </w:r>
      <w:r>
        <w:rPr>
          <w:rFonts w:ascii="Arial" w:cs="Arial" w:eastAsia="Arial" w:hAnsi="Arial"/>
          <w:sz w:val="14"/>
          <w:szCs w:val="14"/>
          <w:color w:val="auto"/>
        </w:rPr>
        <w:t>therefore, is contingent upon a clearance of such background investigations and reference checks. For purposes of federal immigration law, you are required, as a condition of employment,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3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b w:val="1"/>
          <w:bCs w:val="1"/>
          <w:color w:val="auto"/>
        </w:rPr>
        <w:t xml:space="preserve">Severability. </w:t>
      </w:r>
      <w:r>
        <w:rPr>
          <w:rFonts w:ascii="Arial" w:cs="Arial" w:eastAsia="Arial" w:hAnsi="Arial"/>
          <w:sz w:val="14"/>
          <w:szCs w:val="14"/>
          <w:color w:val="auto"/>
        </w:rPr>
        <w:t>Should any provision contained in this letter be held as invalid, illegal or unenforceable, such holding shall not affect the validity of the remainder of this letter,</w:t>
      </w:r>
      <w:r>
        <w:rPr>
          <w:rFonts w:ascii="Arial" w:cs="Arial" w:eastAsia="Arial" w:hAnsi="Arial"/>
          <w:sz w:val="14"/>
          <w:szCs w:val="14"/>
          <w:b w:val="1"/>
          <w:bCs w:val="1"/>
          <w:color w:val="auto"/>
        </w:rPr>
        <w:t xml:space="preserve"> </w:t>
      </w:r>
      <w:r>
        <w:rPr>
          <w:rFonts w:ascii="Arial" w:cs="Arial" w:eastAsia="Arial" w:hAnsi="Arial"/>
          <w:sz w:val="14"/>
          <w:szCs w:val="14"/>
          <w:color w:val="auto"/>
        </w:rPr>
        <w:t>the balance of which shall continue to be binding upon the parties with any such modification to become a part hereof and treated as though originally set forth herein.</w:t>
      </w:r>
    </w:p>
    <w:p>
      <w:pPr>
        <w:spacing w:after="0" w:line="120" w:lineRule="exact"/>
        <w:rPr>
          <w:sz w:val="20"/>
          <w:szCs w:val="20"/>
          <w:color w:val="auto"/>
        </w:rPr>
      </w:pPr>
    </w:p>
    <w:p>
      <w:pPr>
        <w:jc w:val="both"/>
        <w:ind w:firstLine="509"/>
        <w:spacing w:after="0" w:line="302" w:lineRule="auto"/>
        <w:rPr>
          <w:sz w:val="20"/>
          <w:szCs w:val="20"/>
          <w:color w:val="auto"/>
        </w:rPr>
      </w:pPr>
      <w:r>
        <w:rPr>
          <w:rFonts w:ascii="Arial" w:cs="Arial" w:eastAsia="Arial" w:hAnsi="Arial"/>
          <w:sz w:val="14"/>
          <w:szCs w:val="14"/>
          <w:b w:val="1"/>
          <w:bCs w:val="1"/>
          <w:color w:val="auto"/>
        </w:rPr>
        <w:t xml:space="preserve">Enclosures. </w:t>
      </w:r>
      <w:r>
        <w:rPr>
          <w:rFonts w:ascii="Arial" w:cs="Arial" w:eastAsia="Arial" w:hAnsi="Arial"/>
          <w:sz w:val="14"/>
          <w:szCs w:val="14"/>
          <w:color w:val="auto"/>
        </w:rPr>
        <w:t>The Confidentiality Agreement, the Marketing and Photo Release and Consent, and the Mutual Arbitration Agreement are collectively referred to as the “</w:t>
      </w:r>
      <w:r>
        <w:rPr>
          <w:rFonts w:ascii="Arial" w:cs="Arial" w:eastAsia="Arial" w:hAnsi="Arial"/>
          <w:sz w:val="14"/>
          <w:szCs w:val="14"/>
          <w:b w:val="1"/>
          <w:bCs w:val="1"/>
          <w:i w:val="1"/>
          <w:iCs w:val="1"/>
          <w:color w:val="auto"/>
        </w:rPr>
        <w:t>Offer</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Package Documents</w:t>
      </w:r>
      <w:r>
        <w:rPr>
          <w:rFonts w:ascii="Arial" w:cs="Arial" w:eastAsia="Arial" w:hAnsi="Arial"/>
          <w:sz w:val="14"/>
          <w:szCs w:val="14"/>
          <w:color w:val="auto"/>
        </w:rPr>
        <w:t>.”</w:t>
      </w:r>
    </w:p>
    <w:p>
      <w:pPr>
        <w:spacing w:after="0" w:line="104" w:lineRule="exact"/>
        <w:rPr>
          <w:sz w:val="20"/>
          <w:szCs w:val="20"/>
          <w:color w:val="auto"/>
        </w:rPr>
      </w:pPr>
    </w:p>
    <w:p>
      <w:pPr>
        <w:jc w:val="both"/>
        <w:ind w:firstLine="509"/>
        <w:spacing w:after="0" w:line="302" w:lineRule="auto"/>
        <w:rPr>
          <w:sz w:val="20"/>
          <w:szCs w:val="20"/>
          <w:color w:val="auto"/>
        </w:rPr>
      </w:pPr>
      <w:r>
        <w:rPr>
          <w:rFonts w:ascii="Arial" w:cs="Arial" w:eastAsia="Arial" w:hAnsi="Arial"/>
          <w:sz w:val="14"/>
          <w:szCs w:val="14"/>
          <w:b w:val="1"/>
          <w:bCs w:val="1"/>
          <w:color w:val="auto"/>
        </w:rPr>
        <w:t xml:space="preserve">Acceptance of Offer. </w:t>
      </w:r>
      <w:r>
        <w:rPr>
          <w:rFonts w:ascii="Arial" w:cs="Arial" w:eastAsia="Arial" w:hAnsi="Arial"/>
          <w:sz w:val="14"/>
          <w:szCs w:val="14"/>
          <w:color w:val="auto"/>
        </w:rPr>
        <w:t>To accept the Company’s offer of employment, please sign and date this letter in the space provided below and return it to me no later than five (5)</w:t>
      </w:r>
      <w:r>
        <w:rPr>
          <w:rFonts w:ascii="Arial" w:cs="Arial" w:eastAsia="Arial" w:hAnsi="Arial"/>
          <w:sz w:val="14"/>
          <w:szCs w:val="14"/>
          <w:b w:val="1"/>
          <w:bCs w:val="1"/>
          <w:color w:val="auto"/>
        </w:rPr>
        <w:t xml:space="preserve"> </w:t>
      </w:r>
      <w:r>
        <w:rPr>
          <w:rFonts w:ascii="Arial" w:cs="Arial" w:eastAsia="Arial" w:hAnsi="Arial"/>
          <w:sz w:val="14"/>
          <w:szCs w:val="14"/>
          <w:color w:val="auto"/>
        </w:rPr>
        <w:t>days after the date of this letter (the “</w:t>
      </w:r>
      <w:r>
        <w:rPr>
          <w:rFonts w:ascii="Arial" w:cs="Arial" w:eastAsia="Arial" w:hAnsi="Arial"/>
          <w:sz w:val="14"/>
          <w:szCs w:val="14"/>
          <w:b w:val="1"/>
          <w:bCs w:val="1"/>
          <w:color w:val="auto"/>
        </w:rPr>
        <w:t>Offer Deadline</w:t>
      </w:r>
      <w:r>
        <w:rPr>
          <w:rFonts w:ascii="Arial" w:cs="Arial" w:eastAsia="Arial" w:hAnsi="Arial"/>
          <w:sz w:val="14"/>
          <w:szCs w:val="14"/>
          <w:color w:val="auto"/>
        </w:rPr>
        <w:t>”) along with the Offer Package Documents. A duplicate original of this letter is enclosed for your records.</w:t>
      </w:r>
    </w:p>
    <w:p>
      <w:pPr>
        <w:spacing w:after="0" w:line="10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b w:val="1"/>
          <w:bCs w:val="1"/>
          <w:color w:val="auto"/>
        </w:rPr>
        <w:t xml:space="preserve">Entire Agreement. </w:t>
      </w:r>
      <w:r>
        <w:rPr>
          <w:rFonts w:ascii="Arial" w:cs="Arial" w:eastAsia="Arial" w:hAnsi="Arial"/>
          <w:sz w:val="14"/>
          <w:szCs w:val="14"/>
          <w:color w:val="auto"/>
        </w:rPr>
        <w:t>This letter, along with the Offer Package Documents, sets forth the terms of your employment with the Company and supersedes any prior</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a written agreement signed by you and the Company’s Chief Executive Officer. This offer of employment will terminate if it is not accepted, signed and returned by the Offer Deadline.</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are excited by the prospect of your joining our team and our working together to promote you and the Company’s success.</w:t>
      </w:r>
    </w:p>
    <w:p>
      <w:pPr>
        <w:spacing w:after="0" w:line="200" w:lineRule="exact"/>
        <w:rPr>
          <w:sz w:val="20"/>
          <w:szCs w:val="20"/>
          <w:color w:val="auto"/>
        </w:rPr>
      </w:pPr>
    </w:p>
    <w:p>
      <w:pPr>
        <w:spacing w:after="0" w:line="339"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Sincerely,</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14"/>
          <w:szCs w:val="14"/>
          <w:u w:val="single" w:color="auto"/>
          <w:color w:val="auto"/>
        </w:rPr>
        <w:t>/s/ Lily Cheung________________________</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4"/>
          <w:szCs w:val="14"/>
          <w:color w:val="auto"/>
        </w:rPr>
        <w:t>Lily Cheung</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4"/>
          <w:szCs w:val="14"/>
          <w:color w:val="auto"/>
        </w:rPr>
        <w:t>Chief Human Resources Officer</w:t>
      </w:r>
    </w:p>
    <w:p>
      <w:pPr>
        <w:sectPr>
          <w:pgSz w:w="11900" w:h="16838" w:orient="portrait"/>
          <w:cols w:equalWidth="0" w:num="1">
            <w:col w:w="11280"/>
          </w:cols>
          <w:pgMar w:left="300" w:top="1313" w:right="319" w:bottom="1440" w:gutter="0" w:footer="0" w:header="0"/>
        </w:sectPr>
      </w:pPr>
    </w:p>
    <w:bookmarkStart w:id="126" w:name="page127"/>
    <w:bookmarkEnd w:id="126"/>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(Employee signature on following page)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Agreed to and accepted:</w:t>
      </w:r>
    </w:p>
    <w:p>
      <w:pPr>
        <w:spacing w:after="0" w:line="179"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color w:val="auto"/>
        </w:rPr>
        <w:t>Signature:</w:t>
        <w:tab/>
        <w:t>/s/ Minnie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-4445</wp:posOffset>
            </wp:positionV>
            <wp:extent cx="66865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668655" cy="6985"/>
                    </a:xfrm>
                    <a:prstGeom prst="rect">
                      <a:avLst/>
                    </a:prstGeom>
                    <a:noFill/>
                  </pic:spPr>
                </pic:pic>
              </a:graphicData>
            </a:graphic>
          </wp:anchor>
        </w:drawing>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Printer Name:</w:t>
      </w:r>
      <w:r>
        <w:rPr>
          <w:sz w:val="20"/>
          <w:szCs w:val="20"/>
          <w:color w:val="auto"/>
        </w:rPr>
        <w:tab/>
      </w:r>
      <w:r>
        <w:rPr>
          <w:rFonts w:ascii="Arial" w:cs="Arial" w:eastAsia="Arial" w:hAnsi="Arial"/>
          <w:sz w:val="13"/>
          <w:szCs w:val="13"/>
          <w:color w:val="auto"/>
        </w:rPr>
        <w:t>Minnie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-4445</wp:posOffset>
            </wp:positionV>
            <wp:extent cx="54927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54927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Date: 8/23/23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-4445</wp:posOffset>
            </wp:positionV>
            <wp:extent cx="39941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99415" cy="6985"/>
                    </a:xfrm>
                    <a:prstGeom prst="rect">
                      <a:avLst/>
                    </a:prstGeom>
                    <a:noFill/>
                  </pic:spPr>
                </pic:pic>
              </a:graphicData>
            </a:graphic>
          </wp:anchor>
        </w:drawing>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color w:val="auto"/>
        </w:rPr>
        <w:t xml:space="preserve">Enclosures: </w:t>
      </w:r>
      <w:r>
        <w:rPr>
          <w:rFonts w:ascii="Arial" w:cs="Arial" w:eastAsia="Arial" w:hAnsi="Arial"/>
          <w:sz w:val="14"/>
          <w:szCs w:val="14"/>
          <w:color w:val="auto"/>
        </w:rPr>
        <w:t>Duplicate Letter; Confidential Information and Invention Assignment Agreement; Marketing and Photo Release and Consent; Mutual Arbitration Agreement; JAMS</w:t>
      </w:r>
      <w:r>
        <w:rPr>
          <w:rFonts w:ascii="Arial" w:cs="Arial" w:eastAsia="Arial" w:hAnsi="Arial"/>
          <w:sz w:val="14"/>
          <w:szCs w:val="14"/>
          <w:b w:val="1"/>
          <w:bCs w:val="1"/>
          <w:color w:val="auto"/>
        </w:rPr>
        <w:t xml:space="preserve"> </w:t>
      </w:r>
      <w:r>
        <w:rPr>
          <w:rFonts w:ascii="Arial" w:cs="Arial" w:eastAsia="Arial" w:hAnsi="Arial"/>
          <w:sz w:val="14"/>
          <w:szCs w:val="14"/>
          <w:color w:val="auto"/>
        </w:rPr>
        <w:t>Rules</w:t>
      </w:r>
    </w:p>
    <w:p>
      <w:pPr>
        <w:sectPr>
          <w:pgSz w:w="11900" w:h="16838" w:orient="portrait"/>
          <w:cols w:equalWidth="0" w:num="1">
            <w:col w:w="10960"/>
          </w:cols>
          <w:pgMar w:left="300" w:top="1440" w:right="6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SEPARATION AGREEMENT AND GENERAL RELEASE OF CLAIMS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Eric Lefebvre</w:t>
      </w:r>
    </w:p>
    <w:p>
      <w:pPr>
        <w:spacing w:after="0" w:line="151" w:lineRule="exact"/>
        <w:rPr>
          <w:sz w:val="20"/>
          <w:szCs w:val="20"/>
          <w:color w:val="auto"/>
        </w:rPr>
      </w:pPr>
    </w:p>
    <w:p>
      <w:pPr>
        <w:ind w:left="520" w:hanging="515"/>
        <w:spacing w:after="0"/>
        <w:tabs>
          <w:tab w:leader="none" w:pos="5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Termination of Employment and Final Wages</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last day of employment with Pliant Therapeutics,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will be December 15, 2025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1020" w:right="40" w:hanging="506"/>
        <w:spacing w:after="0" w:line="228" w:lineRule="auto"/>
        <w:tabs>
          <w:tab w:leader="none" w:pos="101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Termination Date, you will be paid any earned but unpaid salary, unpaid expense reimbursements in accordance with Company policy, accrued but unused vacation, and any vested benefits you may have under any employee benefit plan of the Company in accordance with the terms and conditions of such employee benefit plan and applicable laws.</w:t>
      </w:r>
    </w:p>
    <w:p>
      <w:pPr>
        <w:spacing w:after="0" w:line="121" w:lineRule="exact"/>
        <w:rPr>
          <w:rFonts w:ascii="Times New Roman" w:cs="Times New Roman" w:eastAsia="Times New Roman" w:hAnsi="Times New Roman"/>
          <w:sz w:val="17"/>
          <w:szCs w:val="17"/>
          <w:color w:val="auto"/>
        </w:rPr>
      </w:pPr>
    </w:p>
    <w:p>
      <w:pPr>
        <w:ind w:left="1020" w:right="40" w:hanging="506"/>
        <w:spacing w:after="0" w:line="238" w:lineRule="auto"/>
        <w:tabs>
          <w:tab w:leader="none" w:pos="101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event, the Company will provide you with information about obtaining continuation health care coverage pursuant to COBRA at your own cost after your health care coverage ends by separate cover in accordance with applicable laws.</w:t>
      </w:r>
    </w:p>
    <w:p>
      <w:pPr>
        <w:spacing w:after="0" w:line="121" w:lineRule="exact"/>
        <w:rPr>
          <w:rFonts w:ascii="Times New Roman" w:cs="Times New Roman" w:eastAsia="Times New Roman" w:hAnsi="Times New Roman"/>
          <w:sz w:val="17"/>
          <w:szCs w:val="17"/>
          <w:color w:val="auto"/>
        </w:rPr>
      </w:pPr>
    </w:p>
    <w:p>
      <w:pPr>
        <w:ind w:left="1020" w:right="100" w:hanging="506"/>
        <w:spacing w:after="0" w:line="238" w:lineRule="auto"/>
        <w:tabs>
          <w:tab w:leader="none" w:pos="101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not required to sign this Separation Agreement and General Release of Claims (“</w:t>
      </w:r>
      <w:r>
        <w:rPr>
          <w:rFonts w:ascii="Times New Roman" w:cs="Times New Roman" w:eastAsia="Times New Roman" w:hAnsi="Times New Roman"/>
          <w:sz w:val="17"/>
          <w:szCs w:val="17"/>
          <w:u w:val="single" w:color="auto"/>
          <w:color w:val="auto"/>
        </w:rPr>
        <w:t>Release Agreement</w:t>
      </w:r>
      <w:r>
        <w:rPr>
          <w:rFonts w:ascii="Times New Roman" w:cs="Times New Roman" w:eastAsia="Times New Roman" w:hAnsi="Times New Roman"/>
          <w:sz w:val="17"/>
          <w:szCs w:val="17"/>
          <w:color w:val="auto"/>
        </w:rPr>
        <w:t>”) to receive the aforementioned accrued but unpaid wages and benefits.</w:t>
      </w:r>
    </w:p>
    <w:p>
      <w:pPr>
        <w:spacing w:after="0" w:line="117" w:lineRule="exact"/>
        <w:rPr>
          <w:rFonts w:ascii="Times New Roman" w:cs="Times New Roman" w:eastAsia="Times New Roman" w:hAnsi="Times New Roman"/>
          <w:sz w:val="17"/>
          <w:szCs w:val="17"/>
          <w:color w:val="auto"/>
        </w:rPr>
      </w:pPr>
    </w:p>
    <w:p>
      <w:pPr>
        <w:ind w:left="520" w:right="20" w:hanging="515"/>
        <w:spacing w:after="0" w:line="221" w:lineRule="auto"/>
        <w:tabs>
          <w:tab w:leader="none" w:pos="5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Severance Benefits</w:t>
      </w:r>
      <w:r>
        <w:rPr>
          <w:rFonts w:ascii="Times New Roman" w:cs="Times New Roman" w:eastAsia="Times New Roman" w:hAnsi="Times New Roman"/>
          <w:sz w:val="17"/>
          <w:szCs w:val="17"/>
          <w:color w:val="auto"/>
        </w:rPr>
        <w:t>. You are currently a participant in the Pliant Executive Severance Plan (the “</w:t>
      </w:r>
      <w:r>
        <w:rPr>
          <w:rFonts w:ascii="Times New Roman" w:cs="Times New Roman" w:eastAsia="Times New Roman" w:hAnsi="Times New Roman"/>
          <w:sz w:val="17"/>
          <w:szCs w:val="17"/>
          <w:u w:val="single" w:color="auto"/>
          <w:color w:val="auto"/>
        </w:rPr>
        <w:t>Severance Plan</w:t>
      </w:r>
      <w:r>
        <w:rPr>
          <w:rFonts w:ascii="Times New Roman" w:cs="Times New Roman" w:eastAsia="Times New Roman" w:hAnsi="Times New Roman"/>
          <w:sz w:val="17"/>
          <w:szCs w:val="17"/>
          <w:color w:val="auto"/>
        </w:rPr>
        <w:t>”). In accordance with the Severance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is offering you the opportunity to receive severance to which you are not otherwise entitled in exchange for your execution and non-revocation of the general release of claims set forth in this Release Agreement. In exchange for the release of claims set forth below and subject to the Release Agreement becoming effective as contemplated by Paragraph 4, and your agreement to the other terms and conditions set forth in this Release Agreement, the Company shall:</w:t>
      </w:r>
    </w:p>
    <w:p>
      <w:pPr>
        <w:spacing w:after="0" w:line="122" w:lineRule="exact"/>
        <w:rPr>
          <w:rFonts w:ascii="Times New Roman" w:cs="Times New Roman" w:eastAsia="Times New Roman" w:hAnsi="Times New Roman"/>
          <w:sz w:val="17"/>
          <w:szCs w:val="17"/>
          <w:color w:val="auto"/>
        </w:rPr>
      </w:pPr>
    </w:p>
    <w:p>
      <w:pPr>
        <w:ind w:left="1020" w:right="200" w:hanging="506"/>
        <w:spacing w:after="0" w:line="228" w:lineRule="auto"/>
        <w:tabs>
          <w:tab w:leader="none" w:pos="101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(i) nine (9) months of your base salary, as defined by the Severance Plan, in the amount of $404,282.52 and (ii) your annual discretionary target bonus in effect immediately prior to the Termination Date, prorated as of the Termination Date in the amount of $206,173.30 (collectively, the “</w:t>
      </w:r>
      <w:r>
        <w:rPr>
          <w:rFonts w:ascii="Times New Roman" w:cs="Times New Roman" w:eastAsia="Times New Roman" w:hAnsi="Times New Roman"/>
          <w:sz w:val="17"/>
          <w:szCs w:val="17"/>
          <w:u w:val="single" w:color="auto"/>
          <w:color w:val="auto"/>
        </w:rPr>
        <w:t>Severance Payment</w:t>
      </w:r>
      <w:r>
        <w:rPr>
          <w:rFonts w:ascii="Times New Roman" w:cs="Times New Roman" w:eastAsia="Times New Roman" w:hAnsi="Times New Roman"/>
          <w:sz w:val="17"/>
          <w:szCs w:val="17"/>
          <w:color w:val="auto"/>
        </w:rPr>
        <w:t>”), which shall be paid in a lump sum within sixty (60) days from the Termination Date; and</w:t>
      </w:r>
    </w:p>
    <w:p>
      <w:pPr>
        <w:spacing w:after="0" w:line="121" w:lineRule="exact"/>
        <w:rPr>
          <w:rFonts w:ascii="Times New Roman" w:cs="Times New Roman" w:eastAsia="Times New Roman" w:hAnsi="Times New Roman"/>
          <w:sz w:val="17"/>
          <w:szCs w:val="17"/>
          <w:color w:val="auto"/>
        </w:rPr>
      </w:pPr>
    </w:p>
    <w:p>
      <w:pPr>
        <w:ind w:left="1020" w:hanging="506"/>
        <w:spacing w:after="0" w:line="220" w:lineRule="auto"/>
        <w:tabs>
          <w:tab w:leader="none" w:pos="1016"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to you a cash payment in an amount of $28,475.44 which is equal to the monthly employer contributions that the Company would have made to provide health insurance to you for nine (9) months if you had remained employed by the Company, based on the premiums applicable to you as of the Termination Date and adjusted to include an amount equal to the estimated income taxes due on such additional amount, as determined by the Company in its sole discretion (the “</w:t>
      </w:r>
      <w:r>
        <w:rPr>
          <w:rFonts w:ascii="Times New Roman" w:cs="Times New Roman" w:eastAsia="Times New Roman" w:hAnsi="Times New Roman"/>
          <w:sz w:val="17"/>
          <w:szCs w:val="17"/>
          <w:u w:val="single" w:color="auto"/>
          <w:color w:val="auto"/>
        </w:rPr>
        <w:t>Severance COBRA Benefits</w:t>
      </w:r>
      <w:r>
        <w:rPr>
          <w:rFonts w:ascii="Times New Roman" w:cs="Times New Roman" w:eastAsia="Times New Roman" w:hAnsi="Times New Roman"/>
          <w:sz w:val="17"/>
          <w:szCs w:val="17"/>
          <w:color w:val="auto"/>
        </w:rPr>
        <w:t>”), which shall be paid in a lump sum and grossed up to account for taxes within sixty (60) days from the Termination Date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Severance Payment and the Severance COBRA Benefits are collectively referred to as the Severance Benefits (“</w:t>
      </w:r>
      <w:r>
        <w:rPr>
          <w:rFonts w:ascii="Times New Roman" w:cs="Times New Roman" w:eastAsia="Times New Roman" w:hAnsi="Times New Roman"/>
          <w:sz w:val="17"/>
          <w:szCs w:val="17"/>
          <w:u w:val="single" w:color="auto"/>
          <w:color w:val="auto"/>
        </w:rPr>
        <w:t>Severance Benefits</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left="520" w:right="140" w:hanging="515"/>
        <w:spacing w:after="0" w:line="242" w:lineRule="auto"/>
        <w:tabs>
          <w:tab w:leader="none" w:pos="5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Review Period</w:t>
      </w:r>
      <w:r>
        <w:rPr>
          <w:rFonts w:ascii="Times New Roman" w:cs="Times New Roman" w:eastAsia="Times New Roman" w:hAnsi="Times New Roman"/>
          <w:sz w:val="17"/>
          <w:szCs w:val="17"/>
          <w:color w:val="auto"/>
        </w:rPr>
        <w:t>. You have forty-five (45) calendar days from the Termination Date in which to consider this Release Agreement (the “</w:t>
      </w:r>
      <w:r>
        <w:rPr>
          <w:rFonts w:ascii="Times New Roman" w:cs="Times New Roman" w:eastAsia="Times New Roman" w:hAnsi="Times New Roman"/>
          <w:sz w:val="17"/>
          <w:szCs w:val="17"/>
          <w:u w:val="single" w:color="auto"/>
          <w:color w:val="auto"/>
        </w:rPr>
        <w:t>Review Period</w:t>
      </w:r>
      <w:r>
        <w:rPr>
          <w:rFonts w:ascii="Times New Roman" w:cs="Times New Roman" w:eastAsia="Times New Roman" w:hAnsi="Times New Roman"/>
          <w:sz w:val="17"/>
          <w:szCs w:val="17"/>
          <w:color w:val="auto"/>
        </w:rPr>
        <w:t>”). You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not sign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4933-4091-0947v.4</w:t>
      </w:r>
    </w:p>
    <w:p>
      <w:pPr>
        <w:sectPr>
          <w:pgSz w:w="11900" w:h="16838" w:orient="portrait"/>
          <w:cols w:equalWidth="0" w:num="1">
            <w:col w:w="11280"/>
          </w:cols>
          <w:pgMar w:left="300" w:top="1144" w:right="319" w:bottom="1440" w:gutter="0" w:footer="0" w:header="0"/>
        </w:sectPr>
      </w:pPr>
    </w:p>
    <w:bookmarkStart w:id="128" w:name="page129"/>
    <w:bookmarkEnd w:id="128"/>
    <w:p>
      <w:pPr>
        <w:ind w:left="520" w:right="220"/>
        <w:spacing w:after="0" w:line="228" w:lineRule="auto"/>
        <w:rPr>
          <w:sz w:val="20"/>
          <w:szCs w:val="20"/>
          <w:color w:val="auto"/>
        </w:rPr>
      </w:pPr>
      <w:r>
        <w:rPr>
          <w:rFonts w:ascii="Times New Roman" w:cs="Times New Roman" w:eastAsia="Times New Roman" w:hAnsi="Times New Roman"/>
          <w:sz w:val="17"/>
          <w:szCs w:val="17"/>
          <w:color w:val="auto"/>
        </w:rPr>
        <w:t>Release Agreement before the Termination Date. You are advised that you have the right to consult an attorney regarding this Release Agreement. If you choose to sign the Release Agreement, please sign it via DocuSign. You may sign this Release Agreement any time after your Termination Date and before the expiration of the Review Period, but should you do so, you waive any time remaining of the Review Period.</w:t>
      </w:r>
    </w:p>
    <w:p>
      <w:pPr>
        <w:spacing w:after="0" w:line="114" w:lineRule="exact"/>
        <w:rPr>
          <w:sz w:val="20"/>
          <w:szCs w:val="20"/>
          <w:color w:val="auto"/>
        </w:rPr>
      </w:pPr>
    </w:p>
    <w:p>
      <w:pPr>
        <w:ind w:left="520" w:hanging="515"/>
        <w:spacing w:after="0"/>
        <w:tabs>
          <w:tab w:leader="none" w:pos="5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Revocation Period</w:t>
      </w:r>
      <w:r>
        <w:rPr>
          <w:rFonts w:ascii="Times New Roman" w:cs="Times New Roman" w:eastAsia="Times New Roman" w:hAnsi="Times New Roman"/>
          <w:sz w:val="17"/>
          <w:szCs w:val="17"/>
          <w:color w:val="auto"/>
        </w:rPr>
        <w:t>. You will have an additional seven (7) calendar days after signing the Release Agreement to revoke your acceptance (the “</w:t>
      </w:r>
      <w:r>
        <w:rPr>
          <w:rFonts w:ascii="Times New Roman" w:cs="Times New Roman" w:eastAsia="Times New Roman" w:hAnsi="Times New Roman"/>
          <w:sz w:val="17"/>
          <w:szCs w:val="17"/>
          <w:u w:val="single" w:color="auto"/>
          <w:color w:val="auto"/>
        </w:rPr>
        <w:t>Revocation</w:t>
      </w:r>
    </w:p>
    <w:p>
      <w:pPr>
        <w:ind w:left="520" w:right="80"/>
        <w:spacing w:after="0" w:line="227" w:lineRule="auto"/>
        <w:rPr>
          <w:sz w:val="20"/>
          <w:szCs w:val="20"/>
          <w:color w:val="auto"/>
        </w:rPr>
      </w:pP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by submitting a written statement of revocation to Lily Cheung, Chief Human Resources Officer, at . If you do not timely revoke your acceptance during the Revocation Period, this Release Agreement will become final and effective on the eighth (8th) day after you sign it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520" w:right="80" w:hanging="515"/>
        <w:spacing w:after="0" w:line="230" w:lineRule="auto"/>
        <w:tabs>
          <w:tab w:leader="none" w:pos="5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Return of Property</w:t>
      </w:r>
      <w:r>
        <w:rPr>
          <w:rFonts w:ascii="Times New Roman" w:cs="Times New Roman" w:eastAsia="Times New Roman" w:hAnsi="Times New Roman"/>
          <w:sz w:val="17"/>
          <w:szCs w:val="17"/>
          <w:color w:val="auto"/>
        </w:rPr>
        <w:t>. In order to receive the Severance Benefits provided pursuant to Paragraph 2, you must have previously returned all of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property in your possession. This includes all work-related documents and all copies thereof, whether in hard or soft copy, and all other Company property in your possession, custody, or control.</w:t>
      </w:r>
    </w:p>
    <w:p>
      <w:pPr>
        <w:spacing w:after="0" w:line="117" w:lineRule="exact"/>
        <w:rPr>
          <w:rFonts w:ascii="Times New Roman" w:cs="Times New Roman" w:eastAsia="Times New Roman" w:hAnsi="Times New Roman"/>
          <w:sz w:val="17"/>
          <w:szCs w:val="17"/>
          <w:color w:val="auto"/>
        </w:rPr>
      </w:pPr>
    </w:p>
    <w:p>
      <w:pPr>
        <w:ind w:left="520" w:right="40" w:hanging="515"/>
        <w:spacing w:after="0" w:line="230" w:lineRule="auto"/>
        <w:tabs>
          <w:tab w:leader="none" w:pos="5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False Statements</w:t>
      </w:r>
      <w:r>
        <w:rPr>
          <w:rFonts w:ascii="Times New Roman" w:cs="Times New Roman" w:eastAsia="Times New Roman" w:hAnsi="Times New Roman"/>
          <w:sz w:val="17"/>
          <w:szCs w:val="17"/>
          <w:color w:val="auto"/>
        </w:rPr>
        <w:t>. In further exchange for your receipt of the Severance Benefits, you agree not to make any false statements about the Company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Released Parties (as defined below). It is understood that your good faith exercise of rights as described in Paragraph 7(b) below shall not be deemed to violate this provision.</w:t>
      </w:r>
    </w:p>
    <w:p>
      <w:pPr>
        <w:spacing w:after="0" w:line="117"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The following are the terms of the general release of claims that you accept as part of this Release Agreement:</w:t>
      </w:r>
    </w:p>
    <w:p>
      <w:pPr>
        <w:spacing w:after="0" w:line="148" w:lineRule="exact"/>
        <w:rPr>
          <w:rFonts w:ascii="Times New Roman" w:cs="Times New Roman" w:eastAsia="Times New Roman" w:hAnsi="Times New Roman"/>
          <w:sz w:val="17"/>
          <w:szCs w:val="17"/>
          <w:color w:val="auto"/>
        </w:rPr>
      </w:pPr>
    </w:p>
    <w:p>
      <w:pPr>
        <w:ind w:left="1020" w:hanging="506"/>
        <w:spacing w:after="0" w:line="212" w:lineRule="auto"/>
        <w:tabs>
          <w:tab w:leader="none" w:pos="101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Severance Benefits that you are receiving as provided in Paragraph 2 above, and on behalf of yourself and your heirs, executors, administrators, successors, and assigns, you hereby waive, release, and hold harmless the Company, its respective parents, subsidiaries, divisions, units, related companies, each and every past and present member, shareholder, investor, associate, affiliate, predecessor, successor, and related company, and all of their current or former agents, officers, directors, partners, representatives, attorneys, contractors, insurance companies, administrators, successors, assigns, current and former employees, plan administrators, insurers, and any other persons acting by, through, under, or in concert with any of the persons or entities listed in this subsection, and each of them (“</w:t>
      </w:r>
      <w:r>
        <w:rPr>
          <w:rFonts w:ascii="Times New Roman" w:cs="Times New Roman" w:eastAsia="Times New Roman" w:hAnsi="Times New Roman"/>
          <w:sz w:val="17"/>
          <w:szCs w:val="17"/>
          <w:u w:val="single" w:color="auto"/>
          <w:color w:val="auto"/>
        </w:rPr>
        <w:t>Released Parties</w:t>
      </w:r>
      <w:r>
        <w:rPr>
          <w:rFonts w:ascii="Times New Roman" w:cs="Times New Roman" w:eastAsia="Times New Roman" w:hAnsi="Times New Roman"/>
          <w:sz w:val="17"/>
          <w:szCs w:val="17"/>
          <w:color w:val="auto"/>
        </w:rPr>
        <w:t>”), from any and all claims, rights, debts, liabilities, demands, causes of action, obligations, and damages, known or unknown, suspected or unsuspected, arising as of or prior to the date of your signature to this Release Agreement, under federal, state, local, or common law (“</w:t>
      </w:r>
      <w:r>
        <w:rPr>
          <w:rFonts w:ascii="Times New Roman" w:cs="Times New Roman" w:eastAsia="Times New Roman" w:hAnsi="Times New Roman"/>
          <w:sz w:val="17"/>
          <w:szCs w:val="17"/>
          <w:u w:val="single" w:color="auto"/>
          <w:color w:val="auto"/>
        </w:rPr>
        <w:t>Released Claims</w:t>
      </w:r>
      <w:r>
        <w:rPr>
          <w:rFonts w:ascii="Times New Roman" w:cs="Times New Roman" w:eastAsia="Times New Roman" w:hAnsi="Times New Roman"/>
          <w:sz w:val="17"/>
          <w:szCs w:val="17"/>
          <w:color w:val="auto"/>
        </w:rPr>
        <w:t>”), including, but not limited to, claims in any way related to your employment with the Released Parties, including, but not limited to, your separation from employment, the terms and conditions of your employment, claims to any benefits under any stock, equity or other Company plan, all claims under the Civil Rights Act of 1866, Title VII of the Civil Rights Act of 1964, the Civil Rights Act of 1991, the Employee Retirement Income Security Act of 1974, the Americans with Disabilities Act, the Worker Adjustment and Retraining Notification Act, the Age Discrimination in Employment Act (the “ADEA”), the Older Workers Benefit Protection Act (the “OWBPA”), the California Labor Code, the California Business and Professions Code, all California Wage Orders, the California Fair Employment and Housing Act, the California Family Rights Act, the California Civil Code, the California Government Code, and/or the laws prohibiting discrimination, harassment, and/or retaliation in any state in which you are employed, and any and all federal, state,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4933-4091-0947v.4</w:t>
      </w:r>
    </w:p>
    <w:p>
      <w:pPr>
        <w:sectPr>
          <w:pgSz w:w="11900" w:h="16838" w:orient="portrait"/>
          <w:cols w:equalWidth="0" w:num="1">
            <w:col w:w="11280"/>
          </w:cols>
          <w:pgMar w:left="300" w:top="1127" w:right="319" w:bottom="1440" w:gutter="0" w:footer="0" w:header="0"/>
        </w:sectPr>
      </w:pPr>
    </w:p>
    <w:bookmarkStart w:id="129" w:name="page130"/>
    <w:bookmarkEnd w:id="129"/>
    <w:p>
      <w:pPr>
        <w:ind w:left="1020" w:right="180"/>
        <w:spacing w:after="0" w:line="267" w:lineRule="auto"/>
        <w:rPr>
          <w:sz w:val="20"/>
          <w:szCs w:val="20"/>
          <w:color w:val="auto"/>
        </w:rPr>
      </w:pPr>
      <w:r>
        <w:rPr>
          <w:rFonts w:ascii="Times New Roman" w:cs="Times New Roman" w:eastAsia="Times New Roman" w:hAnsi="Times New Roman"/>
          <w:sz w:val="16"/>
          <w:szCs w:val="16"/>
          <w:color w:val="auto"/>
        </w:rPr>
        <w:t>and local employment laws, as well as any and all common law tort or contract theories under federal, state, or local laws. The Released Claims also include claims of discrimination or retaliation on the basis of workers’ compensation status, but they do not include workers’ compensation claims.</w:t>
      </w:r>
    </w:p>
    <w:p>
      <w:pPr>
        <w:spacing w:after="0" w:line="100" w:lineRule="exact"/>
        <w:rPr>
          <w:sz w:val="20"/>
          <w:szCs w:val="20"/>
          <w:color w:val="auto"/>
        </w:rPr>
      </w:pPr>
    </w:p>
    <w:p>
      <w:pPr>
        <w:ind w:left="1020" w:hanging="506"/>
        <w:spacing w:after="0" w:line="234" w:lineRule="auto"/>
        <w:tabs>
          <w:tab w:leader="none" w:pos="101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this Release Agreement to the contrary, nothing in this Release Agreement prohibits you (or your attorney) from confidentially or otherwise communicating or filing a charge or complaint with a governmental or regulatory entity, participating in a governmental or regulatory entity investigation, or giving other disclosures to a governmental or regulatory entity concerning suspected violations of the law, in each case without receiving prior authorization from or having to disclose any such conduct to the Company, or from responding if properly subpoenaed or otherwise required to do so under applicable law. Nothing in this Release Agreement shall be construed to affect the independent rights and responsibilities of the Equal Employment Opportunity Commission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National Labor Relations Board, Occupational Safety and Health Administration, or Securities and Exchange Commission, or of any federal, state, or local governmental agency or commission (“</w:t>
      </w:r>
      <w:r>
        <w:rPr>
          <w:rFonts w:ascii="Times New Roman" w:cs="Times New Roman" w:eastAsia="Times New Roman" w:hAnsi="Times New Roman"/>
          <w:sz w:val="16"/>
          <w:szCs w:val="16"/>
          <w:u w:val="single" w:color="auto"/>
          <w:color w:val="auto"/>
        </w:rPr>
        <w:t>Governmental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Agency</w:t>
      </w:r>
      <w:r>
        <w:rPr>
          <w:rFonts w:ascii="Times New Roman" w:cs="Times New Roman" w:eastAsia="Times New Roman" w:hAnsi="Times New Roman"/>
          <w:sz w:val="16"/>
          <w:szCs w:val="16"/>
          <w:color w:val="auto"/>
        </w:rPr>
        <w:t>”) to enforce the law, nor does this Release Agreement affect your right to file a charge or participate in an investigation or proceeding conducted by either the Commission or any such Governmental Agency, although this Release Agreement does bar any claim that you might have to receive monetary damages in connection with any Commission or Governmental Agency proceeding concerning matters covered by this Release Agreement. This Release Agreement does not limit your right to receive an award or bounty for information provided to any Governmental Agencies, including under the Dodd-Frank Wall Street Reform and Consumer Protection Act of 2010. Nothing in this Release Agreement prohibits you from testifying in an administrative, legislative, or judicial proceeding regarding alleged criminal conduct or sexual harassment, when you have been required or requested to attend a proceeding pursuant to a court order, subpoena, or written request from an administrative agency or the legislature. Moreover, nothing in this Release Agreement prevents the disclosure of factual information relating to claims of sexual assault, sexual harassment, harassment or discrimination, failure to prevent harassment or discrimination, or retaliation against a person for reporting an act of harassment or discrimination, as those claims are defined under the California Fair Employment and Housing Act, to the extent the claims are filed in a civil or administrative action, and to the extent such disclosures are protected by law. Nothing in this Release Agreement prevents you from discussing or disclosing information about unlawful acts in the workplace, such as harassment or discrimination or any other conduct that you have reason to believe is unlawful. Finally, nothing in this Release Agreement shall be construed to prohibit you from engaging in protected concerted activity under the National Labor Relations Act for the purpose of collective bargaining or other mutual aid or protection, including, without limitation, (i) making disclosures concerning this Agreement in aid of such concerted activities, (ii) filing unfair labor practice charges, (iii) assisting others who are filing such charges, and (iv) cooperating with the investigative process of the National Labor Relations Board or other Government Agencies.</w:t>
      </w:r>
    </w:p>
    <w:p>
      <w:pPr>
        <w:spacing w:after="0" w:line="127" w:lineRule="exact"/>
        <w:rPr>
          <w:rFonts w:ascii="Times New Roman" w:cs="Times New Roman" w:eastAsia="Times New Roman" w:hAnsi="Times New Roman"/>
          <w:sz w:val="16"/>
          <w:szCs w:val="16"/>
          <w:color w:val="auto"/>
        </w:rPr>
      </w:pPr>
    </w:p>
    <w:p>
      <w:pPr>
        <w:ind w:left="1020" w:right="380" w:hanging="506"/>
        <w:spacing w:after="0" w:line="238" w:lineRule="auto"/>
        <w:tabs>
          <w:tab w:leader="none" w:pos="101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this Release Agreement does not bar any claim that arises hereafter, including (without limitation) a claim for breach of this Release Agreement, 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4933-4091-0947v.4</w:t>
      </w:r>
    </w:p>
    <w:p>
      <w:pPr>
        <w:sectPr>
          <w:pgSz w:w="11900" w:h="16838" w:orient="portrait"/>
          <w:cols w:equalWidth="0" w:num="1">
            <w:col w:w="11280"/>
          </w:cols>
          <w:pgMar w:left="300" w:top="1127" w:right="319" w:bottom="1440" w:gutter="0" w:footer="0" w:header="0"/>
        </w:sectPr>
      </w:pPr>
    </w:p>
    <w:bookmarkStart w:id="130" w:name="page131"/>
    <w:bookmarkEnd w:id="130"/>
    <w:p>
      <w:pPr>
        <w:ind w:left="1020"/>
        <w:spacing w:after="0"/>
        <w:rPr>
          <w:sz w:val="20"/>
          <w:szCs w:val="20"/>
          <w:color w:val="auto"/>
        </w:rPr>
      </w:pPr>
      <w:r>
        <w:rPr>
          <w:rFonts w:ascii="Times New Roman" w:cs="Times New Roman" w:eastAsia="Times New Roman" w:hAnsi="Times New Roman"/>
          <w:sz w:val="17"/>
          <w:szCs w:val="17"/>
          <w:color w:val="auto"/>
        </w:rPr>
        <w:t>claim to indemnity under section 2802 of the California Labor Code, or any other claim that by law may not be released.</w:t>
      </w:r>
    </w:p>
    <w:p>
      <w:pPr>
        <w:spacing w:after="0" w:line="144" w:lineRule="exact"/>
        <w:rPr>
          <w:sz w:val="20"/>
          <w:szCs w:val="20"/>
          <w:color w:val="auto"/>
        </w:rPr>
      </w:pPr>
    </w:p>
    <w:p>
      <w:pPr>
        <w:ind w:left="1020" w:right="260" w:hanging="506"/>
        <w:spacing w:after="0" w:line="238" w:lineRule="auto"/>
        <w:tabs>
          <w:tab w:leader="none" w:pos="101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acknowledge that you have been advised by legal counsel that you are by this Release Agreement waiving claims pursuant to California Civil Code section 1542 or the laws of other states similar hereto, and you expressly waive such rights as quoted below:</w:t>
      </w:r>
    </w:p>
    <w:p>
      <w:pPr>
        <w:spacing w:after="0" w:line="142" w:lineRule="exact"/>
        <w:rPr>
          <w:rFonts w:ascii="Times New Roman" w:cs="Times New Roman" w:eastAsia="Times New Roman" w:hAnsi="Times New Roman"/>
          <w:sz w:val="17"/>
          <w:szCs w:val="17"/>
          <w:color w:val="auto"/>
        </w:rPr>
      </w:pPr>
    </w:p>
    <w:p>
      <w:pPr>
        <w:ind w:left="1020" w:right="2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44"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hereby expressly waive any rights you may have under any other statute or common law principles of similar effect.</w:t>
      </w:r>
    </w:p>
    <w:p>
      <w:pPr>
        <w:spacing w:after="0" w:line="154" w:lineRule="exact"/>
        <w:rPr>
          <w:rFonts w:ascii="Times New Roman" w:cs="Times New Roman" w:eastAsia="Times New Roman" w:hAnsi="Times New Roman"/>
          <w:sz w:val="17"/>
          <w:szCs w:val="17"/>
          <w:color w:val="auto"/>
        </w:rPr>
      </w:pPr>
    </w:p>
    <w:p>
      <w:pPr>
        <w:ind w:left="1020" w:right="60" w:hanging="506"/>
        <w:spacing w:after="0" w:line="228" w:lineRule="auto"/>
        <w:tabs>
          <w:tab w:leader="none" w:pos="1017"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acknowledge and understand that the release of claims under the ADEA, 29 U.S.C. §§ 621-634, is subject to special waiver protections under 29 U.S.C. §626(f). In accordance with that section, you specifically agree that you are knowingly and voluntarily releasing and waiving any rights or claims of discrimination under the ADEA. In particular, you acknowledge that you understand that:</w:t>
      </w:r>
    </w:p>
    <w:p>
      <w:pPr>
        <w:spacing w:after="0" w:line="121" w:lineRule="exact"/>
        <w:rPr>
          <w:rFonts w:ascii="Times New Roman" w:cs="Times New Roman" w:eastAsia="Times New Roman" w:hAnsi="Times New Roman"/>
          <w:sz w:val="17"/>
          <w:szCs w:val="17"/>
          <w:color w:val="auto"/>
        </w:rPr>
      </w:pPr>
    </w:p>
    <w:p>
      <w:pPr>
        <w:ind w:left="1020" w:firstLine="3"/>
        <w:spacing w:after="0" w:line="238" w:lineRule="auto"/>
        <w:tabs>
          <w:tab w:leader="none" w:pos="1520" w:val="left"/>
        </w:tabs>
        <w:numPr>
          <w:ilvl w:val="2"/>
          <w:numId w:val="7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you are not waiving any claims for age discrimination under the ADEA that may arise after the date you sign this Release Agreement, and you are not waiving vested benefits, if any;</w:t>
      </w:r>
    </w:p>
    <w:p>
      <w:pPr>
        <w:spacing w:after="0" w:line="121" w:lineRule="exact"/>
        <w:rPr>
          <w:rFonts w:ascii="Times New Roman" w:cs="Times New Roman" w:eastAsia="Times New Roman" w:hAnsi="Times New Roman"/>
          <w:sz w:val="17"/>
          <w:szCs w:val="17"/>
          <w:color w:val="010000"/>
        </w:rPr>
      </w:pPr>
    </w:p>
    <w:p>
      <w:pPr>
        <w:ind w:left="1020" w:right="580" w:firstLine="3"/>
        <w:spacing w:after="0" w:line="238" w:lineRule="auto"/>
        <w:tabs>
          <w:tab w:leader="none" w:pos="1524" w:val="left"/>
        </w:tabs>
        <w:numPr>
          <w:ilvl w:val="2"/>
          <w:numId w:val="7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you are waiving rights or claims for age discrimination under the ADEA arising up to the Effective Date of this Release Agreement in exchange for payment described in Paragraph 2 above, which is in addition to anything of value to which you are already entitled;</w:t>
      </w:r>
    </w:p>
    <w:p>
      <w:pPr>
        <w:spacing w:after="0" w:line="121" w:lineRule="exact"/>
        <w:rPr>
          <w:rFonts w:ascii="Times New Roman" w:cs="Times New Roman" w:eastAsia="Times New Roman" w:hAnsi="Times New Roman"/>
          <w:sz w:val="17"/>
          <w:szCs w:val="17"/>
          <w:color w:val="010000"/>
        </w:rPr>
      </w:pPr>
    </w:p>
    <w:p>
      <w:pPr>
        <w:ind w:left="1540" w:hanging="517"/>
        <w:spacing w:after="0"/>
        <w:tabs>
          <w:tab w:leader="none" w:pos="1540" w:val="left"/>
        </w:tabs>
        <w:numPr>
          <w:ilvl w:val="2"/>
          <w:numId w:val="7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you are advised to consult with and have had an opportunity to consult with an attorney before signing this Release Agreement; and</w:t>
      </w:r>
    </w:p>
    <w:p>
      <w:pPr>
        <w:spacing w:after="0" w:line="144" w:lineRule="exact"/>
        <w:rPr>
          <w:rFonts w:ascii="Times New Roman" w:cs="Times New Roman" w:eastAsia="Times New Roman" w:hAnsi="Times New Roman"/>
          <w:sz w:val="17"/>
          <w:szCs w:val="17"/>
          <w:color w:val="010000"/>
        </w:rPr>
      </w:pPr>
    </w:p>
    <w:p>
      <w:pPr>
        <w:ind w:left="1020" w:right="100" w:firstLine="3"/>
        <w:spacing w:after="0" w:line="238" w:lineRule="auto"/>
        <w:tabs>
          <w:tab w:leader="none" w:pos="1520" w:val="left"/>
        </w:tabs>
        <w:numPr>
          <w:ilvl w:val="2"/>
          <w:numId w:val="7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you acknowledge receipt of Exhibit A annexed hereto, which is being provided to you pursuant to the OWBPA, and sets forth the titles, ages, and termination dates of those who are and are not affected by this group termination.</w:t>
      </w:r>
    </w:p>
    <w:p>
      <w:pPr>
        <w:spacing w:after="0" w:line="117" w:lineRule="exact"/>
        <w:rPr>
          <w:rFonts w:ascii="Times New Roman" w:cs="Times New Roman" w:eastAsia="Times New Roman" w:hAnsi="Times New Roman"/>
          <w:sz w:val="17"/>
          <w:szCs w:val="17"/>
          <w:color w:val="010000"/>
        </w:rPr>
      </w:pPr>
    </w:p>
    <w:p>
      <w:pPr>
        <w:ind w:left="520" w:right="40" w:hanging="515"/>
        <w:spacing w:after="0" w:line="217" w:lineRule="auto"/>
        <w:tabs>
          <w:tab w:leader="none" w:pos="5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You acknowledge that you possess secret, confidential, or proprietary information or trade secrets concerning the operations,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future plans, or business methods of the Company and that your obligation to keep this information confidential survives your separation from the Company pursuant to the Employee Proprietary Information and Inventions Agreement you signed with the Company (the “</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This paragraph, however, does not prevent you from the good faith exercise of rights as described in Paragraph 7(b) above. You agree that the Company would be severely damaged if you used or disclosed this information. You understand and acknowledge that you are hereby notified that, under the Defend Trade Secrets Act (specifically, 18 U.S.C. § 1833), you cannot be held criminally or civilly liable under any federal or state trade secret law for the disclosure of a trade secret that is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4933-4091-0947v.4</w:t>
      </w:r>
    </w:p>
    <w:p>
      <w:pPr>
        <w:sectPr>
          <w:pgSz w:w="11900" w:h="16838" w:orient="portrait"/>
          <w:cols w:equalWidth="0" w:num="1">
            <w:col w:w="11220"/>
          </w:cols>
          <w:pgMar w:left="300" w:top="1127" w:right="379" w:bottom="1440" w:gutter="0" w:footer="0" w:header="0"/>
        </w:sectPr>
      </w:pPr>
    </w:p>
    <w:bookmarkStart w:id="131" w:name="page132"/>
    <w:bookmarkEnd w:id="131"/>
    <w:p>
      <w:pPr>
        <w:ind w:left="520"/>
        <w:spacing w:after="0" w:line="220" w:lineRule="auto"/>
        <w:rPr>
          <w:sz w:val="20"/>
          <w:szCs w:val="20"/>
          <w:color w:val="auto"/>
        </w:rPr>
      </w:pPr>
      <w:r>
        <w:rPr>
          <w:rFonts w:ascii="Times New Roman" w:cs="Times New Roman" w:eastAsia="Times New Roman" w:hAnsi="Times New Roman"/>
          <w:sz w:val="17"/>
          <w:szCs w:val="17"/>
          <w:color w:val="auto"/>
        </w:rPr>
        <w:t>made (a) in confidence to a federal, state, or local government official, either directly or indirectly, or to an attorney, and (b) solely for the purpose of reporting or investigating a suspected violation of law; that you may not be held liable for disclosures made in a complaint or other document filed in a lawsuit or other proceeding, if that filing is made under seal; and that individuals who file a lawsuit for retaliation by an employer for reporting a suspected violation of law may disclose trade secrets to the attorney of the individual and use the trade secret information in the court proceeding, if any filing of the trade secret is under seal and the individual does not disclose the trade secret except pursuant to a court order.</w:t>
      </w:r>
    </w:p>
    <w:p>
      <w:pPr>
        <w:spacing w:after="0" w:line="119" w:lineRule="exact"/>
        <w:rPr>
          <w:sz w:val="20"/>
          <w:szCs w:val="20"/>
          <w:color w:val="auto"/>
        </w:rPr>
      </w:pPr>
    </w:p>
    <w:p>
      <w:pPr>
        <w:ind w:left="520" w:right="60" w:hanging="515"/>
        <w:spacing w:after="0" w:line="242" w:lineRule="auto"/>
        <w:tabs>
          <w:tab w:leader="none" w:pos="5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Admissions</w:t>
      </w:r>
      <w:r>
        <w:rPr>
          <w:rFonts w:ascii="Times New Roman" w:cs="Times New Roman" w:eastAsia="Times New Roman" w:hAnsi="Times New Roman"/>
          <w:sz w:val="17"/>
          <w:szCs w:val="17"/>
          <w:color w:val="auto"/>
        </w:rPr>
        <w:t>. You understand that nothing stated herein is to be construed as an admission on the part of said Company or Released Parties of any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and that Company and Released Parties deny that they are liable to you.</w:t>
      </w:r>
    </w:p>
    <w:p>
      <w:pPr>
        <w:spacing w:after="0" w:line="115" w:lineRule="exact"/>
        <w:rPr>
          <w:rFonts w:ascii="Times New Roman" w:cs="Times New Roman" w:eastAsia="Times New Roman" w:hAnsi="Times New Roman"/>
          <w:sz w:val="17"/>
          <w:szCs w:val="17"/>
          <w:color w:val="auto"/>
        </w:rPr>
      </w:pPr>
    </w:p>
    <w:p>
      <w:pPr>
        <w:ind w:left="520" w:hanging="515"/>
        <w:spacing w:after="0" w:line="242" w:lineRule="auto"/>
        <w:tabs>
          <w:tab w:leader="none" w:pos="5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Adequate Consideration</w:t>
      </w:r>
      <w:r>
        <w:rPr>
          <w:rFonts w:ascii="Times New Roman" w:cs="Times New Roman" w:eastAsia="Times New Roman" w:hAnsi="Times New Roman"/>
          <w:sz w:val="17"/>
          <w:szCs w:val="17"/>
          <w:color w:val="auto"/>
        </w:rPr>
        <w:t>. You agree that payment of the Severance Benefits described in Paragraph 2 is a benefit that the Company is not required to provide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you apart from the provisions of this Release Agreement and under the Severance Plan.</w:t>
      </w:r>
    </w:p>
    <w:p>
      <w:pPr>
        <w:spacing w:after="0" w:line="115" w:lineRule="exact"/>
        <w:rPr>
          <w:rFonts w:ascii="Times New Roman" w:cs="Times New Roman" w:eastAsia="Times New Roman" w:hAnsi="Times New Roman"/>
          <w:sz w:val="17"/>
          <w:szCs w:val="17"/>
          <w:color w:val="auto"/>
        </w:rPr>
      </w:pPr>
    </w:p>
    <w:p>
      <w:pPr>
        <w:ind w:left="520" w:right="120" w:hanging="515"/>
        <w:spacing w:after="0" w:line="219" w:lineRule="auto"/>
        <w:tabs>
          <w:tab w:leader="none" w:pos="51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Outstanding Claims</w:t>
      </w:r>
      <w:r>
        <w:rPr>
          <w:rFonts w:ascii="Times New Roman" w:cs="Times New Roman" w:eastAsia="Times New Roman" w:hAnsi="Times New Roman"/>
          <w:sz w:val="17"/>
          <w:szCs w:val="17"/>
          <w:color w:val="auto"/>
        </w:rPr>
        <w:t>. By signing the Release Agreement, you acknowledge receipt of all compensation due to you, including overtime, accrued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unused vacation, commissions, bonuses, benefits under any Company stock or equity plans, and expense reimbursements, and that no additional compensation of any nature is due to you as of the end of the Termination Date except on the terms and conditions set forth in this Release Agreement. You affirm that you have no known workplace injuries or occupational diseases that would be compensable under the workers’ compensation laws of any state, and that you have been provided and/or have not been denied or retaliated against for requesting or taking any leave under any leave laws, including, but not limited to, the Family and Medical Leave Act, the California Family Rights Act, and any other similar state or local laws providing for leave.</w:t>
      </w:r>
    </w:p>
    <w:p>
      <w:pPr>
        <w:spacing w:after="0" w:line="118" w:lineRule="exact"/>
        <w:rPr>
          <w:rFonts w:ascii="Times New Roman" w:cs="Times New Roman" w:eastAsia="Times New Roman" w:hAnsi="Times New Roman"/>
          <w:sz w:val="17"/>
          <w:szCs w:val="17"/>
          <w:color w:val="auto"/>
        </w:rPr>
      </w:pPr>
    </w:p>
    <w:p>
      <w:pPr>
        <w:ind w:left="520" w:right="20" w:hanging="515"/>
        <w:spacing w:after="0" w:line="213" w:lineRule="auto"/>
        <w:tabs>
          <w:tab w:leader="none" w:pos="5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It is intended that any amounts payable under this Agreement will be exempt from or comply with Section 409A of the Internal Revenue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treasury regulations relating thereto, so as not to subject the employee to the payment of any interest and tax penalty that may be imposed under section 409A of the Code, and this Agreement shall be interpreted and construed accordingly; provided, however, that the Company and the other Released Parties shall not be responsible for any taxes, penalties, interest, or other losses or expenses incurred by the Employee due to any failure to comply with section 409A of the Code. The timing of the payments or benefits provided herein may be modified to so comply with</w:t>
      </w:r>
    </w:p>
    <w:p>
      <w:pPr>
        <w:spacing w:after="0" w:line="3" w:lineRule="exact"/>
        <w:rPr>
          <w:rFonts w:ascii="Times New Roman" w:cs="Times New Roman" w:eastAsia="Times New Roman" w:hAnsi="Times New Roman"/>
          <w:sz w:val="17"/>
          <w:szCs w:val="17"/>
          <w:color w:val="auto"/>
        </w:rPr>
      </w:pPr>
    </w:p>
    <w:p>
      <w:pPr>
        <w:ind w:left="520" w:right="20"/>
        <w:spacing w:after="0" w:line="2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409A of the Code. All references in this Agreement to the Employee’s termination of employment and to the Termination Date shall mean a “separation from service” within the meaning of section 409A of the Code. Each payment under this Agreement as a result of the separation of the Employee’s service shall be considered a separate payment for purposes of section 409A of the Code. Notwithstanding any other provision in this Agreement, if on the date of the Employee’s separation from service (as defined in section 409A of the Code) (a) the Company is a publicly traded corporation and (b) the Employee is a “specified employee,” as defined in section 409A of the Code, then to the extent any amount payable under this Agreement upon the Employee’s separation from service constitutes the payment of “nonqualified deferred compensation,” within the meaning of section 409A of the Code, that under the terms of this Agreement would be payable prior to the six (6)-month anniversary of the Employee’s separation from service, such payment shall be delayed until the earlier to occur of (x) the first (1st) day of the seventh (7th) month following the Employee’s separation from service or (y) the date of the Employee’s death.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4933-4091-0947v.4</w:t>
      </w:r>
    </w:p>
    <w:p>
      <w:pPr>
        <w:sectPr>
          <w:pgSz w:w="11900" w:h="16838" w:orient="portrait"/>
          <w:cols w:equalWidth="0" w:num="1">
            <w:col w:w="11280"/>
          </w:cols>
          <w:pgMar w:left="300" w:top="1126" w:right="319" w:bottom="1440" w:gutter="0" w:footer="0" w:header="0"/>
        </w:sectPr>
      </w:pPr>
    </w:p>
    <w:bookmarkStart w:id="132" w:name="page133"/>
    <w:bookmarkEnd w:id="132"/>
    <w:p>
      <w:pPr>
        <w:ind w:left="520" w:right="300" w:hanging="515"/>
        <w:spacing w:after="0" w:line="230" w:lineRule="auto"/>
        <w:tabs>
          <w:tab w:leader="none" w:pos="5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Entire Agreement</w:t>
      </w:r>
      <w:r>
        <w:rPr>
          <w:rFonts w:ascii="Times New Roman" w:cs="Times New Roman" w:eastAsia="Times New Roman" w:hAnsi="Times New Roman"/>
          <w:sz w:val="17"/>
          <w:szCs w:val="17"/>
          <w:color w:val="auto"/>
        </w:rPr>
        <w:t>. This Release Agreement sets forth the entire agreement between you and the Company regarding its subject matter and supersedes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written or oral promises or representations about its subject matter. You will, however, continue to be bound by any applicable post-termination confidentiality obligations and restrictive covenants in the Confidentiality Agreement.</w:t>
      </w:r>
    </w:p>
    <w:p>
      <w:pPr>
        <w:spacing w:after="0" w:line="117" w:lineRule="exact"/>
        <w:rPr>
          <w:rFonts w:ascii="Times New Roman" w:cs="Times New Roman" w:eastAsia="Times New Roman" w:hAnsi="Times New Roman"/>
          <w:sz w:val="17"/>
          <w:szCs w:val="17"/>
          <w:color w:val="auto"/>
        </w:rPr>
      </w:pPr>
    </w:p>
    <w:p>
      <w:pPr>
        <w:jc w:val="both"/>
        <w:ind w:left="520" w:hanging="515"/>
        <w:spacing w:after="0" w:line="230" w:lineRule="auto"/>
        <w:tabs>
          <w:tab w:leader="none" w:pos="5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Modifications</w:t>
      </w:r>
      <w:r>
        <w:rPr>
          <w:rFonts w:ascii="Times New Roman" w:cs="Times New Roman" w:eastAsia="Times New Roman" w:hAnsi="Times New Roman"/>
          <w:sz w:val="17"/>
          <w:szCs w:val="17"/>
          <w:color w:val="auto"/>
        </w:rPr>
        <w:t>. This Release Agreement may not be modified except by a writing signed by both you and the Company’s Chief Human Resources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understand and agree that this Release Agreement shall not be construed at any time or for any purpose as an admission of any liability or wrongdoing by the Company.</w:t>
      </w:r>
    </w:p>
    <w:p>
      <w:pPr>
        <w:spacing w:after="0" w:line="117" w:lineRule="exact"/>
        <w:rPr>
          <w:rFonts w:ascii="Times New Roman" w:cs="Times New Roman" w:eastAsia="Times New Roman" w:hAnsi="Times New Roman"/>
          <w:sz w:val="17"/>
          <w:szCs w:val="17"/>
          <w:color w:val="auto"/>
        </w:rPr>
      </w:pPr>
    </w:p>
    <w:p>
      <w:pPr>
        <w:ind w:left="520" w:right="60" w:hanging="515"/>
        <w:spacing w:after="0" w:line="215" w:lineRule="auto"/>
        <w:tabs>
          <w:tab w:leader="none" w:pos="5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Representations</w:t>
      </w:r>
      <w:r>
        <w:rPr>
          <w:rFonts w:ascii="Times New Roman" w:cs="Times New Roman" w:eastAsia="Times New Roman" w:hAnsi="Times New Roman"/>
          <w:sz w:val="17"/>
          <w:szCs w:val="17"/>
          <w:color w:val="auto"/>
        </w:rPr>
        <w:t>. By executing this Release Agreement, you acknowledge that you (a) are not relying upon any statements, understandings,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representations, expectations, or agreements other than those expressly set forth in this Release Agreement and in the Severance Plan; (b) have made your own investigation of the facts and are relying solely upon your own knowledge and the advice of your own legal counsel; (c) knowingly waive any claim that this Release Agreement was induced by any misrepresentation or nondisclosure and any right to rescind or avoid this Release Agreement based upon presently existing facts, known or unknown; (d) are entering into this Release Agreement freely and voluntarily; (e) have carefully read and understood all of the provisions of this Release Agreement; and (f) are aware of your right to be represented by the counsel of your own choice at your own expense in connection with the negotiation and execution of this Release Agreement. Both you and the Company stipulate that the Company is relying upon these representations and warranties in entering into this Release Agreement. These representations and warranties shall survive the execution of this Release Agreement.</w:t>
      </w:r>
    </w:p>
    <w:p>
      <w:pPr>
        <w:spacing w:after="0" w:line="121" w:lineRule="exact"/>
        <w:rPr>
          <w:rFonts w:ascii="Times New Roman" w:cs="Times New Roman" w:eastAsia="Times New Roman" w:hAnsi="Times New Roman"/>
          <w:sz w:val="17"/>
          <w:szCs w:val="17"/>
          <w:color w:val="auto"/>
        </w:rPr>
      </w:pPr>
    </w:p>
    <w:p>
      <w:pPr>
        <w:ind w:left="520" w:right="40" w:hanging="515"/>
        <w:spacing w:after="0" w:line="230" w:lineRule="auto"/>
        <w:tabs>
          <w:tab w:leader="none" w:pos="5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Choice of Law and Forum</w:t>
      </w:r>
      <w:r>
        <w:rPr>
          <w:rFonts w:ascii="Times New Roman" w:cs="Times New Roman" w:eastAsia="Times New Roman" w:hAnsi="Times New Roman"/>
          <w:sz w:val="17"/>
          <w:szCs w:val="17"/>
          <w:color w:val="auto"/>
        </w:rPr>
        <w:t>. This Release Agreement shall be governed by the statutes and common law of the State of California. The forum for any dispute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arising out of this Release Agreement will be in the appropriate state or federal court in the state in which you resided while performing work for the Company.</w:t>
      </w:r>
    </w:p>
    <w:p>
      <w:pPr>
        <w:spacing w:after="0" w:line="117" w:lineRule="exact"/>
        <w:rPr>
          <w:rFonts w:ascii="Times New Roman" w:cs="Times New Roman" w:eastAsia="Times New Roman" w:hAnsi="Times New Roman"/>
          <w:sz w:val="17"/>
          <w:szCs w:val="17"/>
          <w:color w:val="auto"/>
        </w:rPr>
      </w:pPr>
    </w:p>
    <w:p>
      <w:pPr>
        <w:jc w:val="both"/>
        <w:ind w:left="520" w:right="120" w:hanging="515"/>
        <w:spacing w:after="0" w:line="230" w:lineRule="auto"/>
        <w:tabs>
          <w:tab w:leader="none" w:pos="5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The terms of this Release Agreement are contractual and not a mere recital. If any provision of this Release Agreement shall for any reason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held invalid or unenforceable, such invalidity or unenforceability shall not affect any other provision hereof, but this Release Agreement shall, in such event, be construed as if such invalid and/or unenforceable provision had never been contained herein.</w:t>
      </w:r>
    </w:p>
    <w:p>
      <w:pPr>
        <w:spacing w:after="0" w:line="117" w:lineRule="exact"/>
        <w:rPr>
          <w:rFonts w:ascii="Times New Roman" w:cs="Times New Roman" w:eastAsia="Times New Roman" w:hAnsi="Times New Roman"/>
          <w:sz w:val="17"/>
          <w:szCs w:val="17"/>
          <w:color w:val="auto"/>
        </w:rPr>
      </w:pPr>
    </w:p>
    <w:p>
      <w:pPr>
        <w:ind w:left="520" w:hanging="515"/>
        <w:spacing w:after="0" w:line="224" w:lineRule="auto"/>
        <w:tabs>
          <w:tab w:leader="none" w:pos="5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Counterparts and Electronic Signature</w:t>
      </w:r>
      <w:r>
        <w:rPr>
          <w:rFonts w:ascii="Times New Roman" w:cs="Times New Roman" w:eastAsia="Times New Roman" w:hAnsi="Times New Roman"/>
          <w:sz w:val="17"/>
          <w:szCs w:val="17"/>
          <w:color w:val="auto"/>
        </w:rPr>
        <w:t>. This Agreement may be executed in one (1) or more counterparts, each of which will be deemed an original, but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which together will constitute one (1)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4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BY SIGNING BELOW, YOU ACKNOWLEDGE THAT YOU HAVE READ THIS RELEASE AGREEMENT, UNDERSTAND ITS TERMS AND EFFECT, AND AGREE TO IT VOLUNTARILY.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4933-4091-0947v.4</w:t>
      </w:r>
    </w:p>
    <w:p>
      <w:pPr>
        <w:sectPr>
          <w:pgSz w:w="11900" w:h="16838" w:orient="portrait"/>
          <w:cols w:equalWidth="0" w:num="1">
            <w:col w:w="11280"/>
          </w:cols>
          <w:pgMar w:left="300" w:top="1123"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Signature: /s/ Eric Lefebvre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-9525</wp:posOffset>
            </wp:positionV>
            <wp:extent cx="83185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831850" cy="698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 Eric Lefebvre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-9525</wp:posOffset>
            </wp:positionV>
            <wp:extent cx="70294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02945" cy="698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-9525</wp:posOffset>
            </wp:positionV>
            <wp:extent cx="79311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93115" cy="69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4933-4091-0947v.4</w:t>
      </w:r>
    </w:p>
    <w:p>
      <w:pPr>
        <w:sectPr>
          <w:pgSz w:w="11900" w:h="16838" w:orient="portrait"/>
          <w:cols w:equalWidth="0" w:num="1">
            <w:col w:w="10159"/>
          </w:cols>
          <w:pgMar w:left="300" w:top="1402" w:right="1440" w:bottom="1440" w:gutter="0" w:footer="0" w:header="0"/>
        </w:sectPr>
      </w:pPr>
    </w:p>
    <w:bookmarkStart w:id="134" w:name="page135"/>
    <w:bookmarkEnd w:id="134"/>
    <w:p>
      <w:pPr>
        <w:jc w:val="center"/>
        <w:ind w:right="-79"/>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Disclosure Pursuant to Older Workers Benefit Protection Act</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following information is provided to comply with the Older Workers Benefit Protection Act. This information pertains to the restructuring of the workforce of Pliant Therapeutics,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It is current as of December 2, 2025. If this information changes during the Review Period, as defined in Section 3 of the Release Agreement, you will receive an updated disclosure.</w:t>
      </w:r>
    </w:p>
    <w:p>
      <w:pPr>
        <w:spacing w:after="0" w:line="130" w:lineRule="exact"/>
        <w:rPr>
          <w:sz w:val="20"/>
          <w:szCs w:val="20"/>
          <w:color w:val="auto"/>
        </w:rPr>
      </w:pPr>
    </w:p>
    <w:p>
      <w:pPr>
        <w:ind w:left="880" w:hanging="366"/>
        <w:spacing w:after="0"/>
        <w:tabs>
          <w:tab w:leader="none" w:pos="8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decisional unit is all Company staff.</w:t>
      </w:r>
    </w:p>
    <w:p>
      <w:pPr>
        <w:spacing w:after="0" w:line="175" w:lineRule="exact"/>
        <w:rPr>
          <w:rFonts w:ascii="Times New Roman" w:cs="Times New Roman" w:eastAsia="Times New Roman" w:hAnsi="Times New Roman"/>
          <w:sz w:val="17"/>
          <w:szCs w:val="17"/>
          <w:color w:val="auto"/>
        </w:rPr>
      </w:pPr>
    </w:p>
    <w:p>
      <w:pPr>
        <w:ind w:left="1020" w:hanging="506"/>
        <w:spacing w:after="0" w:line="276" w:lineRule="auto"/>
        <w:tabs>
          <w:tab w:leader="none" w:pos="87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persons who are eligible for severance are the persons in the decisional unit who are being terminated on the dates indicated below as a result of the workforce restructuring taking place on or about December 15, 2025 and who sign a general release of all claims.</w:t>
      </w:r>
    </w:p>
    <w:p>
      <w:pPr>
        <w:spacing w:after="0" w:line="133" w:lineRule="exact"/>
        <w:rPr>
          <w:rFonts w:ascii="Times New Roman" w:cs="Times New Roman" w:eastAsia="Times New Roman" w:hAnsi="Times New Roman"/>
          <w:sz w:val="17"/>
          <w:szCs w:val="17"/>
          <w:color w:val="auto"/>
        </w:rPr>
      </w:pPr>
    </w:p>
    <w:p>
      <w:pPr>
        <w:ind w:left="1020" w:right="280" w:hanging="506"/>
        <w:spacing w:after="0" w:line="276" w:lineRule="auto"/>
        <w:tabs>
          <w:tab w:leader="none" w:pos="87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were selected or not selected for termination based on the Company’s business needs going forward in the restructured organization and the Company’s assessment of the personnel suited to those needs.</w:t>
      </w:r>
    </w:p>
    <w:p>
      <w:pPr>
        <w:spacing w:after="0" w:line="123" w:lineRule="exact"/>
        <w:rPr>
          <w:rFonts w:ascii="Times New Roman" w:cs="Times New Roman" w:eastAsia="Times New Roman" w:hAnsi="Times New Roman"/>
          <w:sz w:val="17"/>
          <w:szCs w:val="17"/>
          <w:color w:val="auto"/>
        </w:rPr>
      </w:pPr>
    </w:p>
    <w:p>
      <w:pPr>
        <w:ind w:left="1020" w:right="600" w:hanging="506"/>
        <w:spacing w:after="0" w:line="308" w:lineRule="auto"/>
        <w:tabs>
          <w:tab w:leader="none" w:pos="87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Below is a listing of the ages, job titles and termination dates of all persons in the decisional unit who were selected for termination and offered consideration for signing a general release of claims as part of the aforementioned workforce restructuring and those who were not selected.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4933-4091-0947v.4</w:t>
      </w:r>
    </w:p>
    <w:p>
      <w:pPr>
        <w:sectPr>
          <w:pgSz w:w="11900" w:h="16838" w:orient="portrait"/>
          <w:cols w:equalWidth="0" w:num="1">
            <w:col w:w="11220"/>
          </w:cols>
          <w:pgMar w:left="300" w:top="1144" w:right="37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261" w:lineRule="exact"/>
        <w:rPr>
          <w:sz w:val="20"/>
          <w:szCs w:val="20"/>
          <w:color w:val="auto"/>
        </w:rPr>
      </w:pPr>
    </w:p>
    <w:p>
      <w:pPr>
        <w:jc w:val="both"/>
        <w:ind w:firstLine="20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This Consulting Agreement </w:t>
      </w:r>
      <w:r>
        <w:rPr>
          <w:rFonts w:ascii="Times New Roman" w:cs="Times New Roman" w:eastAsia="Times New Roman" w:hAnsi="Times New Roman"/>
          <w:sz w:val="17"/>
          <w:szCs w:val="17"/>
          <w:color w:val="auto"/>
        </w:rPr>
        <w:t>(the “Agreement”) is made and entered into by and between</w:t>
      </w:r>
      <w:r>
        <w:rPr>
          <w:rFonts w:ascii="Times New Roman" w:cs="Times New Roman" w:eastAsia="Times New Roman" w:hAnsi="Times New Roman"/>
          <w:sz w:val="17"/>
          <w:szCs w:val="17"/>
          <w:b w:val="1"/>
          <w:bCs w:val="1"/>
          <w:color w:val="auto"/>
        </w:rPr>
        <w:t xml:space="preserve"> Pliant Therapeutics, Inc. </w:t>
      </w:r>
      <w:r>
        <w:rPr>
          <w:rFonts w:ascii="Times New Roman" w:cs="Times New Roman" w:eastAsia="Times New Roman" w:hAnsi="Times New Roman"/>
          <w:sz w:val="17"/>
          <w:szCs w:val="17"/>
          <w:color w:val="auto"/>
        </w:rPr>
        <w:t>a Delaware corporation, having a place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business at 331 Oyster Point Blvd., South San Francisco, CA 94080 (the “Company”), and </w:t>
      </w:r>
      <w:r>
        <w:rPr>
          <w:rFonts w:ascii="Times New Roman" w:cs="Times New Roman" w:eastAsia="Times New Roman" w:hAnsi="Times New Roman"/>
          <w:sz w:val="17"/>
          <w:szCs w:val="17"/>
          <w:b w:val="1"/>
          <w:bCs w:val="1"/>
          <w:color w:val="auto"/>
        </w:rPr>
        <w:t>Eric Lefebvre</w:t>
      </w:r>
      <w:r>
        <w:rPr>
          <w:rFonts w:ascii="Times New Roman" w:cs="Times New Roman" w:eastAsia="Times New Roman" w:hAnsi="Times New Roman"/>
          <w:sz w:val="17"/>
          <w:szCs w:val="17"/>
          <w:color w:val="auto"/>
        </w:rPr>
        <w:t>, an individual (“Consultant”), having a primary address of</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effective as of December 16, 2025 (“Effective Date”).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7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Consultant has specialized skills and knowledge in the Company’s field of endeavor and thus is well suited to advise the Company with respect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research and development; and</w:t>
      </w:r>
    </w:p>
    <w:p>
      <w:pPr>
        <w:spacing w:after="0" w:line="11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desires that Consultant advise and consult with the Company in the research, development and analysis of technology relating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research and product development efforts, and Consultant agrees to provide such assistance to the Company through a consulting relationship with the Company;</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obligations specified in this Agreement, the parties agree to the following:</w:t>
      </w:r>
    </w:p>
    <w:p>
      <w:pPr>
        <w:spacing w:after="0" w:line="176" w:lineRule="exact"/>
        <w:rPr>
          <w:sz w:val="20"/>
          <w:szCs w:val="20"/>
          <w:color w:val="auto"/>
        </w:rPr>
      </w:pPr>
    </w:p>
    <w:p>
      <w:pPr>
        <w:ind w:firstLine="5"/>
        <w:spacing w:after="0" w:line="281" w:lineRule="auto"/>
        <w:tabs>
          <w:tab w:leader="none" w:pos="34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Consulting Services Engagement. </w:t>
      </w:r>
      <w:r>
        <w:rPr>
          <w:rFonts w:ascii="Times New Roman" w:cs="Times New Roman" w:eastAsia="Times New Roman" w:hAnsi="Times New Roman"/>
          <w:sz w:val="17"/>
          <w:szCs w:val="17"/>
          <w:color w:val="auto"/>
        </w:rPr>
        <w:t>The Company hereby retains Consultant, and Consultant hereby accepts such retention, to perform consulting services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as set forth herein.</w:t>
      </w:r>
    </w:p>
    <w:p>
      <w:pPr>
        <w:spacing w:after="0" w:line="115" w:lineRule="exact"/>
        <w:rPr>
          <w:sz w:val="20"/>
          <w:szCs w:val="20"/>
          <w:color w:val="auto"/>
        </w:rPr>
      </w:pPr>
    </w:p>
    <w:p>
      <w:pPr>
        <w:jc w:val="both"/>
        <w:ind w:firstLine="509"/>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1.1 Scope. </w:t>
      </w:r>
      <w:r>
        <w:rPr>
          <w:rFonts w:ascii="Times New Roman" w:cs="Times New Roman" w:eastAsia="Times New Roman" w:hAnsi="Times New Roman"/>
          <w:sz w:val="17"/>
          <w:szCs w:val="17"/>
          <w:color w:val="auto"/>
        </w:rPr>
        <w:t>Consultant shall provide clinical development advice and consulting services related to Company’s PLN-101095 program, including support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regulatory submissions and interactions (“Services”).</w:t>
      </w:r>
    </w:p>
    <w:p>
      <w:pPr>
        <w:spacing w:after="0" w:line="1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1.2 Performance and Time Commitment. </w:t>
      </w:r>
      <w:r>
        <w:rPr>
          <w:rFonts w:ascii="Times New Roman" w:cs="Times New Roman" w:eastAsia="Times New Roman" w:hAnsi="Times New Roman"/>
          <w:sz w:val="17"/>
          <w:szCs w:val="17"/>
          <w:color w:val="auto"/>
        </w:rPr>
        <w:t>Consultant shall render the Services at such times as may be mutually agreed upon by Consultant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Consultant shall perform the services from Consultant’s home office, or, upon mutual agreement of the parties, at the Company’s principal place of business, other Company location, or at other places. Consultant also agrees to perform a reasonable amount of informal consultation with the Company over the telephone or otherwise, with the understanding that such work will be fully compensable pursuant to the terms set forth in Paragraph 2.</w:t>
      </w:r>
    </w:p>
    <w:p>
      <w:pPr>
        <w:spacing w:after="0" w:line="14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b w:val="1"/>
          <w:bCs w:val="1"/>
          <w:color w:val="auto"/>
        </w:rPr>
        <w:t>1.3 Professional Standards</w:t>
      </w:r>
      <w:r>
        <w:rPr>
          <w:rFonts w:ascii="Times New Roman" w:cs="Times New Roman" w:eastAsia="Times New Roman" w:hAnsi="Times New Roman"/>
          <w:sz w:val="17"/>
          <w:szCs w:val="17"/>
          <w:color w:val="auto"/>
        </w:rPr>
        <w:t>. The manner and means used by Consultant to perform the Services desired by the Company are in the sole discretion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of Consultant, subject to the terms of this Agreement. Consultant’s Services, and the results thereof, will be performed with and be the product of the highest degree of professional skill and expertise.</w:t>
      </w:r>
    </w:p>
    <w:p>
      <w:pPr>
        <w:spacing w:after="0" w:line="12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7"/>
          <w:szCs w:val="17"/>
          <w:b w:val="1"/>
          <w:bCs w:val="1"/>
          <w:color w:val="auto"/>
        </w:rPr>
        <w:t>1.4 Independent Contractor Status</w:t>
      </w:r>
      <w:r>
        <w:rPr>
          <w:rFonts w:ascii="Times New Roman" w:cs="Times New Roman" w:eastAsia="Times New Roman" w:hAnsi="Times New Roman"/>
          <w:sz w:val="17"/>
          <w:szCs w:val="17"/>
          <w:color w:val="auto"/>
        </w:rPr>
        <w:t>. It is understood and agreed that Consultant is an independent contractor, is not an agent or employee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is not authorized to act on behalf of the Company. Consultant agrees not to hold themselves out as, or give any person any reason to believe that they are, an employee, agent, joint venturer or partner of the Company. Consultant will not be eligible for any employee benefits, nor will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1"/>
          <w:szCs w:val="11"/>
          <w:color w:val="auto"/>
        </w:rPr>
        <w:t>Pliant Consulting Agreement</w:t>
      </w:r>
      <w:r>
        <w:rPr>
          <w:sz w:val="20"/>
          <w:szCs w:val="20"/>
          <w:color w:val="auto"/>
        </w:rPr>
        <w:tab/>
      </w: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44" w:right="319" w:bottom="1440" w:gutter="0" w:footer="0" w:header="0"/>
        </w:sectPr>
      </w:pPr>
    </w:p>
    <w:bookmarkStart w:id="136" w:name="page137"/>
    <w:bookmarkEnd w:id="136"/>
    <w:p>
      <w:pPr>
        <w:spacing w:after="0" w:line="276" w:lineRule="auto"/>
        <w:rPr>
          <w:sz w:val="20"/>
          <w:szCs w:val="20"/>
          <w:color w:val="auto"/>
        </w:rPr>
      </w:pPr>
      <w:r>
        <w:rPr>
          <w:rFonts w:ascii="Times New Roman" w:cs="Times New Roman" w:eastAsia="Times New Roman" w:hAnsi="Times New Roman"/>
          <w:sz w:val="17"/>
          <w:szCs w:val="17"/>
          <w:color w:val="auto"/>
        </w:rPr>
        <w:t>make deductions from any amounts payable to Consultant for taxes or insurance. All payroll and employment taxes, insurance, and benefits shall be the sole responsibility of Consultant.</w:t>
      </w:r>
    </w:p>
    <w:p>
      <w:pPr>
        <w:spacing w:after="0" w:line="119" w:lineRule="exact"/>
        <w:rPr>
          <w:sz w:val="20"/>
          <w:szCs w:val="20"/>
          <w:color w:val="auto"/>
        </w:rPr>
      </w:pPr>
    </w:p>
    <w:p>
      <w:pPr>
        <w:jc w:val="both"/>
        <w:ind w:firstLine="5"/>
        <w:spacing w:after="0" w:line="254" w:lineRule="auto"/>
        <w:tabs>
          <w:tab w:leader="none" w:pos="361"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color w:val="auto"/>
        </w:rPr>
        <w:t>. As compensation for Consultant’s services and the discharge of all Consultant’s obligations hereunder, the Company shall pay Consultant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consulting fee equal to $500.00 per full hour actually spent performing Services requested by the Company, payable pursuant to monthly invoices for the Services. The understanding is that Consultant shall limit hours to (15) hours per month. Hours exceeding 15 in a month must be approved by Company in advance, and in writing. The maximum compensation payable over the duration of this Agreement shall not exceed Ninety-Seven Thousand Five Hundred Dollars ($97,500.00). Consultant’s existing equity shall continue to vest in accordance with Company’s stock plan for as long as the Consultant is engaged under this Agreement as a Consultant to Company. All payments for Services shall be payable within thirty (30) days after Company’s receipt of Consultant’s invoice. Invoices shall be sent to</w:t>
      </w:r>
    </w:p>
    <w:p>
      <w:pPr>
        <w:ind w:left="1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monthly in arrears for actual Services performed.</w:t>
      </w:r>
    </w:p>
    <w:p>
      <w:pPr>
        <w:spacing w:after="0" w:line="164" w:lineRule="exact"/>
        <w:rPr>
          <w:rFonts w:ascii="Times New Roman" w:cs="Times New Roman" w:eastAsia="Times New Roman" w:hAnsi="Times New Roman"/>
          <w:sz w:val="17"/>
          <w:szCs w:val="17"/>
          <w:b w:val="1"/>
          <w:bCs w:val="1"/>
          <w:color w:val="auto"/>
        </w:rPr>
      </w:pPr>
    </w:p>
    <w:p>
      <w:pPr>
        <w:jc w:val="both"/>
        <w:ind w:firstLine="5"/>
        <w:spacing w:after="0" w:line="264" w:lineRule="auto"/>
        <w:tabs>
          <w:tab w:leader="none" w:pos="308"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Expenses. </w:t>
      </w:r>
      <w:r>
        <w:rPr>
          <w:rFonts w:ascii="Times New Roman" w:cs="Times New Roman" w:eastAsia="Times New Roman" w:hAnsi="Times New Roman"/>
          <w:sz w:val="17"/>
          <w:szCs w:val="17"/>
          <w:color w:val="auto"/>
        </w:rPr>
        <w:t>The Company shall reimburse Consultant for expenses actually incurred by Consultant in performing the Services, including but not limited to travel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accommodation expenses, so long as such expenses are reasonable and necessary as determined by the Company. Consultant shall maintain adequate books and records relating to any expenses to be reimbursed and shall submit requests for reimbursement in a timely manner and form acceptable to the Company.</w:t>
      </w:r>
    </w:p>
    <w:p>
      <w:pPr>
        <w:spacing w:after="0" w:line="129" w:lineRule="exact"/>
        <w:rPr>
          <w:rFonts w:ascii="Times New Roman" w:cs="Times New Roman" w:eastAsia="Times New Roman" w:hAnsi="Times New Roman"/>
          <w:sz w:val="17"/>
          <w:szCs w:val="17"/>
          <w:b w:val="1"/>
          <w:bCs w:val="1"/>
          <w:color w:val="auto"/>
        </w:rPr>
      </w:pPr>
    </w:p>
    <w:p>
      <w:pPr>
        <w:ind w:firstLine="5"/>
        <w:spacing w:after="0" w:line="281" w:lineRule="auto"/>
        <w:tabs>
          <w:tab w:leader="none" w:pos="297"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Solicitation. </w:t>
      </w:r>
      <w:r>
        <w:rPr>
          <w:rFonts w:ascii="Times New Roman" w:cs="Times New Roman" w:eastAsia="Times New Roman" w:hAnsi="Times New Roman"/>
          <w:sz w:val="17"/>
          <w:szCs w:val="17"/>
          <w:color w:val="auto"/>
        </w:rPr>
        <w:t>During the term of this Agreement and for three (3) years after its termination, Consultant will not personally or through others recruit, solicit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induce any employee of the Company to terminate their employment with the Company.</w:t>
      </w:r>
    </w:p>
    <w:p>
      <w:pPr>
        <w:spacing w:after="0" w:line="125" w:lineRule="exact"/>
        <w:rPr>
          <w:rFonts w:ascii="Times New Roman" w:cs="Times New Roman" w:eastAsia="Times New Roman" w:hAnsi="Times New Roman"/>
          <w:sz w:val="17"/>
          <w:szCs w:val="17"/>
          <w:b w:val="1"/>
          <w:bCs w:val="1"/>
          <w:color w:val="auto"/>
        </w:rPr>
      </w:pPr>
    </w:p>
    <w:p>
      <w:pPr>
        <w:ind w:left="300" w:hanging="295"/>
        <w:spacing w:after="0"/>
        <w:tabs>
          <w:tab w:leader="none" w:pos="30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Maintaining Confidential Information</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7"/>
          <w:szCs w:val="17"/>
          <w:b w:val="1"/>
          <w:bCs w:val="1"/>
          <w:color w:val="auto"/>
        </w:rPr>
        <w:t>5.1 Company Information</w:t>
      </w:r>
      <w:r>
        <w:rPr>
          <w:rFonts w:ascii="Times New Roman" w:cs="Times New Roman" w:eastAsia="Times New Roman" w:hAnsi="Times New Roman"/>
          <w:sz w:val="17"/>
          <w:szCs w:val="17"/>
          <w:color w:val="auto"/>
        </w:rPr>
        <w:t>. During the term of this Agreement and in the course of Consultant’s performance hereunder, Consultant may receive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be exposed to confidential and proprietary information relating to the Company’s technology, know-how, data, inventions, developments, plans, business practices, and strategies. Such confidential and proprietary information of the Company (collectively referred to as “Information”) may include but not be limited to:</w:t>
      </w:r>
    </w:p>
    <w:p>
      <w:pPr>
        <w:spacing w:after="0" w:line="1" w:lineRule="exact"/>
        <w:rPr>
          <w:sz w:val="20"/>
          <w:szCs w:val="20"/>
          <w:color w:val="auto"/>
        </w:rPr>
      </w:pPr>
    </w:p>
    <w:p>
      <w:pPr>
        <w:jc w:val="both"/>
        <w:ind w:firstLine="5"/>
        <w:spacing w:after="0" w:line="253" w:lineRule="auto"/>
        <w:tabs>
          <w:tab w:leader="none" w:pos="20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and proprietary information supplied to Consultant with the legend “Confidential” or equivalent; (ii) the Company’s marketing and customer support strategies, financial information (including sales, costs, profits and pricing methods), internal organization, employee information, and customer lists; (iii) the Company’s technology, including, but not limited to, discoveries, inventions, research and development efforts, data, software, trade secrets, processes, samples, media and/or cell lines (and procedures and formulations for producing any such samples, media and/or cell lines), vectors, viruses, assays, plasmids, formulas, methods, product and know-how and show-how; (iv) all derivatives, improvements, additions, modifications, and enhancements to any of the above, including any such information or material created or developed by Consultant under this Agreement; or (v) information of third parties as to which the Company has an obligation of confidentiality.</w:t>
      </w:r>
    </w:p>
    <w:p>
      <w:pPr>
        <w:spacing w:after="0" w:line="142"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Consultant acknowledges the confidential and secret character of the Information and agrees that the Information is the sole, exclusive and extremely valuable property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1"/>
          <w:szCs w:val="11"/>
          <w:color w:val="auto"/>
        </w:rPr>
        <w:t>Pliant Consulting Agreement</w:t>
      </w:r>
      <w:r>
        <w:rPr>
          <w:sz w:val="20"/>
          <w:szCs w:val="20"/>
          <w:color w:val="auto"/>
        </w:rPr>
        <w:tab/>
      </w: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48" w:right="319" w:bottom="1440" w:gutter="0" w:footer="0" w:header="0"/>
        </w:sectPr>
      </w:pPr>
    </w:p>
    <w:bookmarkStart w:id="137" w:name="page138"/>
    <w:bookmarkEnd w:id="137"/>
    <w:p>
      <w:pPr>
        <w:jc w:val="both"/>
        <w:spacing w:after="0" w:line="261" w:lineRule="auto"/>
        <w:rPr>
          <w:sz w:val="20"/>
          <w:szCs w:val="20"/>
          <w:color w:val="auto"/>
        </w:rPr>
      </w:pPr>
      <w:r>
        <w:rPr>
          <w:rFonts w:ascii="Times New Roman" w:cs="Times New Roman" w:eastAsia="Times New Roman" w:hAnsi="Times New Roman"/>
          <w:sz w:val="17"/>
          <w:szCs w:val="17"/>
          <w:color w:val="auto"/>
        </w:rPr>
        <w:t>Company. Accordingly, Consultant agrees not to reproduce any of the Information without the applicable prior written consent of the Company, not to use the Information except in the performance of this Agreement, and not to disclose all or any part of the Information in any form to any third party, either during or after the term of this Agreement. Upon termination of this Agreement for any reason, including expiration of term, Consultant agrees to cease using and to return to the Company all whole and partial copies and derivatives of the Information, whether in Consultant’s possession or under Consultant’s direct or indirect control.</w:t>
      </w:r>
    </w:p>
    <w:p>
      <w:pPr>
        <w:spacing w:after="0" w:line="13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5.2 Exceptions. </w:t>
      </w:r>
      <w:r>
        <w:rPr>
          <w:rFonts w:ascii="Times New Roman" w:cs="Times New Roman" w:eastAsia="Times New Roman" w:hAnsi="Times New Roman"/>
          <w:sz w:val="17"/>
          <w:szCs w:val="17"/>
          <w:color w:val="auto"/>
        </w:rPr>
        <w:t>Consultant will have no obligations of non-disclosure and non-use with respect to any portion of Information which Consultant can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demonstrate, by clear and convincing evidence:</w:t>
      </w:r>
    </w:p>
    <w:p>
      <w:pPr>
        <w:spacing w:after="0" w:line="119" w:lineRule="exact"/>
        <w:rPr>
          <w:sz w:val="20"/>
          <w:szCs w:val="20"/>
          <w:color w:val="auto"/>
        </w:rPr>
      </w:pPr>
    </w:p>
    <w:p>
      <w:pPr>
        <w:ind w:left="880" w:hanging="366"/>
        <w:spacing w:after="0"/>
        <w:tabs>
          <w:tab w:leader="none" w:pos="88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is generally known to the public at the time of disclosure or becomes generally known through no fault of Consultant;</w:t>
      </w:r>
    </w:p>
    <w:p>
      <w:pPr>
        <w:spacing w:after="0" w:line="175" w:lineRule="exact"/>
        <w:rPr>
          <w:rFonts w:ascii="Times New Roman" w:cs="Times New Roman" w:eastAsia="Times New Roman" w:hAnsi="Times New Roman"/>
          <w:sz w:val="17"/>
          <w:szCs w:val="17"/>
          <w:b w:val="1"/>
          <w:bCs w:val="1"/>
          <w:color w:val="auto"/>
        </w:rPr>
      </w:pPr>
    </w:p>
    <w:p>
      <w:pPr>
        <w:ind w:left="900" w:hanging="386"/>
        <w:spacing w:after="0"/>
        <w:tabs>
          <w:tab w:leader="none" w:pos="9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is in the Consultant’s possession at the time of disclosure other than as a result of Consultant’s breach of any legal obligation;</w:t>
      </w:r>
    </w:p>
    <w:p>
      <w:pPr>
        <w:spacing w:after="0" w:line="186" w:lineRule="exact"/>
        <w:rPr>
          <w:rFonts w:ascii="Times New Roman" w:cs="Times New Roman" w:eastAsia="Times New Roman" w:hAnsi="Times New Roman"/>
          <w:sz w:val="17"/>
          <w:szCs w:val="17"/>
          <w:b w:val="1"/>
          <w:bCs w:val="1"/>
          <w:color w:val="auto"/>
        </w:rPr>
      </w:pPr>
    </w:p>
    <w:p>
      <w:pPr>
        <w:ind w:left="880" w:hanging="366"/>
        <w:spacing w:after="0"/>
        <w:tabs>
          <w:tab w:leader="none" w:pos="88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becomes known to Consultant through disclosure by sources other than Consultant having the legal right to disclose such Information; or</w:t>
      </w:r>
    </w:p>
    <w:p>
      <w:pPr>
        <w:spacing w:after="0" w:line="175" w:lineRule="exact"/>
        <w:rPr>
          <w:rFonts w:ascii="Times New Roman" w:cs="Times New Roman" w:eastAsia="Times New Roman" w:hAnsi="Times New Roman"/>
          <w:sz w:val="17"/>
          <w:szCs w:val="17"/>
          <w:b w:val="1"/>
          <w:bCs w:val="1"/>
          <w:color w:val="auto"/>
        </w:rPr>
      </w:pPr>
    </w:p>
    <w:p>
      <w:pPr>
        <w:ind w:left="900" w:hanging="386"/>
        <w:spacing w:after="0"/>
        <w:tabs>
          <w:tab w:leader="none" w:pos="9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is independently developed by Consultant without reference to or reliance upon the Information.</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Information will not be deemed to be in the public domain or in the possession of Consultant merely because it is embraced by generalized disclosures in the public domain nor will a combination of Information be deemed to fall within any of the exceptions set forth above simply because each of the elements is itself included within an exception if the combination itself does not fall within any of the exceptions.</w:t>
      </w:r>
    </w:p>
    <w:p>
      <w:pPr>
        <w:spacing w:after="0" w:line="13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In the event that Consultant is required by a governmental authority or by order of a court of competent jurisdiction to disclose any Information, Consultant will give Company prompt notice thereof so that Company may seek an appropriate protective order prior to such required disclosure. Consultant will reasonably cooperate with Company in its efforts to seek such a protective order.</w:t>
      </w:r>
    </w:p>
    <w:p>
      <w:pPr>
        <w:spacing w:after="0" w:line="126"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7"/>
          <w:szCs w:val="17"/>
          <w:b w:val="1"/>
          <w:bCs w:val="1"/>
          <w:color w:val="auto"/>
        </w:rPr>
        <w:t>5.3 Other Employer Information</w:t>
      </w:r>
      <w:r>
        <w:rPr>
          <w:rFonts w:ascii="Times New Roman" w:cs="Times New Roman" w:eastAsia="Times New Roman" w:hAnsi="Times New Roman"/>
          <w:sz w:val="17"/>
          <w:szCs w:val="17"/>
          <w:color w:val="auto"/>
        </w:rPr>
        <w:t>. Consultant agrees that Consultant will not, during Consultant’s engagement with the Company, improperly use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disclose any proprietary information or trade secrets of Consultant’s former or concurrent employers or companies, if any, and that Consultant will not bring onto the premises of the Company any unpublished documents or any property belonging to Consultant’s former or concurrent employers or companies unless consented to in writing by said employers or companies.</w:t>
      </w:r>
    </w:p>
    <w:p>
      <w:pPr>
        <w:spacing w:after="0" w:line="13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b w:val="1"/>
          <w:bCs w:val="1"/>
          <w:color w:val="auto"/>
        </w:rPr>
        <w:t>5.4 Third Party Information</w:t>
      </w:r>
      <w:r>
        <w:rPr>
          <w:rFonts w:ascii="Times New Roman" w:cs="Times New Roman" w:eastAsia="Times New Roman" w:hAnsi="Times New Roman"/>
          <w:sz w:val="17"/>
          <w:szCs w:val="17"/>
          <w:color w:val="auto"/>
        </w:rPr>
        <w:t>. Consultant recognizes that the Company has received and in the future will receive from third parties their confidential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proprietary information subject to a duty on the Company’s part to maintain the confidentiality of such information and, in some cases, to use it only for certain limited purposes. Consultant agrees that they owe the Company and such third parties, both during the term of Consultant’s engagement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1"/>
          <w:szCs w:val="11"/>
          <w:color w:val="auto"/>
        </w:rPr>
        <w:t>Pliant Consulting Agreement</w:t>
      </w:r>
      <w:r>
        <w:rPr>
          <w:sz w:val="20"/>
          <w:szCs w:val="20"/>
          <w:color w:val="auto"/>
        </w:rPr>
        <w:tab/>
      </w: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48" w:right="319" w:bottom="1440" w:gutter="0" w:footer="0" w:header="0"/>
        </w:sectPr>
      </w:pPr>
    </w:p>
    <w:bookmarkStart w:id="138" w:name="page139"/>
    <w:bookmarkEnd w:id="138"/>
    <w:p>
      <w:pPr>
        <w:jc w:val="both"/>
        <w:spacing w:after="0" w:line="262" w:lineRule="auto"/>
        <w:rPr>
          <w:sz w:val="20"/>
          <w:szCs w:val="20"/>
          <w:color w:val="auto"/>
        </w:rPr>
      </w:pPr>
      <w:r>
        <w:rPr>
          <w:rFonts w:ascii="Times New Roman" w:cs="Times New Roman" w:eastAsia="Times New Roman" w:hAnsi="Times New Roman"/>
          <w:sz w:val="17"/>
          <w:szCs w:val="17"/>
          <w:color w:val="auto"/>
        </w:rPr>
        <w:t>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141" w:lineRule="exact"/>
        <w:rPr>
          <w:sz w:val="20"/>
          <w:szCs w:val="20"/>
          <w:color w:val="auto"/>
        </w:rPr>
      </w:pPr>
    </w:p>
    <w:p>
      <w:pPr>
        <w:ind w:left="300" w:hanging="295"/>
        <w:spacing w:after="0"/>
        <w:tabs>
          <w:tab w:leader="none" w:pos="3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Inventions.</w:t>
      </w:r>
    </w:p>
    <w:p>
      <w:pPr>
        <w:spacing w:after="0" w:line="17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7"/>
          <w:szCs w:val="17"/>
          <w:b w:val="1"/>
          <w:bCs w:val="1"/>
          <w:color w:val="auto"/>
        </w:rPr>
        <w:t>6.1 Disclosure of Inventions</w:t>
      </w:r>
      <w:r>
        <w:rPr>
          <w:rFonts w:ascii="Times New Roman" w:cs="Times New Roman" w:eastAsia="Times New Roman" w:hAnsi="Times New Roman"/>
          <w:sz w:val="17"/>
          <w:szCs w:val="17"/>
          <w:color w:val="auto"/>
        </w:rPr>
        <w:t>. Consultant shall promptly and fully disclose to the Company any and all ideas, improvements, inventions, know-how,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techniques and works of authorship learned, conceived or developed by Consultant pursuant to Consultant’s performance of the Services for the Company or of tasks assigned to Consultant by the Company hereunder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13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b w:val="1"/>
          <w:bCs w:val="1"/>
          <w:color w:val="auto"/>
        </w:rPr>
        <w:t>6.2 Inventions Assigned to the Company</w:t>
      </w:r>
      <w:r>
        <w:rPr>
          <w:rFonts w:ascii="Times New Roman" w:cs="Times New Roman" w:eastAsia="Times New Roman" w:hAnsi="Times New Roman"/>
          <w:sz w:val="17"/>
          <w:szCs w:val="17"/>
          <w:color w:val="auto"/>
        </w:rPr>
        <w:t>. Consultant agrees that, any and all Service Product shall be the sole and exclusive property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hereby assigns to the Company all Consultant’s right, title and interest in and to any and all Service Product. Consultant explicitly acknowledges and agrees that all works of authorship contained in the Service Product are “works for hire” under the copyright laws of the United States, and that the Company shall own the copyright in all such works of authorship.</w:t>
      </w:r>
    </w:p>
    <w:p>
      <w:pPr>
        <w:spacing w:after="0" w:line="140"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Consultant further agrees that, the Company is and shall be vested with all rights, title and interests, including patent, copyright, trade secret and trademark rights, in all of Consultant’s Service Product under this Agreement.</w:t>
      </w:r>
    </w:p>
    <w:p>
      <w:pPr>
        <w:spacing w:after="0" w:line="10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b w:val="1"/>
          <w:bCs w:val="1"/>
          <w:color w:val="auto"/>
        </w:rPr>
        <w:t>6.3 Obtaining Intellectual Property Protection</w:t>
      </w:r>
      <w:r>
        <w:rPr>
          <w:rFonts w:ascii="Times New Roman" w:cs="Times New Roman" w:eastAsia="Times New Roman" w:hAnsi="Times New Roman"/>
          <w:sz w:val="17"/>
          <w:szCs w:val="17"/>
          <w:color w:val="auto"/>
        </w:rPr>
        <w:t>. Consultant agrees to assist the Company in every proper way to obtain and enforce United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foreign proprietary rights relating to the Service Product in any and all countries. To that end, Consultant agrees to execute, verify and deliver such documents and perform such other acts (including appearing as a witness) as the Company may reasonably request for use in applying for, obtaining, perfecting, evidencing, sustaining and enforcing such proprietary rights and the assignment thereof. In addition, Consultant agrees to execute, verify and deliver assignments of such proprietary rights to the Company or its designee. Consultant’s obligation to assist the Company with respect to proprietary rights in any and all countries shall continue beyond the termination of Consultant’s engagement, but the Company shall compensate Consultant at a reasonable rate after such termination for the time actually spent by Consultant at the Company’s request on such assistance.</w:t>
      </w:r>
    </w:p>
    <w:p>
      <w:pPr>
        <w:spacing w:after="0" w:line="14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Consultant’s agent and attorney in fact, to act for and on Consultant’s behalf to execute, verify and file, with the same legal force and effect as if executed by Consultant, any such documents and to do all other lawfully permitted acts to further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1"/>
          <w:szCs w:val="11"/>
          <w:color w:val="auto"/>
        </w:rPr>
        <w:t>Pliant Consulting Agreement</w:t>
      </w:r>
      <w:r>
        <w:rPr>
          <w:sz w:val="20"/>
          <w:szCs w:val="20"/>
          <w:color w:val="auto"/>
        </w:rPr>
        <w:tab/>
      </w: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48" w:right="319" w:bottom="1440" w:gutter="0" w:footer="0" w:header="0"/>
        </w:sectPr>
      </w:pPr>
    </w:p>
    <w:bookmarkStart w:id="139" w:name="page140"/>
    <w:bookmarkEnd w:id="139"/>
    <w:p>
      <w:pPr>
        <w:spacing w:after="0" w:line="276" w:lineRule="auto"/>
        <w:rPr>
          <w:sz w:val="20"/>
          <w:szCs w:val="20"/>
          <w:color w:val="auto"/>
        </w:rPr>
      </w:pPr>
      <w:r>
        <w:rPr>
          <w:rFonts w:ascii="Times New Roman" w:cs="Times New Roman" w:eastAsia="Times New Roman" w:hAnsi="Times New Roman"/>
          <w:sz w:val="17"/>
          <w:szCs w:val="17"/>
          <w:color w:val="auto"/>
        </w:rPr>
        <w:t>the purposes of the preceding paragraph. Consultant hereby waives and quitclaims to the Company any and all claims of any nature whatsoever which Consultant now or may hereafter have for infringement of any proprietary rights assigned to the Company.</w:t>
      </w:r>
    </w:p>
    <w:p>
      <w:pPr>
        <w:spacing w:after="0" w:line="119" w:lineRule="exact"/>
        <w:rPr>
          <w:sz w:val="20"/>
          <w:szCs w:val="20"/>
          <w:color w:val="auto"/>
        </w:rPr>
      </w:pPr>
    </w:p>
    <w:p>
      <w:pPr>
        <w:ind w:firstLine="509"/>
        <w:spacing w:after="0" w:line="294" w:lineRule="auto"/>
        <w:rPr>
          <w:sz w:val="20"/>
          <w:szCs w:val="20"/>
          <w:color w:val="auto"/>
        </w:rPr>
      </w:pPr>
      <w:r>
        <w:rPr>
          <w:rFonts w:ascii="Times New Roman" w:cs="Times New Roman" w:eastAsia="Times New Roman" w:hAnsi="Times New Roman"/>
          <w:sz w:val="17"/>
          <w:szCs w:val="17"/>
          <w:b w:val="1"/>
          <w:bCs w:val="1"/>
          <w:color w:val="auto"/>
        </w:rPr>
        <w:t>6.4 Obligation to Keep the Company Informed</w:t>
      </w:r>
      <w:r>
        <w:rPr>
          <w:rFonts w:ascii="Times New Roman" w:cs="Times New Roman" w:eastAsia="Times New Roman" w:hAnsi="Times New Roman"/>
          <w:sz w:val="17"/>
          <w:szCs w:val="17"/>
          <w:color w:val="auto"/>
        </w:rPr>
        <w:t>. During the term of this Agreement, and for one (1) year after its termination for any reason, Consultant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promptly disclose to the Company fully and in writing all patent applications filed by Consultant or on Consultant’s behalf.</w:t>
      </w:r>
    </w:p>
    <w:p>
      <w:pPr>
        <w:spacing w:after="0" w:line="105" w:lineRule="exact"/>
        <w:rPr>
          <w:sz w:val="20"/>
          <w:szCs w:val="20"/>
          <w:color w:val="auto"/>
        </w:rPr>
      </w:pPr>
    </w:p>
    <w:p>
      <w:pPr>
        <w:jc w:val="both"/>
        <w:ind w:firstLine="5"/>
        <w:spacing w:after="0" w:line="253" w:lineRule="auto"/>
        <w:tabs>
          <w:tab w:leader="none" w:pos="318"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w:t>
      </w:r>
      <w:r>
        <w:rPr>
          <w:rFonts w:ascii="Times New Roman" w:cs="Times New Roman" w:eastAsia="Times New Roman" w:hAnsi="Times New Roman"/>
          <w:sz w:val="17"/>
          <w:szCs w:val="17"/>
          <w:color w:val="auto"/>
        </w:rPr>
        <w:t>Consultant may terminate this Agreement at any time by giving Company thirty (30) days written notice. The Company may only terminate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for Cause. “Cause” includes any of the following on the part of Consultant: (A) conviction of a felony criminal offense (other than a traffic offense); (B) engaging in conduct that materially violates the Company’s code of conduct or other policies for more than 21 calendar days after Consultant’s receipt of written notice from the Company identifying with particularity the basis for such violation; (C) engaging in any act or omission that materially injures or could reasonably be expected to materially injure the Company more than 21 calendar days after Consultant’s receipt of written notice from the Company identifying with particularity the basis for such material injury; (D) continued refusal or failure to follow lawful and reasonable directions of the Company or the appropriate individual to whom Consultant reports; (E) engaging, in connection with Consultant’s services for the Company, in material misconduct (including, without limitation, fraud, dishonesty, misappropriation, or embezzlement); or (F) violation of any contract or agreement between Consultant and the Company or of any statutory duty owed to the Company.</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event of such termination, Consultant shall cease work immediately after giving or receiving such notice or termination, unless otherwise advised by the Company, shall return to the Company all Information, Service Product, and other materials belonging to the Company, and shall notify the Company of costs incurred up to the termination date. Sections 4, 5 and 6 of this Agreement shall survive any termination of this Agreement. Unless earlier terminated as provided herein, this Agreement shall expire on January 31, 2027.</w:t>
      </w:r>
    </w:p>
    <w:p>
      <w:pPr>
        <w:spacing w:after="0" w:line="132" w:lineRule="exact"/>
        <w:rPr>
          <w:sz w:val="20"/>
          <w:szCs w:val="20"/>
          <w:color w:val="auto"/>
        </w:rPr>
      </w:pPr>
    </w:p>
    <w:p>
      <w:pPr>
        <w:ind w:firstLine="5"/>
        <w:spacing w:after="0" w:line="281" w:lineRule="auto"/>
        <w:tabs>
          <w:tab w:leader="none" w:pos="35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Compliance with Applicable Laws</w:t>
      </w:r>
      <w:r>
        <w:rPr>
          <w:rFonts w:ascii="Times New Roman" w:cs="Times New Roman" w:eastAsia="Times New Roman" w:hAnsi="Times New Roman"/>
          <w:sz w:val="17"/>
          <w:szCs w:val="17"/>
          <w:color w:val="auto"/>
        </w:rPr>
        <w:t>. Consultant warrants that all material supplied and work performed under this Agreement complies with or will comply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all applicable United States and foreign laws and regulations.</w:t>
      </w:r>
    </w:p>
    <w:p>
      <w:pPr>
        <w:spacing w:after="0" w:line="125" w:lineRule="exact"/>
        <w:rPr>
          <w:rFonts w:ascii="Times New Roman" w:cs="Times New Roman" w:eastAsia="Times New Roman" w:hAnsi="Times New Roman"/>
          <w:sz w:val="17"/>
          <w:szCs w:val="17"/>
          <w:b w:val="1"/>
          <w:bCs w:val="1"/>
          <w:color w:val="auto"/>
        </w:rPr>
      </w:pPr>
    </w:p>
    <w:p>
      <w:pPr>
        <w:jc w:val="both"/>
        <w:ind w:firstLine="5"/>
        <w:spacing w:after="0" w:line="256" w:lineRule="auto"/>
        <w:tabs>
          <w:tab w:leader="none" w:pos="371"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Debarment</w:t>
      </w:r>
      <w:r>
        <w:rPr>
          <w:rFonts w:ascii="Times New Roman" w:cs="Times New Roman" w:eastAsia="Times New Roman" w:hAnsi="Times New Roman"/>
          <w:sz w:val="17"/>
          <w:szCs w:val="17"/>
          <w:color w:val="auto"/>
        </w:rPr>
        <w:t>. Consultant represents and warrants that pursuant to the Generic Drug Enforcement Act of 1992, as amended (21 U.S.C. § 301, et seq.), it (i)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presently debarred by the FDA or under investigation by the FDA for debarment and (ii) will not employ, contract with, or retain any person directly or indirectly to perform the Services under this Agreement if such person is under investigation by the FDA for debarment or is presently debarred by the FDA. In addition, Consultant represents and warrants that it has not engaged in any conduct or activity that could lead to any such debarment actions. If during the term of this Agreement, Consultant or any person employed or retained by it to perform the Services (i) comes under investigation by the FDA for a debarment action, (ii) is debarred, or (iii) engages in any conduct or activity that could lead to debarment, Consultant shall immediately notify the Company of same.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1"/>
          <w:szCs w:val="11"/>
          <w:color w:val="auto"/>
        </w:rPr>
        <w:t>Pliant Consulting Agreement</w:t>
      </w:r>
      <w:r>
        <w:rPr>
          <w:sz w:val="20"/>
          <w:szCs w:val="20"/>
          <w:color w:val="auto"/>
        </w:rPr>
        <w:tab/>
      </w: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48" w:right="319" w:bottom="1440" w:gutter="0" w:footer="0" w:header="0"/>
        </w:sectPr>
      </w:pPr>
    </w:p>
    <w:bookmarkStart w:id="140" w:name="page141"/>
    <w:bookmarkEnd w:id="140"/>
    <w:p>
      <w:pPr>
        <w:jc w:val="both"/>
        <w:ind w:firstLine="5"/>
        <w:spacing w:after="0" w:line="264" w:lineRule="auto"/>
        <w:tabs>
          <w:tab w:leader="none" w:pos="382"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Assignment; Benefit</w:t>
      </w:r>
      <w:r>
        <w:rPr>
          <w:rFonts w:ascii="Times New Roman" w:cs="Times New Roman" w:eastAsia="Times New Roman" w:hAnsi="Times New Roman"/>
          <w:sz w:val="17"/>
          <w:szCs w:val="17"/>
          <w:color w:val="auto"/>
        </w:rPr>
        <w:t>. This Agreement is for the personal services of Consultant and may not be assigned by Consultant, nor shall it be assignable by operation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law, without the prior written consent of the Company. This Agreement may be assigned at any time by the Company. The parties’ rights and obligations under this Agreement will bind and inure to the benefit of their respective successors, heirs, executors, and administrators and permitted assigns.</w:t>
      </w:r>
    </w:p>
    <w:p>
      <w:pPr>
        <w:spacing w:after="0" w:line="140" w:lineRule="exact"/>
        <w:rPr>
          <w:rFonts w:ascii="Times New Roman" w:cs="Times New Roman" w:eastAsia="Times New Roman" w:hAnsi="Times New Roman"/>
          <w:sz w:val="17"/>
          <w:szCs w:val="17"/>
          <w:b w:val="1"/>
          <w:bCs w:val="1"/>
          <w:color w:val="auto"/>
        </w:rPr>
      </w:pPr>
    </w:p>
    <w:p>
      <w:pPr>
        <w:jc w:val="both"/>
        <w:ind w:firstLine="5"/>
        <w:spacing w:after="0" w:line="256" w:lineRule="auto"/>
        <w:tabs>
          <w:tab w:leader="none" w:pos="457"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Indemnification. </w:t>
      </w:r>
      <w:r>
        <w:rPr>
          <w:rFonts w:ascii="Times New Roman" w:cs="Times New Roman" w:eastAsia="Times New Roman" w:hAnsi="Times New Roman"/>
          <w:sz w:val="17"/>
          <w:szCs w:val="17"/>
          <w:color w:val="auto"/>
        </w:rPr>
        <w:t>Each Party agrees to indemnify and hold the other Party harmless against any liability, damages, loss or expense (including reasonable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attorney fees and expenses of litigation) based on any third party claims or action arising out of the actions of the indemnifying Party, its employees or any third party acting on behalf or under authorization from the indemnifying Party in the performance of this Agreement or as a result of any products developed or made as a result of information or materials received from either Party, except to the extent that such claim or action results from the negligent or intentionally wrongful acts of the indemnified Party.</w:t>
      </w:r>
    </w:p>
    <w:p>
      <w:pPr>
        <w:spacing w:after="0" w:line="145" w:lineRule="exact"/>
        <w:rPr>
          <w:rFonts w:ascii="Times New Roman" w:cs="Times New Roman" w:eastAsia="Times New Roman" w:hAnsi="Times New Roman"/>
          <w:sz w:val="17"/>
          <w:szCs w:val="17"/>
          <w:b w:val="1"/>
          <w:bCs w:val="1"/>
          <w:color w:val="auto"/>
        </w:rPr>
      </w:pPr>
    </w:p>
    <w:p>
      <w:pPr>
        <w:jc w:val="both"/>
        <w:ind w:firstLine="5"/>
        <w:spacing w:after="0" w:line="256" w:lineRule="auto"/>
        <w:tabs>
          <w:tab w:leader="none" w:pos="456"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Legal and Equitable Remedies. </w:t>
      </w:r>
      <w:r>
        <w:rPr>
          <w:rFonts w:ascii="Times New Roman" w:cs="Times New Roman" w:eastAsia="Times New Roman" w:hAnsi="Times New Roman"/>
          <w:sz w:val="17"/>
          <w:szCs w:val="17"/>
          <w:color w:val="auto"/>
        </w:rPr>
        <w:t>Consultant hereby acknowledges and agrees that in the event of any breach of this Agreement by Consultant,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limitation, the actual or threatened disclosure of Information or Service Product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Agreement, as well as such further relief as may be granted by a court of competent jurisdiction.</w:t>
      </w:r>
    </w:p>
    <w:p>
      <w:pPr>
        <w:spacing w:after="0" w:line="135" w:lineRule="exact"/>
        <w:rPr>
          <w:rFonts w:ascii="Times New Roman" w:cs="Times New Roman" w:eastAsia="Times New Roman" w:hAnsi="Times New Roman"/>
          <w:sz w:val="17"/>
          <w:szCs w:val="17"/>
          <w:b w:val="1"/>
          <w:bCs w:val="1"/>
          <w:color w:val="auto"/>
        </w:rPr>
      </w:pPr>
    </w:p>
    <w:p>
      <w:pPr>
        <w:jc w:val="both"/>
        <w:ind w:firstLine="5"/>
        <w:spacing w:after="0" w:line="271" w:lineRule="auto"/>
        <w:tabs>
          <w:tab w:leader="none" w:pos="414"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Governing Law; Severability. </w:t>
      </w:r>
      <w:r>
        <w:rPr>
          <w:rFonts w:ascii="Times New Roman" w:cs="Times New Roman" w:eastAsia="Times New Roman" w:hAnsi="Times New Roman"/>
          <w:sz w:val="17"/>
          <w:szCs w:val="17"/>
          <w:color w:val="auto"/>
        </w:rPr>
        <w:t>This Agreement shall be governed by and construed according to the laws of the State of California, without giving effect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conflict of laws rules that would require application of other laws. If any provision of this Agreement is found by a court of competent jurisdiction to be unenforceable, that provision shall be severed and the remainder of this Agreement shall continue in full force and effect.</w:t>
      </w:r>
    </w:p>
    <w:p>
      <w:pPr>
        <w:spacing w:after="0" w:line="122" w:lineRule="exact"/>
        <w:rPr>
          <w:rFonts w:ascii="Times New Roman" w:cs="Times New Roman" w:eastAsia="Times New Roman" w:hAnsi="Times New Roman"/>
          <w:sz w:val="17"/>
          <w:szCs w:val="17"/>
          <w:b w:val="1"/>
          <w:bCs w:val="1"/>
          <w:color w:val="auto"/>
        </w:rPr>
      </w:pPr>
    </w:p>
    <w:p>
      <w:pPr>
        <w:jc w:val="both"/>
        <w:ind w:firstLine="5"/>
        <w:spacing w:after="0" w:line="264" w:lineRule="auto"/>
        <w:tabs>
          <w:tab w:leader="none" w:pos="446"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Complete Understanding; Modification</w:t>
      </w:r>
      <w:r>
        <w:rPr>
          <w:rFonts w:ascii="Times New Roman" w:cs="Times New Roman" w:eastAsia="Times New Roman" w:hAnsi="Times New Roman"/>
          <w:sz w:val="17"/>
          <w:szCs w:val="17"/>
          <w:color w:val="auto"/>
        </w:rPr>
        <w:t>. This Agreement constitutes the final, exclusive and complete understanding and agreement of the Company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with respect to the subject matter hereof. Any waiver, modification or amendment of any provision of this Agreement shall be effective only if in writing and signed by a Company officer.</w:t>
      </w:r>
    </w:p>
    <w:p>
      <w:pPr>
        <w:spacing w:after="0" w:line="140" w:lineRule="exact"/>
        <w:rPr>
          <w:rFonts w:ascii="Times New Roman" w:cs="Times New Roman" w:eastAsia="Times New Roman" w:hAnsi="Times New Roman"/>
          <w:sz w:val="17"/>
          <w:szCs w:val="17"/>
          <w:b w:val="1"/>
          <w:bCs w:val="1"/>
          <w:color w:val="auto"/>
        </w:rPr>
      </w:pPr>
    </w:p>
    <w:p>
      <w:pPr>
        <w:jc w:val="both"/>
        <w:ind w:firstLine="5"/>
        <w:spacing w:after="0" w:line="264" w:lineRule="auto"/>
        <w:tabs>
          <w:tab w:leader="none" w:pos="393"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Notices. </w:t>
      </w:r>
      <w:r>
        <w:rPr>
          <w:rFonts w:ascii="Times New Roman" w:cs="Times New Roman" w:eastAsia="Times New Roman" w:hAnsi="Times New Roman"/>
          <w:sz w:val="17"/>
          <w:szCs w:val="17"/>
          <w:color w:val="auto"/>
        </w:rPr>
        <w:t>Any notices required or permitted hereunder shall be given to the appropriate party at the address specified below or at such other address as the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specify in writing. Such notice shall be deemed given upon personal delivery to the appropriate address or sent by certified or registered mail, three days after the date of mailing.</w:t>
      </w:r>
    </w:p>
    <w:p>
      <w:pPr>
        <w:sectPr>
          <w:pgSz w:w="11900" w:h="16838" w:orient="portrait"/>
          <w:cols w:equalWidth="0" w:num="1">
            <w:col w:w="11280"/>
          </w:cols>
          <w:pgMar w:left="300" w:top="1144" w:right="31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Consultant:</w:t>
      </w:r>
    </w:p>
    <w:p>
      <w:pPr>
        <w:spacing w:after="0" w:line="187" w:lineRule="exact"/>
        <w:rPr>
          <w:sz w:val="20"/>
          <w:szCs w:val="20"/>
          <w:color w:val="auto"/>
        </w:rPr>
      </w:pPr>
    </w:p>
    <w:p>
      <w:pPr>
        <w:sectPr>
          <w:pgSz w:w="11900" w:h="16838" w:orient="portrait"/>
          <w:cols w:equalWidth="0" w:num="2">
            <w:col w:w="1420" w:space="720"/>
            <w:col w:w="9140"/>
          </w:cols>
          <w:pgMar w:left="300" w:top="1144" w:right="319" w:bottom="1440" w:gutter="0" w:footer="0" w:header="0"/>
          <w:type w:val="continuous"/>
        </w:sectPr>
      </w:pPr>
    </w:p>
    <w:p>
      <w:pPr>
        <w:spacing w:after="0"/>
        <w:tabs>
          <w:tab w:leader="none" w:pos="2180" w:val="left"/>
        </w:tabs>
        <w:rPr>
          <w:sz w:val="20"/>
          <w:szCs w:val="20"/>
          <w:color w:val="auto"/>
        </w:rPr>
      </w:pPr>
      <w:r>
        <w:rPr>
          <w:rFonts w:ascii="Times New Roman" w:cs="Times New Roman" w:eastAsia="Times New Roman" w:hAnsi="Times New Roman"/>
          <w:sz w:val="17"/>
          <w:szCs w:val="17"/>
          <w:color w:val="auto"/>
        </w:rPr>
        <w:t>Attn: Head of Legal</w:t>
      </w:r>
      <w:r>
        <w:rPr>
          <w:sz w:val="20"/>
          <w:szCs w:val="20"/>
          <w:color w:val="auto"/>
        </w:rPr>
        <w:tab/>
      </w:r>
      <w:r>
        <w:rPr>
          <w:rFonts w:ascii="Times New Roman" w:cs="Times New Roman" w:eastAsia="Times New Roman" w:hAnsi="Times New Roman"/>
          <w:sz w:val="17"/>
          <w:szCs w:val="17"/>
          <w:color w:val="auto"/>
        </w:rPr>
        <w:t>Attn: Eric Lefebvre</w:t>
      </w:r>
    </w:p>
    <w:p>
      <w:pPr>
        <w:spacing w:after="0" w:line="24"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7"/>
          <w:szCs w:val="17"/>
          <w:color w:val="auto"/>
        </w:rPr>
        <w:t>CC: Chief Human Resources Officer</w:t>
      </w:r>
      <w:r>
        <w:rPr>
          <w:sz w:val="20"/>
          <w:szCs w:val="20"/>
          <w:color w:val="auto"/>
        </w:rPr>
        <w:tab/>
      </w:r>
      <w:r>
        <w:rPr>
          <w:rFonts w:ascii="Times New Roman" w:cs="Times New Roman" w:eastAsia="Times New Roman" w:hAnsi="Times New Roman"/>
          <w:sz w:val="17"/>
          <w:szCs w:val="17"/>
          <w:color w:val="auto"/>
        </w:rPr>
        <w:t>Address noted in preamble</w:t>
      </w:r>
    </w:p>
    <w:p>
      <w:pPr>
        <w:spacing w:after="0" w:line="17"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7"/>
          <w:szCs w:val="17"/>
          <w:color w:val="auto"/>
        </w:rPr>
        <w:t>331 Oyster Point Blvd.</w:t>
      </w:r>
      <w:r>
        <w:rPr>
          <w:sz w:val="20"/>
          <w:szCs w:val="20"/>
          <w:color w:val="auto"/>
        </w:rPr>
        <w:tab/>
      </w:r>
      <w:r>
        <w:rPr>
          <w:rFonts w:ascii="Times New Roman" w:cs="Times New Roman" w:eastAsia="Times New Roman" w:hAnsi="Times New Roman"/>
          <w:sz w:val="17"/>
          <w:szCs w:val="17"/>
          <w:color w:val="auto"/>
        </w:rPr>
        <w:t>Email: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San Francisco, CA 94080</w:t>
      </w:r>
    </w:p>
    <w:p>
      <w:pPr>
        <w:sectPr>
          <w:pgSz w:w="11900" w:h="16838" w:orient="portrait"/>
          <w:cols w:equalWidth="0" w:num="1">
            <w:col w:w="11280"/>
          </w:cols>
          <w:pgMar w:left="300" w:top="114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1"/>
          <w:szCs w:val="11"/>
          <w:color w:val="auto"/>
        </w:rPr>
        <w:t>Pliant Consulting Agreement</w:t>
      </w:r>
      <w:r>
        <w:rPr>
          <w:sz w:val="20"/>
          <w:szCs w:val="20"/>
          <w:color w:val="auto"/>
        </w:rPr>
        <w:tab/>
      </w: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44" w:right="319" w:bottom="1440" w:gutter="0" w:footer="0" w:header="0"/>
          <w:type w:val="continuous"/>
        </w:sectPr>
      </w:pPr>
    </w:p>
    <w:bookmarkStart w:id="141" w:name="page142"/>
    <w:bookmarkEnd w:id="141"/>
    <w:p>
      <w:pPr>
        <w:ind w:left="5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Effective Date.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Pliant Therapeutics, Inc.</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Eric Lefebvre</w:t>
            </w:r>
          </w:p>
        </w:tc>
        <w:tc>
          <w:tcPr>
            <w:tcW w:w="2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5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Lily Cheung</w:t>
            </w:r>
          </w:p>
        </w:tc>
        <w:tc>
          <w:tcPr>
            <w:tcW w:w="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By:</w:t>
            </w:r>
          </w:p>
        </w:tc>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Eric Lefebvre</w:t>
            </w:r>
          </w:p>
        </w:tc>
        <w:tc>
          <w:tcPr>
            <w:tcW w:w="3640" w:type="dxa"/>
            <w:vAlign w:val="bottom"/>
          </w:tcPr>
          <w:p>
            <w:pPr>
              <w:spacing w:after="0"/>
              <w:rPr>
                <w:sz w:val="24"/>
                <w:szCs w:val="24"/>
                <w:color w:val="auto"/>
              </w:rPr>
            </w:pPr>
          </w:p>
        </w:tc>
      </w:tr>
      <w:tr>
        <w:trPr>
          <w:trHeight w:val="341"/>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Lily Cheung</w:t>
            </w:r>
          </w:p>
        </w:tc>
        <w:tc>
          <w:tcPr>
            <w:tcW w:w="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Eric Lefebvre</w:t>
            </w:r>
          </w:p>
        </w:tc>
        <w:tc>
          <w:tcPr>
            <w:tcW w:w="3640" w:type="dxa"/>
            <w:vAlign w:val="bottom"/>
          </w:tcPr>
          <w:p>
            <w:pPr>
              <w:spacing w:after="0"/>
              <w:rPr>
                <w:sz w:val="24"/>
                <w:szCs w:val="24"/>
                <w:color w:val="auto"/>
              </w:rPr>
            </w:pPr>
          </w:p>
        </w:tc>
      </w:tr>
      <w:tr>
        <w:trPr>
          <w:trHeight w:val="341"/>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Chief Human Resources Officer</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Consultant</w:t>
            </w:r>
          </w:p>
        </w:tc>
        <w:tc>
          <w:tcPr>
            <w:tcW w:w="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1"/>
          <w:szCs w:val="11"/>
          <w:color w:val="auto"/>
        </w:rPr>
        <w:t>Pliant Consulting Agreement</w:t>
      </w:r>
      <w:r>
        <w:rPr>
          <w:sz w:val="20"/>
          <w:szCs w:val="20"/>
          <w:color w:val="auto"/>
        </w:rPr>
        <w:tab/>
      </w: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44" w:right="319" w:bottom="1440" w:gutter="0" w:footer="0" w:header="0"/>
        </w:sectPr>
      </w:pPr>
    </w:p>
    <w:bookmarkStart w:id="142" w:name="page143"/>
    <w:bookmarkEnd w:id="142"/>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tabs>
          <w:tab w:leader="none" w:pos="1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tabs>
          <w:tab w:leader="none" w:pos="1440" w:val="left"/>
        </w:tabs>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34"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333-238922, 333-254361, 333-263127, 333-270428, 333-277398 and 333-285495 on Form S-8, and Registration Statement No. 333-270862, on Form S-3 of our report dated March 11, 2026, relating to the financial statements of Pliant Therapeutics, Inc., appearing in this Annual Report on Form 10-K of Pliant Therapeutics, Inc. for the year ended December 31, 2025.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11, 2026</w:t>
      </w:r>
    </w:p>
    <w:p>
      <w:pPr>
        <w:sectPr>
          <w:pgSz w:w="11900" w:h="16838" w:orient="portrait"/>
          <w:cols w:equalWidth="0" w:num="1">
            <w:col w:w="11280"/>
          </w:cols>
          <w:pgMar w:left="300" w:top="299" w:right="3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Bernard Coulie, certify that:</w:t>
      </w:r>
    </w:p>
    <w:p>
      <w:pPr>
        <w:spacing w:after="0" w:line="147" w:lineRule="exact"/>
        <w:rPr>
          <w:sz w:val="20"/>
          <w:szCs w:val="20"/>
          <w:color w:val="auto"/>
        </w:rPr>
      </w:pPr>
    </w:p>
    <w:p>
      <w:pPr>
        <w:ind w:left="520" w:hanging="515"/>
        <w:spacing w:after="0"/>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Pliant Therapeutics, Inc.;</w:t>
      </w:r>
    </w:p>
    <w:p>
      <w:pPr>
        <w:spacing w:after="0" w:line="157"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Times New Roman" w:cs="Times New Roman" w:eastAsia="Times New Roman" w:hAnsi="Times New Roman"/>
          <w:sz w:val="14"/>
          <w:szCs w:val="14"/>
          <w:color w:val="auto"/>
        </w:rPr>
      </w:pPr>
    </w:p>
    <w:p>
      <w:pPr>
        <w:jc w:val="both"/>
        <w:ind w:left="1160" w:right="240" w:hanging="646"/>
        <w:spacing w:after="0" w:line="270" w:lineRule="auto"/>
        <w:tabs>
          <w:tab w:leader="none" w:pos="1158"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160" w:right="440" w:hanging="646"/>
        <w:spacing w:after="0" w:line="270" w:lineRule="auto"/>
        <w:tabs>
          <w:tab w:leader="none" w:pos="1155"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160" w:right="40" w:hanging="646"/>
        <w:spacing w:after="0" w:line="287" w:lineRule="auto"/>
        <w:tabs>
          <w:tab w:leader="none" w:pos="1158"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4"/>
          <w:szCs w:val="14"/>
          <w:color w:val="auto"/>
        </w:rPr>
      </w:pPr>
    </w:p>
    <w:p>
      <w:pPr>
        <w:ind w:left="1160" w:right="40" w:hanging="646"/>
        <w:spacing w:after="0" w:line="287" w:lineRule="auto"/>
        <w:tabs>
          <w:tab w:leader="none" w:pos="1155"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520" w:right="540" w:hanging="515"/>
        <w:spacing w:after="0" w:line="287" w:lineRule="auto"/>
        <w:tabs>
          <w:tab w:leader="none" w:pos="5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160" w:right="380" w:hanging="646"/>
        <w:spacing w:after="0" w:line="287" w:lineRule="auto"/>
        <w:tabs>
          <w:tab w:leader="none" w:pos="1158"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4"/>
          <w:szCs w:val="14"/>
          <w:color w:val="auto"/>
        </w:rPr>
      </w:pPr>
    </w:p>
    <w:p>
      <w:pPr>
        <w:ind w:left="1140" w:hanging="626"/>
        <w:spacing w:after="0"/>
        <w:tabs>
          <w:tab w:leader="none" w:pos="114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ind w:left="20"/>
        <w:spacing w:after="0"/>
        <w:tabs>
          <w:tab w:leader="none" w:pos="5400" w:val="left"/>
          <w:tab w:leader="none" w:pos="8040" w:val="left"/>
        </w:tabs>
        <w:rPr>
          <w:sz w:val="20"/>
          <w:szCs w:val="20"/>
          <w:color w:val="auto"/>
        </w:rPr>
      </w:pPr>
      <w:r>
        <w:rPr>
          <w:rFonts w:ascii="Times New Roman" w:cs="Times New Roman" w:eastAsia="Times New Roman" w:hAnsi="Times New Roman"/>
          <w:sz w:val="14"/>
          <w:szCs w:val="14"/>
          <w:color w:val="auto"/>
        </w:rPr>
        <w:t>Date: March 11,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28575</wp:posOffset>
            </wp:positionV>
            <wp:extent cx="34290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42"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color w:val="auto"/>
        </w:rPr>
        <w:t>Bernard Coulie, M.D., Ph.D.</w:t>
      </w:r>
    </w:p>
    <w:p>
      <w:pPr>
        <w:spacing w:after="0" w:line="5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5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97" w:right="3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Keith Cummings, certify that:</w:t>
      </w:r>
    </w:p>
    <w:p>
      <w:pPr>
        <w:spacing w:after="0" w:line="147" w:lineRule="exact"/>
        <w:rPr>
          <w:sz w:val="20"/>
          <w:szCs w:val="20"/>
          <w:color w:val="auto"/>
        </w:rPr>
      </w:pPr>
    </w:p>
    <w:p>
      <w:pPr>
        <w:ind w:left="520" w:hanging="515"/>
        <w:spacing w:after="0"/>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Pliant Therapeutics, Inc.;</w:t>
      </w:r>
    </w:p>
    <w:p>
      <w:pPr>
        <w:spacing w:after="0" w:line="157"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Times New Roman" w:cs="Times New Roman" w:eastAsia="Times New Roman" w:hAnsi="Times New Roman"/>
          <w:sz w:val="14"/>
          <w:szCs w:val="14"/>
          <w:color w:val="auto"/>
        </w:rPr>
      </w:pPr>
    </w:p>
    <w:p>
      <w:pPr>
        <w:jc w:val="both"/>
        <w:ind w:left="1020" w:right="360" w:hanging="506"/>
        <w:spacing w:after="0" w:line="270" w:lineRule="auto"/>
        <w:tabs>
          <w:tab w:leader="none" w:pos="1018"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020" w:right="580" w:hanging="506"/>
        <w:spacing w:after="0" w:line="270" w:lineRule="auto"/>
        <w:tabs>
          <w:tab w:leader="none" w:pos="1015"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020" w:right="160" w:hanging="506"/>
        <w:spacing w:after="0" w:line="287" w:lineRule="auto"/>
        <w:tabs>
          <w:tab w:leader="none" w:pos="1018"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4"/>
          <w:szCs w:val="14"/>
          <w:color w:val="auto"/>
        </w:rPr>
      </w:pPr>
    </w:p>
    <w:p>
      <w:pPr>
        <w:ind w:left="1020" w:right="160" w:hanging="506"/>
        <w:spacing w:after="0" w:line="287" w:lineRule="auto"/>
        <w:tabs>
          <w:tab w:leader="none" w:pos="1015"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Times New Roman" w:cs="Times New Roman" w:eastAsia="Times New Roman" w:hAnsi="Times New Roman"/>
          <w:sz w:val="14"/>
          <w:szCs w:val="14"/>
          <w:color w:val="auto"/>
        </w:rPr>
      </w:pPr>
    </w:p>
    <w:p>
      <w:pPr>
        <w:ind w:left="520" w:right="540" w:hanging="515"/>
        <w:spacing w:after="0" w:line="287" w:lineRule="auto"/>
        <w:tabs>
          <w:tab w:leader="none" w:pos="5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020" w:right="520" w:hanging="506"/>
        <w:spacing w:after="0" w:line="287" w:lineRule="auto"/>
        <w:tabs>
          <w:tab w:leader="none" w:pos="1018"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Date: March 11, 2026</w:t>
            </w:r>
          </w:p>
        </w:tc>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Keith Cummings</w:t>
            </w:r>
          </w:p>
        </w:tc>
      </w:tr>
      <w:tr>
        <w:trPr>
          <w:trHeight w:val="167"/>
        </w:trPr>
        <w:tc>
          <w:tcPr>
            <w:tcW w:w="5620" w:type="dxa"/>
            <w:vAlign w:val="bottom"/>
          </w:tcPr>
          <w:p>
            <w:pPr>
              <w:spacing w:after="0"/>
              <w:rPr>
                <w:sz w:val="14"/>
                <w:szCs w:val="14"/>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Keith Cummings, M.D., M.B.A.</w:t>
            </w:r>
          </w:p>
        </w:tc>
      </w:tr>
      <w:tr>
        <w:trPr>
          <w:trHeight w:val="180"/>
        </w:trPr>
        <w:tc>
          <w:tcPr>
            <w:tcW w:w="5620" w:type="dxa"/>
            <w:vAlign w:val="bottom"/>
          </w:tcPr>
          <w:p>
            <w:pPr>
              <w:spacing w:after="0"/>
              <w:rPr>
                <w:sz w:val="15"/>
                <w:szCs w:val="15"/>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5620" w:type="dxa"/>
            <w:vAlign w:val="bottom"/>
          </w:tcPr>
          <w:p>
            <w:pPr>
              <w:spacing w:after="0"/>
              <w:rPr>
                <w:sz w:val="16"/>
                <w:szCs w:val="16"/>
                <w:color w:val="auto"/>
              </w:rPr>
            </w:pPr>
          </w:p>
        </w:tc>
        <w:tc>
          <w:tcPr>
            <w:tcW w:w="5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897" w:right="31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2"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Pliant Therapeutics,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92" w:lineRule="exact"/>
        <w:rPr>
          <w:sz w:val="20"/>
          <w:szCs w:val="20"/>
          <w:color w:val="auto"/>
        </w:rPr>
      </w:pPr>
    </w:p>
    <w:p>
      <w:pPr>
        <w:ind w:left="1020" w:hanging="506"/>
        <w:spacing w:after="0"/>
        <w:tabs>
          <w:tab w:leader="none" w:pos="10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7920" w:val="left"/>
        </w:tabs>
        <w:rPr>
          <w:sz w:val="20"/>
          <w:szCs w:val="20"/>
          <w:color w:val="auto"/>
        </w:rPr>
      </w:pPr>
      <w:r>
        <w:rPr>
          <w:rFonts w:ascii="Times New Roman" w:cs="Times New Roman" w:eastAsia="Times New Roman" w:hAnsi="Times New Roman"/>
          <w:sz w:val="14"/>
          <w:szCs w:val="14"/>
          <w:color w:val="auto"/>
        </w:rPr>
        <w:t>Date : March 11, 2026</w:t>
      </w:r>
      <w:r>
        <w:rPr>
          <w:sz w:val="20"/>
          <w:szCs w:val="20"/>
          <w:color w:val="auto"/>
        </w:rPr>
        <w:tab/>
      </w:r>
      <w:r>
        <w:rPr>
          <w:rFonts w:ascii="Times New Roman" w:cs="Times New Roman" w:eastAsia="Times New Roman" w:hAnsi="Times New Roman"/>
          <w:sz w:val="14"/>
          <w:szCs w:val="14"/>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28575</wp:posOffset>
            </wp:positionV>
            <wp:extent cx="357759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color w:val="auto"/>
        </w:rPr>
        <w:t>Bernard Coulie, M.D., Ph.D.</w:t>
      </w:r>
    </w:p>
    <w:p>
      <w:pPr>
        <w:spacing w:after="0" w:line="5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5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6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28575</wp:posOffset>
            </wp:positionV>
            <wp:extent cx="357759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color w:val="auto"/>
        </w:rPr>
        <w:t>Keith Cummings, M.D., M.B.A.</w:t>
      </w:r>
    </w:p>
    <w:p>
      <w:pPr>
        <w:spacing w:after="0" w:line="5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color w:val="auto"/>
        </w:rPr>
        <w:t>(Principal Financial Officer)</w:t>
      </w:r>
    </w:p>
    <w:sectPr>
      <w:pgSz w:w="11900" w:h="16838" w:orient="portrait"/>
      <w:cols w:equalWidth="0" w:num="1">
        <w:col w:w="11280"/>
      </w:cols>
      <w:pgMar w:left="300" w:top="89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x"/>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decimal"/>
      <w:start w:val="3"/>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lvl w:ilvl="1">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lowerRoman"/>
      <w:start w:val="1"/>
    </w:lvl>
  </w:abstractNum>
  <w:abstractNum w:abstractNumId="64">
    <w:nsid w:val="7BD3EE7B"/>
    <w:multiLevelType w:val="hybridMultilevel"/>
    <w:lvl w:ilvl="0">
      <w:lvlJc w:val="left"/>
      <w:lvlText w:val="%1."/>
      <w:numFmt w:val="decimal"/>
      <w:start w:val="1"/>
    </w:lvl>
    <w:lvl w:ilvl="1">
      <w:lvlJc w:val="left"/>
      <w:lvlText w:val="(%2)"/>
      <w:numFmt w:val="lowerLetter"/>
      <w:start w:val="1"/>
    </w:lvl>
  </w:abstractNum>
  <w:abstractNum w:abstractNumId="65">
    <w:nsid w:val="51D9C564"/>
    <w:multiLevelType w:val="hybridMultilevel"/>
    <w:lvl w:ilvl="0">
      <w:lvlJc w:val="left"/>
      <w:lvlText w:val="%1."/>
      <w:numFmt w:val="decimal"/>
      <w:start w:val="3"/>
    </w:lvl>
  </w:abstractNum>
  <w:abstractNum w:abstractNumId="66">
    <w:nsid w:val="613EFDC5"/>
    <w:multiLevelType w:val="hybridMultilevel"/>
    <w:lvl w:ilvl="0">
      <w:lvlJc w:val="left"/>
      <w:lvlText w:val="%1."/>
      <w:numFmt w:val="decimal"/>
      <w:start w:val="4"/>
    </w:lvl>
  </w:abstractNum>
  <w:abstractNum w:abstractNumId="67">
    <w:nsid w:val="BF72B14"/>
    <w:multiLevelType w:val="hybridMultilevel"/>
    <w:lvl w:ilvl="0">
      <w:lvlJc w:val="left"/>
      <w:lvlText w:val="%1."/>
      <w:numFmt w:val="decimal"/>
      <w:start w:val="5"/>
    </w:lvl>
    <w:lvl w:ilvl="1">
      <w:lvlJc w:val="left"/>
      <w:lvlText w:val="(%2)"/>
      <w:numFmt w:val="lowerLetter"/>
      <w:start w:val="1"/>
    </w:lvl>
  </w:abstractNum>
  <w:abstractNum w:abstractNumId="68">
    <w:nsid w:val="11447B73"/>
    <w:multiLevelType w:val="hybridMultilevel"/>
    <w:lvl w:ilvl="0">
      <w:lvlJc w:val="left"/>
      <w:lvlText w:val="(%1)"/>
      <w:numFmt w:val="lowerLetter"/>
      <w:start w:val="2"/>
    </w:lvl>
  </w:abstractNum>
  <w:abstractNum w:abstractNumId="69">
    <w:nsid w:val="42963E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0">
    <w:nsid w:val="A0382C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1">
    <w:nsid w:val="8F2B15E"/>
    <w:multiLevelType w:val="hybridMultilevel"/>
    <w:lvl w:ilvl="0">
      <w:lvlJc w:val="left"/>
      <w:lvlText w:val="%1."/>
      <w:numFmt w:val="decimal"/>
      <w:start w:val="9"/>
    </w:lvl>
  </w:abstractNum>
  <w:abstractNum w:abstractNumId="72">
    <w:nsid w:val="1A32234B"/>
    <w:multiLevelType w:val="hybridMultilevel"/>
    <w:lvl w:ilvl="0">
      <w:lvlJc w:val="left"/>
      <w:lvlText w:val="%1."/>
      <w:numFmt w:val="decimal"/>
      <w:start w:val="13"/>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2"/>
    </w:lvl>
  </w:abstractNum>
  <w:abstractNum w:abstractNumId="76">
    <w:nsid w:val="60B6DF70"/>
    <w:multiLevelType w:val="hybridMultilevel"/>
    <w:lvl w:ilvl="0">
      <w:lvlJc w:val="left"/>
      <w:lvlText w:val="(%1)"/>
      <w:numFmt w:val="lowerRoman"/>
      <w:start w:val="1"/>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1."/>
      <w:numFmt w:val="decimal"/>
      <w:start w:val="6"/>
    </w:lvl>
  </w:abstractNum>
  <w:abstractNum w:abstractNumId="79">
    <w:nsid w:val="7FFFCA11"/>
    <w:multiLevelType w:val="hybridMultilevel"/>
    <w:lvl w:ilvl="0">
      <w:lvlJc w:val="left"/>
      <w:lvlText w:val="%1."/>
      <w:numFmt w:val="decimal"/>
      <w:start w:val="7"/>
    </w:lvl>
  </w:abstractNum>
  <w:abstractNum w:abstractNumId="80">
    <w:nsid w:val="1A27709E"/>
    <w:multiLevelType w:val="hybridMultilevel"/>
    <w:lvl w:ilvl="0">
      <w:lvlJc w:val="left"/>
      <w:lvlText w:val="%1."/>
      <w:numFmt w:val="decimal"/>
      <w:start w:val="8"/>
    </w:lvl>
  </w:abstractNum>
  <w:abstractNum w:abstractNumId="81">
    <w:nsid w:val="71EA1109"/>
    <w:multiLevelType w:val="hybridMultilevel"/>
    <w:lvl w:ilvl="0">
      <w:lvlJc w:val="left"/>
      <w:lvlText w:val="%1."/>
      <w:numFmt w:val="decimal"/>
      <w:start w:val="10"/>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3"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jpe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27" Type="http://schemas.openxmlformats.org/officeDocument/2006/relationships/hyperlink" Target="https://www.sec.gov/Archives/edgar/data/1746473/000156459020039327/plrx-ex31_301.htm" TargetMode="External"/><Relationship Id="rId128" Type="http://schemas.openxmlformats.org/officeDocument/2006/relationships/hyperlink" Target="https://www.sec.gov/Archives/edgar/data/1746473/000174647325000105/certificateofamendmenttoam.htm" TargetMode="External"/><Relationship Id="rId129" Type="http://schemas.openxmlformats.org/officeDocument/2006/relationships/hyperlink" Target="https://www.sec.gov/Archives/edgar/data/1746473/000174647324000153/plrx-thirdamendedandrestat.htm" TargetMode="External"/><Relationship Id="rId130" Type="http://schemas.openxmlformats.org/officeDocument/2006/relationships/hyperlink" Target="https://www.sec.gov/ix?doc=/Archives/edgar/data/0001746473/000174647324000153/plrx-20240924.htm" TargetMode="External"/><Relationship Id="rId131" Type="http://schemas.openxmlformats.org/officeDocument/2006/relationships/hyperlink" Target="https://www.sec.gov/Archives/edgar/data/1746473/000119312525053509/d860128dex31.htm" TargetMode="External"/><Relationship Id="rId132" Type="http://schemas.openxmlformats.org/officeDocument/2006/relationships/hyperlink" Target="https://www.sec.gov/Archives/edgar/data/1746473/000119312520150643/d729258dex41.htm" TargetMode="External"/><Relationship Id="rId133" Type="http://schemas.openxmlformats.org/officeDocument/2006/relationships/hyperlink" Target="https://www.sec.gov/Archives/edgar/data/1746473/000119312525053509/d860128dex41.htm" TargetMode="External"/><Relationship Id="rId134" Type="http://schemas.openxmlformats.org/officeDocument/2006/relationships/hyperlink" Target="https://www.sec.gov/Archives/edgar/data/1746473/000174647326000024/pliant-rightsagreementamen.htm" TargetMode="External"/><Relationship Id="rId135" Type="http://schemas.openxmlformats.org/officeDocument/2006/relationships/hyperlink" Target="https://www.sec.gov/Archives/edgar/data/1746473/000119312520150643/d729258dex102.htm" TargetMode="External"/><Relationship Id="rId136" Type="http://schemas.openxmlformats.org/officeDocument/2006/relationships/hyperlink" Target="https://www.sec.gov/Archives/edgar/data/1746473/000119312520137876/d729258dex101.htm" TargetMode="External"/><Relationship Id="rId137" Type="http://schemas.openxmlformats.org/officeDocument/2006/relationships/hyperlink" Target="https://www.sec.gov/Archives/edgar/data/1746473/000119312520150643/d729258dex103.htm" TargetMode="External"/><Relationship Id="rId138" Type="http://schemas.openxmlformats.org/officeDocument/2006/relationships/hyperlink" Target="https://www.sec.gov/Archives/edgar/data/1746473/000119312520137876/d729258dex104.htm" TargetMode="External"/><Relationship Id="rId139" Type="http://schemas.openxmlformats.org/officeDocument/2006/relationships/hyperlink" Target="https://www.sec.gov/Archives/edgar/data/1746473/000119312520137876/d729258dex107.htm" TargetMode="External"/><Relationship Id="rId140" Type="http://schemas.openxmlformats.org/officeDocument/2006/relationships/hyperlink" Target="https://www.sec.gov/Archives/edgar/data/1746473/000119312520137876/d729258dex1010.htm" TargetMode="External"/><Relationship Id="rId141" Type="http://schemas.openxmlformats.org/officeDocument/2006/relationships/hyperlink" Target="https://www.sec.gov/Archives/edgar/data/1746473/000119312520137876/d729258dex108.htm" TargetMode="External"/><Relationship Id="rId142" Type="http://schemas.openxmlformats.org/officeDocument/2006/relationships/hyperlink" Target="https://www.sec.gov/Archives/edgar/data/1746473/000174647323000008/offerletter-lilycheung.htm" TargetMode="External"/><Relationship Id="rId144" Type="http://schemas.openxmlformats.org/officeDocument/2006/relationships/hyperlink" Target="https://www.sec.gov/Archives/edgar/data/1746473/000119312520137876/d729258dex1013.htm" TargetMode="External"/><Relationship Id="rId145" Type="http://schemas.openxmlformats.org/officeDocument/2006/relationships/hyperlink" Target="https://www.sec.gov/Archives/edgar/data/1746473/000174647325000054/exhibit10142022inducementp.htm" TargetMode="External"/><Relationship Id="rId146" Type="http://schemas.openxmlformats.org/officeDocument/2006/relationships/hyperlink" Target="https://www.sec.gov/Archives/edgar/data/1746473/000174647323000062/lease-331oysterpoint.htm" TargetMode="External"/><Relationship Id="rId147" Type="http://schemas.openxmlformats.org/officeDocument/2006/relationships/hyperlink" Target="https://www.sec.gov/Archives/edgar/data/1746473/000174647325000099/plrx-20250331xex101.htm" TargetMode="External"/><Relationship Id="rId148" Type="http://schemas.openxmlformats.org/officeDocument/2006/relationships/hyperlink" Target="https://www.sec.gov/Archives/edgar/data/1746473/000174647325000150/plrx-20250630xex101.htm" TargetMode="External"/><Relationship Id="rId149" Type="http://schemas.openxmlformats.org/officeDocument/2006/relationships/hyperlink" Target="https://www.sec.gov/Archives/edgar/data/1746473/000174647324000043/exhibit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2026-03-11T15:44:18Z</dcterms:created>
  <dcterms:modified xsi:type="dcterms:W3CDTF">2026-03-11T15:44:18Z</dcterms:modified>
</cp:coreProperties>
</file>